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94C" w:rsidRDefault="00B63F6A">
      <w:pPr>
        <w:adjustRightInd w:val="0"/>
        <w:snapToGrid w:val="0"/>
        <w:spacing w:line="560" w:lineRule="exact"/>
        <w:jc w:val="left"/>
        <w:rPr>
          <w:rFonts w:ascii="黑体" w:eastAsia="黑体" w:hAnsi="黑体" w:cs="宋体"/>
          <w:kern w:val="0"/>
          <w:sz w:val="32"/>
          <w:szCs w:val="32"/>
        </w:rPr>
      </w:pPr>
      <w:r>
        <w:rPr>
          <w:rFonts w:ascii="黑体" w:eastAsia="黑体" w:hAnsi="黑体" w:cs="宋体" w:hint="eastAsia"/>
          <w:kern w:val="0"/>
          <w:sz w:val="32"/>
          <w:szCs w:val="32"/>
        </w:rPr>
        <w:t>附件</w:t>
      </w:r>
    </w:p>
    <w:p w:rsidR="0045794C" w:rsidRDefault="0045794C">
      <w:pPr>
        <w:adjustRightInd w:val="0"/>
        <w:snapToGrid w:val="0"/>
        <w:spacing w:line="560" w:lineRule="exact"/>
        <w:jc w:val="left"/>
        <w:rPr>
          <w:rFonts w:ascii="方正大标宋简体" w:eastAsia="方正大标宋简体"/>
          <w:sz w:val="42"/>
          <w:szCs w:val="42"/>
        </w:rPr>
      </w:pPr>
    </w:p>
    <w:p w:rsidR="0045794C" w:rsidRDefault="00B63F6A">
      <w:pPr>
        <w:adjustRightInd w:val="0"/>
        <w:snapToGrid w:val="0"/>
        <w:jc w:val="center"/>
        <w:rPr>
          <w:rFonts w:ascii="方正小标宋简体" w:eastAsia="方正小标宋简体" w:hAnsiTheme="majorEastAsia"/>
          <w:sz w:val="44"/>
          <w:szCs w:val="44"/>
        </w:rPr>
      </w:pPr>
      <w:r>
        <w:rPr>
          <w:rFonts w:ascii="方正小标宋简体" w:eastAsia="方正小标宋简体" w:hAnsiTheme="majorEastAsia" w:hint="eastAsia"/>
          <w:sz w:val="44"/>
          <w:szCs w:val="44"/>
        </w:rPr>
        <w:t>深圳证券交易所债券市场投资者适当性</w:t>
      </w:r>
    </w:p>
    <w:p w:rsidR="0045794C" w:rsidRDefault="00B63F6A">
      <w:pPr>
        <w:adjustRightInd w:val="0"/>
        <w:snapToGrid w:val="0"/>
        <w:jc w:val="center"/>
        <w:rPr>
          <w:rFonts w:ascii="仿宋_GB2312" w:eastAsia="仿宋_GB2312"/>
          <w:sz w:val="30"/>
          <w:szCs w:val="30"/>
        </w:rPr>
      </w:pPr>
      <w:r>
        <w:rPr>
          <w:rFonts w:ascii="方正小标宋简体" w:eastAsia="方正小标宋简体" w:hAnsiTheme="majorEastAsia" w:hint="eastAsia"/>
          <w:sz w:val="44"/>
          <w:szCs w:val="44"/>
        </w:rPr>
        <w:t>管理办法（</w:t>
      </w:r>
      <w:r>
        <w:rPr>
          <w:rFonts w:ascii="方正小标宋简体" w:eastAsia="方正小标宋简体" w:hAnsiTheme="majorEastAsia"/>
          <w:sz w:val="44"/>
          <w:szCs w:val="44"/>
        </w:rPr>
        <w:t>2023</w:t>
      </w:r>
      <w:r>
        <w:rPr>
          <w:rFonts w:ascii="方正小标宋简体" w:eastAsia="方正小标宋简体" w:hAnsiTheme="majorEastAsia"/>
          <w:sz w:val="44"/>
          <w:szCs w:val="44"/>
        </w:rPr>
        <w:t>年</w:t>
      </w:r>
      <w:r>
        <w:rPr>
          <w:rFonts w:ascii="方正小标宋简体" w:eastAsia="方正小标宋简体" w:hAnsiTheme="majorEastAsia" w:hint="eastAsia"/>
          <w:sz w:val="44"/>
          <w:szCs w:val="44"/>
        </w:rPr>
        <w:t>修订</w:t>
      </w:r>
      <w:r>
        <w:rPr>
          <w:rFonts w:ascii="方正小标宋简体" w:eastAsia="方正小标宋简体" w:hAnsiTheme="majorEastAsia"/>
          <w:sz w:val="44"/>
          <w:szCs w:val="44"/>
        </w:rPr>
        <w:t>）</w:t>
      </w:r>
    </w:p>
    <w:p w:rsidR="0045794C" w:rsidRDefault="00B63F6A">
      <w:pPr>
        <w:spacing w:line="560" w:lineRule="exact"/>
        <w:rPr>
          <w:rFonts w:ascii="仿宋" w:eastAsia="仿宋" w:hAnsi="仿宋" w:cs="仿宋"/>
          <w:sz w:val="32"/>
          <w:szCs w:val="32"/>
        </w:rPr>
      </w:pPr>
      <w:r>
        <w:rPr>
          <w:rFonts w:ascii="仿宋" w:eastAsia="仿宋" w:hAnsi="仿宋" w:cs="仿宋" w:hint="eastAsia"/>
          <w:sz w:val="32"/>
          <w:szCs w:val="32"/>
        </w:rPr>
        <w:t>（</w:t>
      </w:r>
      <w:r>
        <w:rPr>
          <w:rFonts w:ascii="仿宋" w:eastAsia="仿宋" w:hAnsi="仿宋" w:cs="仿宋" w:hint="eastAsia"/>
          <w:sz w:val="32"/>
          <w:szCs w:val="32"/>
        </w:rPr>
        <w:t>2017</w:t>
      </w:r>
      <w:r>
        <w:rPr>
          <w:rFonts w:ascii="仿宋" w:eastAsia="仿宋" w:hAnsi="仿宋" w:cs="仿宋" w:hint="eastAsia"/>
          <w:sz w:val="32"/>
          <w:szCs w:val="32"/>
        </w:rPr>
        <w:t>年</w:t>
      </w:r>
      <w:r>
        <w:rPr>
          <w:rFonts w:ascii="仿宋" w:eastAsia="仿宋" w:hAnsi="仿宋" w:cs="仿宋" w:hint="eastAsia"/>
          <w:sz w:val="32"/>
          <w:szCs w:val="32"/>
        </w:rPr>
        <w:t>7</w:t>
      </w:r>
      <w:r>
        <w:rPr>
          <w:rFonts w:ascii="仿宋" w:eastAsia="仿宋" w:hAnsi="仿宋" w:cs="仿宋" w:hint="eastAsia"/>
          <w:sz w:val="32"/>
          <w:szCs w:val="32"/>
        </w:rPr>
        <w:t>月施行</w:t>
      </w:r>
      <w:r>
        <w:rPr>
          <w:rFonts w:ascii="仿宋" w:eastAsia="仿宋" w:hAnsi="仿宋" w:cs="仿宋" w:hint="eastAsia"/>
          <w:sz w:val="32"/>
          <w:szCs w:val="32"/>
        </w:rPr>
        <w:t xml:space="preserve">  2022</w:t>
      </w:r>
      <w:r>
        <w:rPr>
          <w:rFonts w:ascii="仿宋" w:eastAsia="仿宋" w:hAnsi="仿宋" w:cs="仿宋" w:hint="eastAsia"/>
          <w:sz w:val="32"/>
          <w:szCs w:val="32"/>
        </w:rPr>
        <w:t>年</w:t>
      </w:r>
      <w:r>
        <w:rPr>
          <w:rFonts w:ascii="仿宋" w:eastAsia="仿宋" w:hAnsi="仿宋" w:cs="仿宋" w:hint="eastAsia"/>
          <w:sz w:val="32"/>
          <w:szCs w:val="32"/>
        </w:rPr>
        <w:t>4</w:t>
      </w:r>
      <w:r>
        <w:rPr>
          <w:rFonts w:ascii="仿宋" w:eastAsia="仿宋" w:hAnsi="仿宋" w:cs="仿宋" w:hint="eastAsia"/>
          <w:sz w:val="32"/>
          <w:szCs w:val="32"/>
        </w:rPr>
        <w:t>月第一次修订；</w:t>
      </w:r>
      <w:r>
        <w:rPr>
          <w:rFonts w:ascii="仿宋" w:eastAsia="仿宋" w:hAnsi="仿宋" w:cs="仿宋" w:hint="eastAsia"/>
          <w:sz w:val="32"/>
          <w:szCs w:val="32"/>
        </w:rPr>
        <w:t>2023</w:t>
      </w:r>
      <w:r>
        <w:rPr>
          <w:rFonts w:ascii="仿宋" w:eastAsia="仿宋" w:hAnsi="仿宋" w:cs="仿宋" w:hint="eastAsia"/>
          <w:sz w:val="32"/>
          <w:szCs w:val="32"/>
        </w:rPr>
        <w:t>年</w:t>
      </w:r>
      <w:r>
        <w:rPr>
          <w:rFonts w:ascii="仿宋" w:eastAsia="仿宋" w:hAnsi="仿宋" w:cs="仿宋" w:hint="eastAsia"/>
          <w:sz w:val="32"/>
          <w:szCs w:val="32"/>
        </w:rPr>
        <w:t>10</w:t>
      </w:r>
      <w:r>
        <w:rPr>
          <w:rFonts w:ascii="仿宋" w:eastAsia="仿宋" w:hAnsi="仿宋" w:cs="仿宋" w:hint="eastAsia"/>
          <w:sz w:val="32"/>
          <w:szCs w:val="32"/>
        </w:rPr>
        <w:t>月第二次修订）</w:t>
      </w:r>
    </w:p>
    <w:p w:rsidR="0045794C" w:rsidRDefault="00B63F6A">
      <w:pPr>
        <w:snapToGrid w:val="0"/>
        <w:spacing w:line="560" w:lineRule="exact"/>
        <w:jc w:val="center"/>
        <w:rPr>
          <w:rFonts w:ascii="黑体" w:eastAsia="黑体" w:hAnsi="黑体"/>
          <w:sz w:val="32"/>
          <w:szCs w:val="32"/>
        </w:rPr>
      </w:pPr>
      <w:r>
        <w:rPr>
          <w:rFonts w:ascii="黑体" w:eastAsia="黑体" w:hAnsi="黑体" w:hint="eastAsia"/>
          <w:sz w:val="32"/>
          <w:szCs w:val="32"/>
        </w:rPr>
        <w:t>第一章</w:t>
      </w:r>
      <w:r>
        <w:rPr>
          <w:rFonts w:ascii="黑体" w:eastAsia="黑体" w:hAnsi="黑体"/>
          <w:sz w:val="32"/>
          <w:szCs w:val="32"/>
        </w:rPr>
        <w:t xml:space="preserve">  </w:t>
      </w:r>
      <w:r>
        <w:rPr>
          <w:rFonts w:ascii="黑体" w:eastAsia="黑体" w:hAnsi="黑体" w:hint="eastAsia"/>
          <w:sz w:val="32"/>
          <w:szCs w:val="32"/>
        </w:rPr>
        <w:t>总则</w:t>
      </w:r>
    </w:p>
    <w:p w:rsidR="0045794C" w:rsidRDefault="00B63F6A" w:rsidP="00256317">
      <w:pPr>
        <w:spacing w:line="560" w:lineRule="exact"/>
        <w:ind w:firstLineChars="200" w:firstLine="643"/>
        <w:rPr>
          <w:rFonts w:eastAsia="仿宋"/>
          <w:sz w:val="32"/>
          <w:szCs w:val="32"/>
        </w:rPr>
      </w:pPr>
      <w:r w:rsidRPr="00256317">
        <w:rPr>
          <w:rFonts w:eastAsia="仿宋" w:hint="eastAsia"/>
          <w:b/>
          <w:bCs/>
          <w:sz w:val="32"/>
          <w:szCs w:val="32"/>
        </w:rPr>
        <w:t>第一条</w:t>
      </w:r>
      <w:r w:rsidRPr="00256317">
        <w:rPr>
          <w:rFonts w:eastAsia="仿宋"/>
          <w:b/>
          <w:bCs/>
          <w:sz w:val="32"/>
          <w:szCs w:val="32"/>
        </w:rPr>
        <w:t xml:space="preserve"> </w:t>
      </w:r>
      <w:r>
        <w:rPr>
          <w:rFonts w:eastAsia="仿宋" w:hint="eastAsia"/>
          <w:sz w:val="32"/>
          <w:szCs w:val="32"/>
        </w:rPr>
        <w:t>为了引导投资者理性参与债券市场，保护投资者合法权益，促进债券市场健康稳定发展，根据《证券期货投资者适当性管理办法》（以下简称《投资者适当性管理办法》）、《公司债券发行与交易管理办法》（以下简称《公司债券管理办法》）等有关法律、行政法规、部门规章、规范性文件（以下统称法律法规）以及深圳证券交易所（以下简称本所）相关业务规则，制定本办法。</w:t>
      </w:r>
    </w:p>
    <w:p w:rsidR="0045794C" w:rsidRDefault="00B63F6A" w:rsidP="00256317">
      <w:pPr>
        <w:spacing w:line="560" w:lineRule="exact"/>
        <w:ind w:firstLineChars="200" w:firstLine="643"/>
        <w:rPr>
          <w:rFonts w:eastAsia="仿宋"/>
          <w:sz w:val="32"/>
          <w:szCs w:val="32"/>
        </w:rPr>
      </w:pPr>
      <w:r w:rsidRPr="00256317">
        <w:rPr>
          <w:rFonts w:eastAsia="仿宋" w:hint="eastAsia"/>
          <w:b/>
          <w:sz w:val="32"/>
          <w:szCs w:val="32"/>
        </w:rPr>
        <w:t>第二条</w:t>
      </w:r>
      <w:r>
        <w:rPr>
          <w:rFonts w:eastAsia="仿宋"/>
          <w:sz w:val="32"/>
          <w:szCs w:val="32"/>
        </w:rPr>
        <w:t xml:space="preserve"> </w:t>
      </w:r>
      <w:r>
        <w:rPr>
          <w:rFonts w:eastAsia="仿宋" w:hint="eastAsia"/>
          <w:sz w:val="32"/>
          <w:szCs w:val="32"/>
        </w:rPr>
        <w:t>本办法适用于债券和资产支持证券在本所债券市场的发行认购、上市交易以及挂牌转让（以下统称交易）的投资者适当性管理。</w:t>
      </w:r>
    </w:p>
    <w:p w:rsidR="0045794C" w:rsidRDefault="00B63F6A">
      <w:pPr>
        <w:spacing w:line="560" w:lineRule="exact"/>
        <w:ind w:firstLineChars="200" w:firstLine="640"/>
        <w:rPr>
          <w:rFonts w:eastAsia="仿宋"/>
          <w:sz w:val="32"/>
          <w:szCs w:val="32"/>
        </w:rPr>
      </w:pPr>
      <w:r>
        <w:rPr>
          <w:rFonts w:eastAsia="仿宋" w:hint="eastAsia"/>
          <w:sz w:val="32"/>
          <w:szCs w:val="32"/>
        </w:rPr>
        <w:t>上市公司可转换公司债</w:t>
      </w:r>
      <w:proofErr w:type="gramStart"/>
      <w:r>
        <w:rPr>
          <w:rFonts w:eastAsia="仿宋" w:hint="eastAsia"/>
          <w:sz w:val="32"/>
          <w:szCs w:val="32"/>
        </w:rPr>
        <w:t>券</w:t>
      </w:r>
      <w:proofErr w:type="gramEnd"/>
      <w:r>
        <w:rPr>
          <w:rFonts w:eastAsia="仿宋" w:hint="eastAsia"/>
          <w:sz w:val="32"/>
          <w:szCs w:val="32"/>
        </w:rPr>
        <w:t>的投资者适当性管理，不适用本办法。</w:t>
      </w:r>
    </w:p>
    <w:p w:rsidR="0045794C" w:rsidRDefault="00B63F6A" w:rsidP="00256317">
      <w:pPr>
        <w:spacing w:line="560" w:lineRule="exact"/>
        <w:ind w:firstLineChars="200" w:firstLine="643"/>
        <w:rPr>
          <w:rFonts w:eastAsia="仿宋"/>
          <w:sz w:val="32"/>
          <w:szCs w:val="32"/>
        </w:rPr>
      </w:pPr>
      <w:r w:rsidRPr="00256317">
        <w:rPr>
          <w:rFonts w:eastAsia="仿宋" w:hint="eastAsia"/>
          <w:b/>
          <w:sz w:val="32"/>
          <w:szCs w:val="32"/>
        </w:rPr>
        <w:t>第三条</w:t>
      </w:r>
      <w:r>
        <w:rPr>
          <w:rFonts w:eastAsia="仿宋"/>
          <w:sz w:val="32"/>
          <w:szCs w:val="32"/>
        </w:rPr>
        <w:t xml:space="preserve"> </w:t>
      </w:r>
      <w:r>
        <w:rPr>
          <w:rFonts w:eastAsia="仿宋" w:hint="eastAsia"/>
          <w:sz w:val="32"/>
          <w:szCs w:val="32"/>
        </w:rPr>
        <w:t>本所可以根据市场需要、债券和资产支持证券资信状况变化以及投资者保护要求等，调整债券市场投资者适当性管理安排。</w:t>
      </w:r>
    </w:p>
    <w:p w:rsidR="0045794C" w:rsidRDefault="00B63F6A" w:rsidP="00256317">
      <w:pPr>
        <w:spacing w:line="560" w:lineRule="exact"/>
        <w:ind w:firstLineChars="200" w:firstLine="643"/>
        <w:rPr>
          <w:rFonts w:eastAsia="仿宋"/>
          <w:sz w:val="32"/>
          <w:szCs w:val="32"/>
        </w:rPr>
      </w:pPr>
      <w:r w:rsidRPr="00256317">
        <w:rPr>
          <w:rFonts w:eastAsia="仿宋" w:hint="eastAsia"/>
          <w:b/>
          <w:sz w:val="32"/>
          <w:szCs w:val="32"/>
        </w:rPr>
        <w:lastRenderedPageBreak/>
        <w:t>第四条</w:t>
      </w:r>
      <w:r>
        <w:rPr>
          <w:rFonts w:eastAsia="仿宋"/>
          <w:sz w:val="32"/>
          <w:szCs w:val="32"/>
        </w:rPr>
        <w:t xml:space="preserve"> </w:t>
      </w:r>
      <w:r>
        <w:rPr>
          <w:rFonts w:eastAsia="仿宋" w:hint="eastAsia"/>
          <w:sz w:val="32"/>
          <w:szCs w:val="32"/>
        </w:rPr>
        <w:t>本所会员以及其他证券经营机构（以下统称证券经营机构）应当切实履行适当性管理职责，建立健全适当性管理的业务制度和操作流程，加强系统建设和业务人员培训，充分了解投资者信息，有针对性地进行风险揭示，引导投资者在充分了解债券和资产支持证券特性的基础上审慎参与债券和资产支持证券交易。</w:t>
      </w:r>
    </w:p>
    <w:p w:rsidR="0045794C" w:rsidRDefault="00B63F6A" w:rsidP="00256317">
      <w:pPr>
        <w:spacing w:line="560" w:lineRule="exact"/>
        <w:ind w:firstLineChars="200" w:firstLine="643"/>
        <w:rPr>
          <w:rFonts w:eastAsia="仿宋"/>
          <w:sz w:val="32"/>
          <w:szCs w:val="32"/>
        </w:rPr>
      </w:pPr>
      <w:r w:rsidRPr="00256317">
        <w:rPr>
          <w:rFonts w:eastAsia="仿宋" w:hint="eastAsia"/>
          <w:b/>
          <w:sz w:val="32"/>
          <w:szCs w:val="32"/>
        </w:rPr>
        <w:t>第五条</w:t>
      </w:r>
      <w:r>
        <w:rPr>
          <w:rFonts w:eastAsia="仿宋"/>
          <w:sz w:val="32"/>
          <w:szCs w:val="32"/>
        </w:rPr>
        <w:t xml:space="preserve"> </w:t>
      </w:r>
      <w:r>
        <w:rPr>
          <w:rFonts w:eastAsia="仿宋" w:hint="eastAsia"/>
          <w:sz w:val="32"/>
          <w:szCs w:val="32"/>
        </w:rPr>
        <w:t>投资者参与本所债券市场，应当充分知悉和了解债</w:t>
      </w:r>
      <w:r>
        <w:rPr>
          <w:rFonts w:eastAsia="仿宋" w:hint="eastAsia"/>
          <w:sz w:val="32"/>
          <w:szCs w:val="32"/>
        </w:rPr>
        <w:t>券和资产支持证券风险事项、法律法规和本所业务规则，客观评估自身的风险认知和承受能力，审慎决定是否参与债券和资产支持证券交易。</w:t>
      </w:r>
      <w:r>
        <w:rPr>
          <w:rFonts w:eastAsia="仿宋"/>
          <w:sz w:val="32"/>
          <w:szCs w:val="32"/>
        </w:rPr>
        <w:t xml:space="preserve"> </w:t>
      </w:r>
    </w:p>
    <w:p w:rsidR="0045794C" w:rsidRDefault="00B63F6A">
      <w:pPr>
        <w:snapToGrid w:val="0"/>
        <w:spacing w:line="560" w:lineRule="exact"/>
        <w:jc w:val="center"/>
        <w:rPr>
          <w:rFonts w:ascii="黑体" w:eastAsia="黑体" w:hAnsi="黑体"/>
          <w:sz w:val="32"/>
          <w:szCs w:val="32"/>
        </w:rPr>
      </w:pPr>
      <w:r>
        <w:rPr>
          <w:rFonts w:ascii="黑体" w:eastAsia="黑体" w:hAnsi="黑体" w:hint="eastAsia"/>
          <w:sz w:val="32"/>
          <w:szCs w:val="32"/>
        </w:rPr>
        <w:t>第二章</w:t>
      </w:r>
      <w:r>
        <w:rPr>
          <w:rFonts w:ascii="黑体" w:eastAsia="黑体" w:hAnsi="黑体"/>
          <w:sz w:val="32"/>
          <w:szCs w:val="32"/>
        </w:rPr>
        <w:t xml:space="preserve"> </w:t>
      </w:r>
      <w:r>
        <w:rPr>
          <w:rFonts w:ascii="黑体" w:eastAsia="黑体" w:hAnsi="黑体" w:hint="eastAsia"/>
          <w:sz w:val="32"/>
          <w:szCs w:val="32"/>
        </w:rPr>
        <w:t>投资者适当性标准</w:t>
      </w:r>
    </w:p>
    <w:p w:rsidR="0045794C" w:rsidRDefault="00B63F6A" w:rsidP="00256317">
      <w:pPr>
        <w:spacing w:line="560" w:lineRule="exact"/>
        <w:ind w:firstLineChars="200" w:firstLine="643"/>
        <w:rPr>
          <w:rFonts w:eastAsia="仿宋"/>
          <w:sz w:val="32"/>
          <w:szCs w:val="32"/>
        </w:rPr>
      </w:pPr>
      <w:r w:rsidRPr="00256317">
        <w:rPr>
          <w:rFonts w:eastAsia="仿宋" w:hint="eastAsia"/>
          <w:b/>
          <w:sz w:val="32"/>
          <w:szCs w:val="32"/>
        </w:rPr>
        <w:t>第六条</w:t>
      </w:r>
      <w:r>
        <w:rPr>
          <w:rFonts w:eastAsia="仿宋"/>
          <w:sz w:val="32"/>
          <w:szCs w:val="32"/>
        </w:rPr>
        <w:t xml:space="preserve"> </w:t>
      </w:r>
      <w:r>
        <w:rPr>
          <w:rFonts w:eastAsia="仿宋" w:hint="eastAsia"/>
          <w:sz w:val="32"/>
          <w:szCs w:val="32"/>
        </w:rPr>
        <w:t>债券市场投资者按照财产状况、金融资产状况、投资知识和经验、专业能力等因素，分为专业投资者和普通投资者。</w:t>
      </w:r>
    </w:p>
    <w:p w:rsidR="0045794C" w:rsidRDefault="00B63F6A" w:rsidP="00256317">
      <w:pPr>
        <w:spacing w:line="560" w:lineRule="exact"/>
        <w:ind w:firstLineChars="200" w:firstLine="643"/>
        <w:rPr>
          <w:rFonts w:eastAsia="仿宋"/>
          <w:sz w:val="32"/>
          <w:szCs w:val="32"/>
        </w:rPr>
      </w:pPr>
      <w:r w:rsidRPr="00256317">
        <w:rPr>
          <w:rFonts w:eastAsia="仿宋" w:hint="eastAsia"/>
          <w:b/>
          <w:sz w:val="32"/>
          <w:szCs w:val="32"/>
        </w:rPr>
        <w:t>第七条</w:t>
      </w:r>
      <w:r>
        <w:rPr>
          <w:rFonts w:eastAsia="仿宋"/>
          <w:sz w:val="32"/>
          <w:szCs w:val="32"/>
        </w:rPr>
        <w:t xml:space="preserve"> </w:t>
      </w:r>
      <w:r>
        <w:rPr>
          <w:rFonts w:eastAsia="仿宋" w:hint="eastAsia"/>
          <w:sz w:val="32"/>
          <w:szCs w:val="32"/>
        </w:rPr>
        <w:t>专业投资者应当符合下列条件：</w:t>
      </w:r>
    </w:p>
    <w:p w:rsidR="0045794C" w:rsidRDefault="00B63F6A">
      <w:pPr>
        <w:spacing w:line="560" w:lineRule="exact"/>
        <w:ind w:firstLineChars="200" w:firstLine="640"/>
        <w:rPr>
          <w:rFonts w:eastAsia="仿宋"/>
          <w:sz w:val="32"/>
          <w:szCs w:val="32"/>
        </w:rPr>
      </w:pPr>
      <w:r>
        <w:rPr>
          <w:rFonts w:eastAsia="仿宋" w:hint="eastAsia"/>
          <w:sz w:val="32"/>
          <w:szCs w:val="32"/>
        </w:rPr>
        <w:t>（一）经有关金融监管部门批准设立的金融机构，包括证券公司、期货公司、基金管理公司及其子公司、商业银行及其理财子公司、保险公司、信托公司、财务公司等；经行业协会备案或者登记的证券公司子公司、期货公司子公司、私募</w:t>
      </w:r>
      <w:r>
        <w:rPr>
          <w:rFonts w:eastAsia="仿宋" w:hint="eastAsia"/>
          <w:sz w:val="32"/>
          <w:szCs w:val="32"/>
        </w:rPr>
        <w:t>基金管理人。</w:t>
      </w:r>
    </w:p>
    <w:p w:rsidR="0045794C" w:rsidRDefault="00B63F6A">
      <w:pPr>
        <w:spacing w:line="560" w:lineRule="exact"/>
        <w:ind w:firstLineChars="200" w:firstLine="640"/>
        <w:rPr>
          <w:rFonts w:eastAsia="仿宋"/>
          <w:sz w:val="32"/>
          <w:szCs w:val="32"/>
        </w:rPr>
      </w:pPr>
      <w:r>
        <w:rPr>
          <w:rFonts w:eastAsia="仿宋" w:hint="eastAsia"/>
          <w:sz w:val="32"/>
          <w:szCs w:val="32"/>
        </w:rPr>
        <w:t>（二）上述机构面向投资者发行的理财产品，包括但不限于证券公司资产管理产品、基金管理公司及其子公司产品、期货公司资产管理产品、银行理财产品、保险产品、信托产品、经行业协会备案的私募基金。</w:t>
      </w:r>
    </w:p>
    <w:p w:rsidR="0045794C" w:rsidRDefault="00B63F6A">
      <w:pPr>
        <w:spacing w:line="560" w:lineRule="exact"/>
        <w:ind w:firstLineChars="200" w:firstLine="640"/>
        <w:rPr>
          <w:rFonts w:ascii="仿宋" w:eastAsia="仿宋" w:hAnsi="仿宋"/>
          <w:sz w:val="32"/>
          <w:szCs w:val="32"/>
        </w:rPr>
      </w:pPr>
      <w:r>
        <w:rPr>
          <w:rFonts w:eastAsia="仿宋" w:hint="eastAsia"/>
          <w:sz w:val="32"/>
          <w:szCs w:val="32"/>
        </w:rPr>
        <w:lastRenderedPageBreak/>
        <w:t>（三）社会保障基金、企业年金等养老基金，慈善基金</w:t>
      </w:r>
      <w:r>
        <w:rPr>
          <w:rFonts w:ascii="仿宋" w:eastAsia="仿宋" w:hAnsi="仿宋" w:hint="eastAsia"/>
          <w:sz w:val="32"/>
          <w:szCs w:val="32"/>
        </w:rPr>
        <w:t>等社会公益基金，合格境外机构投资者（</w:t>
      </w:r>
      <w:r>
        <w:rPr>
          <w:rFonts w:ascii="仿宋" w:eastAsia="仿宋" w:hAnsi="仿宋"/>
          <w:sz w:val="32"/>
          <w:szCs w:val="32"/>
        </w:rPr>
        <w:t>QFII</w:t>
      </w:r>
      <w:r>
        <w:rPr>
          <w:rFonts w:ascii="仿宋" w:eastAsia="仿宋" w:hAnsi="仿宋" w:hint="eastAsia"/>
          <w:sz w:val="32"/>
          <w:szCs w:val="32"/>
        </w:rPr>
        <w:t>）、人民币合格境外机构投资者（</w:t>
      </w:r>
      <w:r>
        <w:rPr>
          <w:rFonts w:ascii="仿宋" w:eastAsia="仿宋" w:hAnsi="仿宋"/>
          <w:sz w:val="32"/>
          <w:szCs w:val="32"/>
        </w:rPr>
        <w:t>RQFII</w:t>
      </w:r>
      <w:r>
        <w:rPr>
          <w:rFonts w:ascii="仿宋" w:eastAsia="仿宋" w:hAnsi="仿宋" w:hint="eastAsia"/>
          <w:sz w:val="32"/>
          <w:szCs w:val="32"/>
        </w:rPr>
        <w:t>）。</w:t>
      </w:r>
    </w:p>
    <w:p w:rsidR="0045794C" w:rsidRDefault="00B63F6A">
      <w:pPr>
        <w:spacing w:line="560" w:lineRule="exact"/>
        <w:ind w:firstLineChars="200" w:firstLine="640"/>
        <w:rPr>
          <w:rFonts w:ascii="仿宋" w:eastAsia="仿宋" w:hAnsi="仿宋"/>
          <w:sz w:val="32"/>
          <w:szCs w:val="32"/>
        </w:rPr>
      </w:pPr>
      <w:r>
        <w:rPr>
          <w:rFonts w:ascii="仿宋" w:eastAsia="仿宋" w:hAnsi="仿宋" w:hint="eastAsia"/>
          <w:sz w:val="32"/>
          <w:szCs w:val="32"/>
        </w:rPr>
        <w:t>（四）同时符合下列条件的法人或者其他组织：</w:t>
      </w:r>
    </w:p>
    <w:p w:rsidR="0045794C" w:rsidRDefault="00B63F6A">
      <w:pPr>
        <w:spacing w:line="56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最近</w:t>
      </w:r>
      <w:r>
        <w:rPr>
          <w:rFonts w:ascii="仿宋" w:eastAsia="仿宋" w:hAnsi="仿宋"/>
          <w:sz w:val="32"/>
          <w:szCs w:val="32"/>
        </w:rPr>
        <w:t>1</w:t>
      </w:r>
      <w:r>
        <w:rPr>
          <w:rFonts w:ascii="仿宋" w:eastAsia="仿宋" w:hAnsi="仿宋" w:hint="eastAsia"/>
          <w:sz w:val="32"/>
          <w:szCs w:val="32"/>
        </w:rPr>
        <w:t>年末净资产不低于</w:t>
      </w:r>
      <w:r>
        <w:rPr>
          <w:rFonts w:ascii="仿宋" w:eastAsia="仿宋" w:hAnsi="仿宋"/>
          <w:sz w:val="32"/>
          <w:szCs w:val="32"/>
        </w:rPr>
        <w:t>2000</w:t>
      </w:r>
      <w:r>
        <w:rPr>
          <w:rFonts w:ascii="仿宋" w:eastAsia="仿宋" w:hAnsi="仿宋" w:hint="eastAsia"/>
          <w:sz w:val="32"/>
          <w:szCs w:val="32"/>
        </w:rPr>
        <w:t>万元；</w:t>
      </w:r>
    </w:p>
    <w:p w:rsidR="0045794C" w:rsidRDefault="00B63F6A">
      <w:pPr>
        <w:spacing w:line="560" w:lineRule="exact"/>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最近</w:t>
      </w:r>
      <w:r>
        <w:rPr>
          <w:rFonts w:ascii="仿宋" w:eastAsia="仿宋" w:hAnsi="仿宋"/>
          <w:sz w:val="32"/>
          <w:szCs w:val="32"/>
        </w:rPr>
        <w:t>1</w:t>
      </w:r>
      <w:r>
        <w:rPr>
          <w:rFonts w:ascii="仿宋" w:eastAsia="仿宋" w:hAnsi="仿宋" w:hint="eastAsia"/>
          <w:sz w:val="32"/>
          <w:szCs w:val="32"/>
        </w:rPr>
        <w:t>年末金融资产不低于</w:t>
      </w:r>
      <w:r>
        <w:rPr>
          <w:rFonts w:ascii="仿宋" w:eastAsia="仿宋" w:hAnsi="仿宋"/>
          <w:sz w:val="32"/>
          <w:szCs w:val="32"/>
        </w:rPr>
        <w:t>1000</w:t>
      </w:r>
      <w:r>
        <w:rPr>
          <w:rFonts w:ascii="仿宋" w:eastAsia="仿宋" w:hAnsi="仿宋" w:hint="eastAsia"/>
          <w:sz w:val="32"/>
          <w:szCs w:val="32"/>
        </w:rPr>
        <w:t>万元；</w:t>
      </w:r>
    </w:p>
    <w:p w:rsidR="0045794C" w:rsidRDefault="00B63F6A">
      <w:pPr>
        <w:spacing w:line="560" w:lineRule="exact"/>
        <w:ind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具有</w:t>
      </w:r>
      <w:r>
        <w:rPr>
          <w:rFonts w:ascii="仿宋" w:eastAsia="仿宋" w:hAnsi="仿宋"/>
          <w:sz w:val="32"/>
          <w:szCs w:val="32"/>
        </w:rPr>
        <w:t>2</w:t>
      </w:r>
      <w:r>
        <w:rPr>
          <w:rFonts w:ascii="仿宋" w:eastAsia="仿宋" w:hAnsi="仿宋" w:hint="eastAsia"/>
          <w:sz w:val="32"/>
          <w:szCs w:val="32"/>
        </w:rPr>
        <w:t>年以上证券、基金、期货、黄金、外汇</w:t>
      </w:r>
      <w:r>
        <w:rPr>
          <w:rFonts w:ascii="仿宋" w:eastAsia="仿宋" w:hAnsi="仿宋" w:hint="eastAsia"/>
          <w:sz w:val="32"/>
          <w:szCs w:val="32"/>
        </w:rPr>
        <w:t>等投资经历。</w:t>
      </w:r>
    </w:p>
    <w:p w:rsidR="0045794C" w:rsidRDefault="00B63F6A">
      <w:pPr>
        <w:spacing w:line="560" w:lineRule="exact"/>
        <w:ind w:firstLineChars="200" w:firstLine="640"/>
        <w:rPr>
          <w:rFonts w:ascii="仿宋" w:eastAsia="仿宋" w:hAnsi="仿宋"/>
          <w:sz w:val="32"/>
          <w:szCs w:val="32"/>
        </w:rPr>
      </w:pPr>
      <w:r>
        <w:rPr>
          <w:rFonts w:ascii="仿宋" w:eastAsia="仿宋" w:hAnsi="仿宋" w:hint="eastAsia"/>
          <w:sz w:val="32"/>
          <w:szCs w:val="32"/>
        </w:rPr>
        <w:t>（五）同时符合下列条件的个人：</w:t>
      </w:r>
    </w:p>
    <w:p w:rsidR="0045794C" w:rsidRDefault="00B63F6A">
      <w:pPr>
        <w:spacing w:line="560" w:lineRule="exact"/>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申请资格认定前</w:t>
      </w:r>
      <w:r>
        <w:rPr>
          <w:rFonts w:ascii="仿宋" w:eastAsia="仿宋" w:hAnsi="仿宋"/>
          <w:sz w:val="32"/>
          <w:szCs w:val="32"/>
        </w:rPr>
        <w:t>20</w:t>
      </w:r>
      <w:r>
        <w:rPr>
          <w:rFonts w:ascii="仿宋" w:eastAsia="仿宋" w:hAnsi="仿宋"/>
          <w:sz w:val="32"/>
          <w:szCs w:val="32"/>
        </w:rPr>
        <w:t>个交易日名下</w:t>
      </w:r>
      <w:r>
        <w:rPr>
          <w:rFonts w:ascii="仿宋" w:eastAsia="仿宋" w:hAnsi="仿宋" w:hint="eastAsia"/>
          <w:sz w:val="32"/>
          <w:szCs w:val="32"/>
        </w:rPr>
        <w:t>金融资产日均不低于</w:t>
      </w:r>
      <w:r>
        <w:rPr>
          <w:rFonts w:ascii="仿宋" w:eastAsia="仿宋" w:hAnsi="仿宋"/>
          <w:sz w:val="32"/>
          <w:szCs w:val="32"/>
        </w:rPr>
        <w:t>500</w:t>
      </w:r>
      <w:r>
        <w:rPr>
          <w:rFonts w:ascii="仿宋" w:eastAsia="仿宋" w:hAnsi="仿宋" w:hint="eastAsia"/>
          <w:sz w:val="32"/>
          <w:szCs w:val="32"/>
        </w:rPr>
        <w:t>万元，或者最近</w:t>
      </w:r>
      <w:r>
        <w:rPr>
          <w:rFonts w:ascii="仿宋" w:eastAsia="仿宋" w:hAnsi="仿宋"/>
          <w:sz w:val="32"/>
          <w:szCs w:val="32"/>
        </w:rPr>
        <w:t>3</w:t>
      </w:r>
      <w:r>
        <w:rPr>
          <w:rFonts w:ascii="仿宋" w:eastAsia="仿宋" w:hAnsi="仿宋" w:hint="eastAsia"/>
          <w:sz w:val="32"/>
          <w:szCs w:val="32"/>
        </w:rPr>
        <w:t>年个人年均收入不低于</w:t>
      </w:r>
      <w:r>
        <w:rPr>
          <w:rFonts w:ascii="仿宋" w:eastAsia="仿宋" w:hAnsi="仿宋"/>
          <w:sz w:val="32"/>
          <w:szCs w:val="32"/>
        </w:rPr>
        <w:t>50</w:t>
      </w:r>
      <w:r>
        <w:rPr>
          <w:rFonts w:ascii="仿宋" w:eastAsia="仿宋" w:hAnsi="仿宋" w:hint="eastAsia"/>
          <w:sz w:val="32"/>
          <w:szCs w:val="32"/>
        </w:rPr>
        <w:t>万元；</w:t>
      </w:r>
    </w:p>
    <w:p w:rsidR="0045794C" w:rsidRDefault="00B63F6A">
      <w:pPr>
        <w:spacing w:line="560" w:lineRule="exact"/>
        <w:ind w:firstLineChars="200" w:firstLine="640"/>
        <w:rPr>
          <w:rFonts w:eastAsia="仿宋"/>
          <w:sz w:val="32"/>
          <w:szCs w:val="32"/>
        </w:rPr>
      </w:pPr>
      <w:r>
        <w:rPr>
          <w:rFonts w:ascii="仿宋" w:eastAsia="仿宋" w:hAnsi="仿宋"/>
          <w:sz w:val="32"/>
          <w:szCs w:val="32"/>
        </w:rPr>
        <w:t>2.</w:t>
      </w:r>
      <w:r>
        <w:rPr>
          <w:rFonts w:ascii="仿宋" w:eastAsia="仿宋" w:hAnsi="仿宋" w:hint="eastAsia"/>
          <w:sz w:val="32"/>
          <w:szCs w:val="32"/>
        </w:rPr>
        <w:t>具有</w:t>
      </w:r>
      <w:r>
        <w:rPr>
          <w:rFonts w:ascii="仿宋" w:eastAsia="仿宋" w:hAnsi="仿宋"/>
          <w:sz w:val="32"/>
          <w:szCs w:val="32"/>
        </w:rPr>
        <w:t>2</w:t>
      </w:r>
      <w:r>
        <w:rPr>
          <w:rFonts w:ascii="仿宋" w:eastAsia="仿宋" w:hAnsi="仿宋" w:hint="eastAsia"/>
          <w:sz w:val="32"/>
          <w:szCs w:val="32"/>
        </w:rPr>
        <w:t>年以上证券、基金、期货、黄金、外汇等投资经历，或者具有</w:t>
      </w:r>
      <w:r>
        <w:rPr>
          <w:rFonts w:ascii="仿宋" w:eastAsia="仿宋" w:hAnsi="仿宋"/>
          <w:sz w:val="32"/>
          <w:szCs w:val="32"/>
        </w:rPr>
        <w:t>2</w:t>
      </w:r>
      <w:r>
        <w:rPr>
          <w:rFonts w:ascii="仿宋" w:eastAsia="仿宋" w:hAnsi="仿宋" w:hint="eastAsia"/>
          <w:sz w:val="32"/>
          <w:szCs w:val="32"/>
        </w:rPr>
        <w:t>年以上金融产品设计、投资、风险管理以及相关工作经历，或者属于本条第（一）项规定的专业投资者</w:t>
      </w:r>
      <w:r>
        <w:rPr>
          <w:rFonts w:eastAsia="仿宋" w:hint="eastAsia"/>
          <w:sz w:val="32"/>
          <w:szCs w:val="32"/>
        </w:rPr>
        <w:t>的高级管理人员、获得职业资格认证的从事金融相关业务的注册会计师和律师。</w:t>
      </w:r>
    </w:p>
    <w:p w:rsidR="0045794C" w:rsidRDefault="00B63F6A">
      <w:pPr>
        <w:spacing w:line="560" w:lineRule="exact"/>
        <w:ind w:firstLineChars="200" w:firstLine="640"/>
        <w:rPr>
          <w:rFonts w:eastAsia="仿宋"/>
          <w:sz w:val="32"/>
          <w:szCs w:val="32"/>
        </w:rPr>
      </w:pPr>
      <w:r>
        <w:rPr>
          <w:rFonts w:eastAsia="仿宋" w:hint="eastAsia"/>
          <w:sz w:val="32"/>
          <w:szCs w:val="32"/>
        </w:rPr>
        <w:t>（六）中国证券监督管理委员会（以下简称中国证监会）和本所认可的其他投资者。</w:t>
      </w:r>
    </w:p>
    <w:p w:rsidR="0045794C" w:rsidRDefault="00B63F6A">
      <w:pPr>
        <w:spacing w:line="560" w:lineRule="exact"/>
        <w:ind w:firstLineChars="200" w:firstLine="640"/>
        <w:rPr>
          <w:rFonts w:eastAsia="仿宋"/>
          <w:sz w:val="32"/>
          <w:szCs w:val="32"/>
        </w:rPr>
      </w:pPr>
      <w:r>
        <w:rPr>
          <w:rFonts w:eastAsia="仿宋" w:hint="eastAsia"/>
          <w:sz w:val="32"/>
          <w:szCs w:val="32"/>
        </w:rPr>
        <w:t>前款所称金融资产按照《投资者适当性管理办法》相关规定予以认定。</w:t>
      </w:r>
    </w:p>
    <w:p w:rsidR="0045794C" w:rsidRDefault="00B63F6A" w:rsidP="00256317">
      <w:pPr>
        <w:spacing w:line="560" w:lineRule="exact"/>
        <w:ind w:firstLineChars="200" w:firstLine="643"/>
        <w:rPr>
          <w:rFonts w:eastAsia="仿宋"/>
          <w:sz w:val="32"/>
          <w:szCs w:val="32"/>
        </w:rPr>
      </w:pPr>
      <w:r w:rsidRPr="00256317">
        <w:rPr>
          <w:rFonts w:eastAsia="仿宋" w:hint="eastAsia"/>
          <w:b/>
          <w:sz w:val="32"/>
          <w:szCs w:val="32"/>
        </w:rPr>
        <w:t>第八条</w:t>
      </w:r>
      <w:r>
        <w:rPr>
          <w:rFonts w:eastAsia="仿宋"/>
          <w:sz w:val="32"/>
          <w:szCs w:val="32"/>
        </w:rPr>
        <w:t xml:space="preserve"> </w:t>
      </w:r>
      <w:r>
        <w:rPr>
          <w:rFonts w:eastAsia="仿宋" w:hint="eastAsia"/>
          <w:sz w:val="32"/>
          <w:szCs w:val="32"/>
        </w:rPr>
        <w:t>发行人的董事、监事、高级管理人员以及持股比例超过</w:t>
      </w:r>
      <w:r>
        <w:rPr>
          <w:rFonts w:eastAsia="仿宋"/>
          <w:sz w:val="32"/>
          <w:szCs w:val="32"/>
        </w:rPr>
        <w:t>5%</w:t>
      </w:r>
      <w:r>
        <w:rPr>
          <w:rFonts w:eastAsia="仿宋" w:hint="eastAsia"/>
          <w:sz w:val="32"/>
          <w:szCs w:val="32"/>
        </w:rPr>
        <w:t>的股东交易该发行人发行的债券，资产支持证券原始权益人及其关联方交易相应的资产支持证券，不受本办法第七条规</w:t>
      </w:r>
      <w:r>
        <w:rPr>
          <w:rFonts w:eastAsia="仿宋" w:hint="eastAsia"/>
          <w:sz w:val="32"/>
          <w:szCs w:val="32"/>
        </w:rPr>
        <w:lastRenderedPageBreak/>
        <w:t>定的专业投资者条件的限制。</w:t>
      </w:r>
    </w:p>
    <w:p w:rsidR="0045794C" w:rsidRDefault="00B63F6A" w:rsidP="00256317">
      <w:pPr>
        <w:spacing w:line="560" w:lineRule="exact"/>
        <w:ind w:firstLineChars="200" w:firstLine="643"/>
        <w:rPr>
          <w:rFonts w:eastAsia="仿宋"/>
          <w:sz w:val="32"/>
          <w:szCs w:val="32"/>
        </w:rPr>
      </w:pPr>
      <w:r w:rsidRPr="00256317">
        <w:rPr>
          <w:rFonts w:eastAsia="仿宋" w:hint="eastAsia"/>
          <w:b/>
          <w:sz w:val="32"/>
          <w:szCs w:val="32"/>
        </w:rPr>
        <w:t>第九条</w:t>
      </w:r>
      <w:r>
        <w:rPr>
          <w:rFonts w:eastAsia="仿宋"/>
          <w:sz w:val="32"/>
          <w:szCs w:val="32"/>
        </w:rPr>
        <w:t xml:space="preserve"> </w:t>
      </w:r>
      <w:r>
        <w:rPr>
          <w:rFonts w:eastAsia="仿宋" w:hint="eastAsia"/>
          <w:sz w:val="32"/>
          <w:szCs w:val="32"/>
        </w:rPr>
        <w:t>专业投资者可以交易在本所上市交易或者挂牌转让的全部债券，但下列债券仅限专业投资者中的机构投资者交易：</w:t>
      </w:r>
    </w:p>
    <w:p w:rsidR="0045794C" w:rsidRDefault="00B63F6A">
      <w:pPr>
        <w:spacing w:line="560" w:lineRule="exact"/>
        <w:ind w:firstLineChars="200" w:firstLine="640"/>
        <w:rPr>
          <w:rFonts w:eastAsia="仿宋"/>
          <w:sz w:val="32"/>
          <w:szCs w:val="32"/>
        </w:rPr>
      </w:pPr>
      <w:r>
        <w:rPr>
          <w:rFonts w:eastAsia="仿宋" w:hint="eastAsia"/>
          <w:sz w:val="32"/>
          <w:szCs w:val="32"/>
        </w:rPr>
        <w:t>（一）依据《公司债券管理办法》第十六条面向普通投资者公开发行的公司债券外的其他公司债券；</w:t>
      </w:r>
    </w:p>
    <w:p w:rsidR="0045794C" w:rsidRDefault="00B63F6A">
      <w:pPr>
        <w:spacing w:line="560" w:lineRule="exact"/>
        <w:ind w:firstLineChars="200" w:firstLine="640"/>
        <w:rPr>
          <w:rFonts w:eastAsia="仿宋"/>
          <w:sz w:val="32"/>
          <w:szCs w:val="32"/>
        </w:rPr>
      </w:pPr>
      <w:r>
        <w:rPr>
          <w:rFonts w:eastAsia="仿宋" w:hint="eastAsia"/>
          <w:sz w:val="32"/>
          <w:szCs w:val="32"/>
        </w:rPr>
        <w:t>（二）本所规定的其他仅限专业投资者中的机构投资者交易的债</w:t>
      </w:r>
      <w:r>
        <w:rPr>
          <w:rFonts w:eastAsia="仿宋" w:hint="eastAsia"/>
          <w:sz w:val="32"/>
          <w:szCs w:val="32"/>
        </w:rPr>
        <w:t>券。</w:t>
      </w:r>
    </w:p>
    <w:p w:rsidR="0045794C" w:rsidRDefault="00B63F6A">
      <w:pPr>
        <w:spacing w:line="560" w:lineRule="exact"/>
        <w:ind w:firstLineChars="200" w:firstLine="640"/>
        <w:rPr>
          <w:rFonts w:eastAsia="仿宋"/>
          <w:sz w:val="32"/>
          <w:szCs w:val="32"/>
        </w:rPr>
      </w:pPr>
      <w:r>
        <w:rPr>
          <w:rFonts w:eastAsia="仿宋" w:hint="eastAsia"/>
          <w:sz w:val="32"/>
          <w:szCs w:val="32"/>
        </w:rPr>
        <w:t>资产支持证券仅限专业投资者中的机构投资者交易。</w:t>
      </w:r>
    </w:p>
    <w:p w:rsidR="0045794C" w:rsidRDefault="00B63F6A" w:rsidP="00256317">
      <w:pPr>
        <w:spacing w:line="560" w:lineRule="exact"/>
        <w:ind w:firstLineChars="200" w:firstLine="643"/>
        <w:rPr>
          <w:rFonts w:eastAsia="仿宋"/>
          <w:sz w:val="32"/>
          <w:szCs w:val="32"/>
        </w:rPr>
      </w:pPr>
      <w:r w:rsidRPr="00256317">
        <w:rPr>
          <w:rFonts w:eastAsia="仿宋" w:hint="eastAsia"/>
          <w:b/>
          <w:sz w:val="32"/>
          <w:szCs w:val="32"/>
        </w:rPr>
        <w:t>第十条</w:t>
      </w:r>
      <w:r>
        <w:rPr>
          <w:rFonts w:eastAsia="仿宋"/>
          <w:sz w:val="32"/>
          <w:szCs w:val="32"/>
        </w:rPr>
        <w:t xml:space="preserve"> </w:t>
      </w:r>
      <w:r>
        <w:rPr>
          <w:rFonts w:eastAsia="仿宋" w:hint="eastAsia"/>
          <w:sz w:val="32"/>
          <w:szCs w:val="32"/>
        </w:rPr>
        <w:t>普通投资者可以交易在本所上市的下列债券：</w:t>
      </w:r>
    </w:p>
    <w:p w:rsidR="0045794C" w:rsidRDefault="00B63F6A">
      <w:pPr>
        <w:spacing w:line="560" w:lineRule="exact"/>
        <w:ind w:firstLineChars="200" w:firstLine="640"/>
        <w:rPr>
          <w:rFonts w:eastAsia="仿宋"/>
          <w:sz w:val="32"/>
          <w:szCs w:val="32"/>
        </w:rPr>
      </w:pPr>
      <w:r>
        <w:rPr>
          <w:rFonts w:eastAsia="仿宋" w:hint="eastAsia"/>
          <w:sz w:val="32"/>
          <w:szCs w:val="32"/>
        </w:rPr>
        <w:t>（一）国债；</w:t>
      </w:r>
    </w:p>
    <w:p w:rsidR="0045794C" w:rsidRDefault="00B63F6A">
      <w:pPr>
        <w:spacing w:line="560" w:lineRule="exact"/>
        <w:ind w:firstLineChars="200" w:firstLine="640"/>
        <w:rPr>
          <w:rFonts w:eastAsia="仿宋"/>
          <w:sz w:val="32"/>
          <w:szCs w:val="32"/>
        </w:rPr>
      </w:pPr>
      <w:r>
        <w:rPr>
          <w:rFonts w:eastAsia="仿宋" w:hint="eastAsia"/>
          <w:sz w:val="32"/>
          <w:szCs w:val="32"/>
        </w:rPr>
        <w:t>（二）地方政府债券；</w:t>
      </w:r>
    </w:p>
    <w:p w:rsidR="0045794C" w:rsidRDefault="00B63F6A">
      <w:pPr>
        <w:spacing w:line="560" w:lineRule="exact"/>
        <w:ind w:firstLineChars="200" w:firstLine="640"/>
        <w:rPr>
          <w:rFonts w:eastAsia="仿宋"/>
          <w:sz w:val="32"/>
          <w:szCs w:val="32"/>
        </w:rPr>
      </w:pPr>
      <w:r>
        <w:rPr>
          <w:rFonts w:eastAsia="仿宋" w:hint="eastAsia"/>
          <w:sz w:val="32"/>
          <w:szCs w:val="32"/>
        </w:rPr>
        <w:t>（三）政策性银行金融债券；</w:t>
      </w:r>
    </w:p>
    <w:p w:rsidR="0045794C" w:rsidRDefault="00B63F6A">
      <w:pPr>
        <w:spacing w:line="560" w:lineRule="exact"/>
        <w:ind w:firstLineChars="200" w:firstLine="640"/>
        <w:rPr>
          <w:rFonts w:eastAsia="仿宋"/>
          <w:sz w:val="32"/>
          <w:szCs w:val="32"/>
        </w:rPr>
      </w:pPr>
      <w:r>
        <w:rPr>
          <w:rFonts w:eastAsia="仿宋" w:hint="eastAsia"/>
          <w:sz w:val="32"/>
          <w:szCs w:val="32"/>
        </w:rPr>
        <w:t>（四）中国铁路建设债券等政府支持债券；</w:t>
      </w:r>
    </w:p>
    <w:p w:rsidR="0045794C" w:rsidRDefault="00B63F6A">
      <w:pPr>
        <w:spacing w:line="560" w:lineRule="exact"/>
        <w:ind w:firstLineChars="200" w:firstLine="640"/>
        <w:rPr>
          <w:rFonts w:eastAsia="仿宋"/>
          <w:sz w:val="32"/>
          <w:szCs w:val="32"/>
        </w:rPr>
      </w:pPr>
      <w:r>
        <w:rPr>
          <w:rFonts w:eastAsia="仿宋" w:hint="eastAsia"/>
          <w:sz w:val="32"/>
          <w:szCs w:val="32"/>
        </w:rPr>
        <w:t>（五）资信状况符合《公司债券管理办法》第十六条规定标准并面向普通投资者公开发行的公司债券；</w:t>
      </w:r>
    </w:p>
    <w:p w:rsidR="0045794C" w:rsidRDefault="00B63F6A">
      <w:pPr>
        <w:spacing w:line="560" w:lineRule="exact"/>
        <w:ind w:firstLineChars="200" w:firstLine="640"/>
        <w:rPr>
          <w:rFonts w:eastAsia="仿宋"/>
          <w:sz w:val="32"/>
          <w:szCs w:val="32"/>
        </w:rPr>
      </w:pPr>
      <w:r>
        <w:rPr>
          <w:rFonts w:eastAsia="仿宋" w:hint="eastAsia"/>
          <w:sz w:val="32"/>
          <w:szCs w:val="32"/>
        </w:rPr>
        <w:t>（六）本所认可的其他债券品种。</w:t>
      </w:r>
    </w:p>
    <w:p w:rsidR="0045794C" w:rsidRDefault="00B63F6A" w:rsidP="00256317">
      <w:pPr>
        <w:spacing w:line="560" w:lineRule="exact"/>
        <w:ind w:firstLineChars="200" w:firstLine="643"/>
        <w:rPr>
          <w:rFonts w:eastAsia="仿宋"/>
          <w:sz w:val="32"/>
          <w:szCs w:val="32"/>
        </w:rPr>
      </w:pPr>
      <w:r w:rsidRPr="00256317">
        <w:rPr>
          <w:rFonts w:eastAsia="仿宋" w:hint="eastAsia"/>
          <w:b/>
          <w:sz w:val="32"/>
          <w:szCs w:val="32"/>
        </w:rPr>
        <w:t>第十一条</w:t>
      </w:r>
      <w:r>
        <w:rPr>
          <w:rFonts w:eastAsia="仿宋"/>
          <w:sz w:val="32"/>
          <w:szCs w:val="32"/>
        </w:rPr>
        <w:t xml:space="preserve"> </w:t>
      </w:r>
      <w:r>
        <w:rPr>
          <w:rFonts w:eastAsia="仿宋" w:hint="eastAsia"/>
          <w:sz w:val="32"/>
          <w:szCs w:val="32"/>
        </w:rPr>
        <w:t>承销机构可以参与其承销的债券和资产支持证券的交易，但其自营、资产管理以及投资顾问等不同业务类型下的债券和资产支持证券业务应当按照相关规定分开办理，实行严格分离，切实防范利</w:t>
      </w:r>
      <w:r>
        <w:rPr>
          <w:rFonts w:eastAsia="仿宋" w:hint="eastAsia"/>
          <w:sz w:val="32"/>
          <w:szCs w:val="32"/>
        </w:rPr>
        <w:t>益冲突。</w:t>
      </w:r>
    </w:p>
    <w:p w:rsidR="0045794C" w:rsidRDefault="00B63F6A" w:rsidP="00256317">
      <w:pPr>
        <w:spacing w:line="560" w:lineRule="exact"/>
        <w:ind w:firstLineChars="200" w:firstLine="643"/>
        <w:rPr>
          <w:rFonts w:eastAsia="仿宋"/>
          <w:sz w:val="32"/>
          <w:szCs w:val="32"/>
        </w:rPr>
      </w:pPr>
      <w:r w:rsidRPr="00256317">
        <w:rPr>
          <w:rFonts w:eastAsia="仿宋" w:hint="eastAsia"/>
          <w:b/>
          <w:sz w:val="32"/>
          <w:szCs w:val="32"/>
        </w:rPr>
        <w:t>第十二条</w:t>
      </w:r>
      <w:r>
        <w:rPr>
          <w:rFonts w:eastAsia="仿宋"/>
          <w:sz w:val="32"/>
          <w:szCs w:val="32"/>
        </w:rPr>
        <w:t xml:space="preserve"> </w:t>
      </w:r>
      <w:r>
        <w:rPr>
          <w:rFonts w:eastAsia="仿宋" w:hint="eastAsia"/>
          <w:sz w:val="32"/>
          <w:szCs w:val="32"/>
        </w:rPr>
        <w:t>因继承、赠与、企业分立等</w:t>
      </w:r>
      <w:proofErr w:type="gramStart"/>
      <w:r>
        <w:rPr>
          <w:rFonts w:eastAsia="仿宋" w:hint="eastAsia"/>
          <w:sz w:val="32"/>
          <w:szCs w:val="32"/>
        </w:rPr>
        <w:t>非交易</w:t>
      </w:r>
      <w:proofErr w:type="gramEnd"/>
      <w:r>
        <w:rPr>
          <w:rFonts w:eastAsia="仿宋" w:hint="eastAsia"/>
          <w:sz w:val="32"/>
          <w:szCs w:val="32"/>
        </w:rPr>
        <w:t>行为，普通投资者获得仅限专业投资者参与交易的债券和资产支持证券，或者</w:t>
      </w:r>
      <w:r>
        <w:rPr>
          <w:rFonts w:eastAsia="仿宋" w:hint="eastAsia"/>
          <w:sz w:val="32"/>
          <w:szCs w:val="32"/>
        </w:rPr>
        <w:lastRenderedPageBreak/>
        <w:t>专业投资者中的个人投资者获得仅限机构投资者参与交易的债券和资产支持证券的，可以选择持有到期或者卖出，不得另行买入。</w:t>
      </w:r>
    </w:p>
    <w:p w:rsidR="0045794C" w:rsidRDefault="00B63F6A" w:rsidP="00256317">
      <w:pPr>
        <w:spacing w:line="560" w:lineRule="exact"/>
        <w:ind w:firstLineChars="200" w:firstLine="643"/>
        <w:rPr>
          <w:rFonts w:eastAsia="仿宋"/>
          <w:sz w:val="32"/>
          <w:szCs w:val="32"/>
        </w:rPr>
      </w:pPr>
      <w:r w:rsidRPr="00256317">
        <w:rPr>
          <w:rFonts w:eastAsia="仿宋" w:hint="eastAsia"/>
          <w:b/>
          <w:sz w:val="32"/>
          <w:szCs w:val="32"/>
        </w:rPr>
        <w:t>第十三条</w:t>
      </w:r>
      <w:r>
        <w:rPr>
          <w:rFonts w:eastAsia="仿宋"/>
          <w:sz w:val="32"/>
          <w:szCs w:val="32"/>
        </w:rPr>
        <w:t xml:space="preserve"> </w:t>
      </w:r>
      <w:r>
        <w:rPr>
          <w:rFonts w:eastAsia="仿宋" w:hint="eastAsia"/>
          <w:sz w:val="32"/>
          <w:szCs w:val="32"/>
        </w:rPr>
        <w:t>在本所上市交易或者挂牌转让的债券，发生下列情形之一的，发行人、受托管理人或者具有同等职责的机构应当及时发布公告提示投资风险，自该情形披露之日起，仅本办法规定的专业投资者中的机构投资者可以买入该债券：</w:t>
      </w:r>
    </w:p>
    <w:p w:rsidR="0045794C" w:rsidRDefault="00B63F6A">
      <w:pPr>
        <w:spacing w:line="560" w:lineRule="exact"/>
        <w:ind w:firstLineChars="200" w:firstLine="640"/>
        <w:rPr>
          <w:rFonts w:eastAsia="仿宋"/>
          <w:sz w:val="32"/>
          <w:szCs w:val="32"/>
        </w:rPr>
      </w:pPr>
      <w:r>
        <w:rPr>
          <w:rFonts w:eastAsia="仿宋" w:hint="eastAsia"/>
          <w:sz w:val="32"/>
          <w:szCs w:val="32"/>
        </w:rPr>
        <w:t>（一）发行人最近一个会计年度经审计的财务报告显示为亏损或者经更正的财</w:t>
      </w:r>
      <w:r>
        <w:rPr>
          <w:rFonts w:eastAsia="仿宋" w:hint="eastAsia"/>
          <w:sz w:val="32"/>
          <w:szCs w:val="32"/>
        </w:rPr>
        <w:t>务报告显示为亏损；</w:t>
      </w:r>
    </w:p>
    <w:p w:rsidR="0045794C" w:rsidRDefault="00B63F6A">
      <w:pPr>
        <w:spacing w:line="560" w:lineRule="exact"/>
        <w:ind w:firstLineChars="200" w:firstLine="640"/>
        <w:rPr>
          <w:rFonts w:eastAsia="仿宋"/>
          <w:sz w:val="32"/>
          <w:szCs w:val="32"/>
        </w:rPr>
      </w:pPr>
      <w:r>
        <w:rPr>
          <w:rFonts w:eastAsia="仿宋" w:hint="eastAsia"/>
          <w:sz w:val="32"/>
          <w:szCs w:val="32"/>
        </w:rPr>
        <w:t>（二）发行人发生严重违反法律法规或者合同约定的行为，或者被证券监督管理部门立案调查，严重影响其偿债能力；</w:t>
      </w:r>
    </w:p>
    <w:p w:rsidR="0045794C" w:rsidRDefault="00B63F6A">
      <w:pPr>
        <w:spacing w:line="560" w:lineRule="exact"/>
        <w:ind w:firstLineChars="200" w:firstLine="640"/>
        <w:rPr>
          <w:rFonts w:eastAsia="仿宋"/>
          <w:sz w:val="32"/>
          <w:szCs w:val="32"/>
        </w:rPr>
      </w:pPr>
      <w:r>
        <w:rPr>
          <w:rFonts w:eastAsia="仿宋" w:hint="eastAsia"/>
          <w:sz w:val="32"/>
          <w:szCs w:val="32"/>
        </w:rPr>
        <w:t>（三）发行人发生债务违约或者延迟支付本息；</w:t>
      </w:r>
    </w:p>
    <w:p w:rsidR="0045794C" w:rsidRDefault="00B63F6A">
      <w:pPr>
        <w:spacing w:line="560" w:lineRule="exact"/>
        <w:ind w:firstLineChars="200" w:firstLine="640"/>
        <w:rPr>
          <w:rFonts w:eastAsia="仿宋"/>
          <w:sz w:val="32"/>
          <w:szCs w:val="32"/>
        </w:rPr>
      </w:pPr>
      <w:r>
        <w:rPr>
          <w:rFonts w:eastAsia="仿宋" w:hint="eastAsia"/>
          <w:sz w:val="32"/>
          <w:szCs w:val="32"/>
        </w:rPr>
        <w:t>（四）发行人发生严重影响其偿债能力的其他重大事项，导致债券还本付息存在重大不确定性；</w:t>
      </w:r>
    </w:p>
    <w:p w:rsidR="0045794C" w:rsidRDefault="00B63F6A">
      <w:pPr>
        <w:spacing w:line="560" w:lineRule="exact"/>
        <w:ind w:firstLineChars="200" w:firstLine="640"/>
        <w:rPr>
          <w:rFonts w:eastAsia="仿宋"/>
          <w:sz w:val="32"/>
          <w:szCs w:val="32"/>
        </w:rPr>
      </w:pPr>
      <w:r>
        <w:rPr>
          <w:rFonts w:eastAsia="仿宋" w:hint="eastAsia"/>
          <w:sz w:val="32"/>
          <w:szCs w:val="32"/>
        </w:rPr>
        <w:t>（五）发行人发生其他影响投资者权益保护的负面情形。</w:t>
      </w:r>
    </w:p>
    <w:p w:rsidR="0045794C" w:rsidRDefault="00B63F6A">
      <w:pPr>
        <w:spacing w:line="560" w:lineRule="exact"/>
        <w:ind w:firstLineChars="200" w:firstLine="640"/>
        <w:rPr>
          <w:rFonts w:eastAsia="仿宋"/>
          <w:sz w:val="32"/>
          <w:szCs w:val="32"/>
        </w:rPr>
      </w:pPr>
      <w:r>
        <w:rPr>
          <w:rFonts w:eastAsia="仿宋" w:hint="eastAsia"/>
          <w:sz w:val="32"/>
          <w:szCs w:val="32"/>
        </w:rPr>
        <w:t>发行人、受托管理人或者具有同等职责的机构未按前款要求发布公告的，本所可以根据实际情况，调整债券的投资者适当性管理要求。</w:t>
      </w:r>
    </w:p>
    <w:p w:rsidR="0045794C" w:rsidRDefault="00B63F6A" w:rsidP="00256317">
      <w:pPr>
        <w:spacing w:line="560" w:lineRule="exact"/>
        <w:ind w:firstLineChars="200" w:firstLine="643"/>
        <w:rPr>
          <w:rFonts w:eastAsia="仿宋"/>
          <w:sz w:val="32"/>
          <w:szCs w:val="32"/>
        </w:rPr>
      </w:pPr>
      <w:r w:rsidRPr="00256317">
        <w:rPr>
          <w:rFonts w:eastAsia="仿宋" w:hint="eastAsia"/>
          <w:b/>
          <w:sz w:val="32"/>
          <w:szCs w:val="32"/>
        </w:rPr>
        <w:t>第十四条</w:t>
      </w:r>
      <w:r>
        <w:rPr>
          <w:rFonts w:eastAsia="仿宋"/>
          <w:sz w:val="32"/>
          <w:szCs w:val="32"/>
        </w:rPr>
        <w:t xml:space="preserve"> </w:t>
      </w:r>
      <w:r>
        <w:rPr>
          <w:rFonts w:eastAsia="仿宋" w:hint="eastAsia"/>
          <w:sz w:val="32"/>
          <w:szCs w:val="32"/>
        </w:rPr>
        <w:t>债券通用质押式回购的融资、债券质押</w:t>
      </w:r>
      <w:proofErr w:type="gramStart"/>
      <w:r>
        <w:rPr>
          <w:rFonts w:eastAsia="仿宋" w:hint="eastAsia"/>
          <w:sz w:val="32"/>
          <w:szCs w:val="32"/>
        </w:rPr>
        <w:t>式协议</w:t>
      </w:r>
      <w:proofErr w:type="gramEnd"/>
      <w:r>
        <w:rPr>
          <w:rFonts w:eastAsia="仿宋" w:hint="eastAsia"/>
          <w:sz w:val="32"/>
          <w:szCs w:val="32"/>
        </w:rPr>
        <w:t>回购以及债券质押式三方回购的融资和融券等交易仅限本办法规定的专业投资者中的机构投资者参与。专业投资者以及普通投资者可以参与本所债券通用质押式回购的融券交易。</w:t>
      </w:r>
    </w:p>
    <w:p w:rsidR="0045794C" w:rsidRDefault="00B63F6A">
      <w:pPr>
        <w:snapToGrid w:val="0"/>
        <w:spacing w:line="560" w:lineRule="exact"/>
        <w:jc w:val="center"/>
        <w:rPr>
          <w:rFonts w:ascii="黑体" w:eastAsia="黑体" w:hAnsi="黑体"/>
          <w:sz w:val="32"/>
          <w:szCs w:val="32"/>
        </w:rPr>
      </w:pPr>
      <w:r>
        <w:rPr>
          <w:rFonts w:ascii="黑体" w:eastAsia="黑体" w:hAnsi="黑体" w:hint="eastAsia"/>
          <w:sz w:val="32"/>
          <w:szCs w:val="32"/>
        </w:rPr>
        <w:lastRenderedPageBreak/>
        <w:t>第三章</w:t>
      </w:r>
      <w:r>
        <w:rPr>
          <w:rFonts w:ascii="黑体" w:eastAsia="黑体" w:hAnsi="黑体"/>
          <w:sz w:val="32"/>
          <w:szCs w:val="32"/>
        </w:rPr>
        <w:t xml:space="preserve"> </w:t>
      </w:r>
      <w:r>
        <w:rPr>
          <w:rFonts w:ascii="黑体" w:eastAsia="黑体" w:hAnsi="黑体" w:hint="eastAsia"/>
          <w:sz w:val="32"/>
          <w:szCs w:val="32"/>
        </w:rPr>
        <w:t>投资者适当性管理</w:t>
      </w:r>
    </w:p>
    <w:p w:rsidR="0045794C" w:rsidRDefault="00B63F6A" w:rsidP="00256317">
      <w:pPr>
        <w:spacing w:line="560" w:lineRule="exact"/>
        <w:ind w:firstLineChars="200" w:firstLine="643"/>
        <w:rPr>
          <w:rFonts w:eastAsia="仿宋"/>
          <w:sz w:val="32"/>
          <w:szCs w:val="32"/>
        </w:rPr>
      </w:pPr>
      <w:r w:rsidRPr="00256317">
        <w:rPr>
          <w:rFonts w:eastAsia="仿宋" w:hint="eastAsia"/>
          <w:b/>
          <w:sz w:val="32"/>
          <w:szCs w:val="32"/>
        </w:rPr>
        <w:t>第十五条</w:t>
      </w:r>
      <w:r>
        <w:rPr>
          <w:rFonts w:eastAsia="仿宋"/>
          <w:sz w:val="32"/>
          <w:szCs w:val="32"/>
        </w:rPr>
        <w:t xml:space="preserve"> </w:t>
      </w:r>
      <w:r>
        <w:rPr>
          <w:rFonts w:eastAsia="仿宋" w:hint="eastAsia"/>
          <w:sz w:val="32"/>
          <w:szCs w:val="32"/>
        </w:rPr>
        <w:t>证券经营机构应当采取有效措施，确保债券和资产支持证券投资者符合本所投资者适当性管理规定。</w:t>
      </w:r>
    </w:p>
    <w:p w:rsidR="0045794C" w:rsidRDefault="00B63F6A" w:rsidP="00256317">
      <w:pPr>
        <w:spacing w:line="560" w:lineRule="exact"/>
        <w:ind w:firstLineChars="200" w:firstLine="643"/>
        <w:rPr>
          <w:rFonts w:eastAsia="仿宋"/>
          <w:sz w:val="32"/>
          <w:szCs w:val="32"/>
        </w:rPr>
      </w:pPr>
      <w:r w:rsidRPr="00256317">
        <w:rPr>
          <w:rFonts w:eastAsia="仿宋" w:hint="eastAsia"/>
          <w:b/>
          <w:sz w:val="32"/>
          <w:szCs w:val="32"/>
        </w:rPr>
        <w:t>第十六条</w:t>
      </w:r>
      <w:r>
        <w:rPr>
          <w:rFonts w:eastAsia="仿宋"/>
          <w:sz w:val="32"/>
          <w:szCs w:val="32"/>
        </w:rPr>
        <w:t xml:space="preserve"> </w:t>
      </w:r>
      <w:r>
        <w:rPr>
          <w:rFonts w:eastAsia="仿宋" w:hint="eastAsia"/>
          <w:sz w:val="32"/>
          <w:szCs w:val="32"/>
        </w:rPr>
        <w:t>证券经营机构评估债券和资产支持证券投资</w:t>
      </w:r>
      <w:proofErr w:type="gramStart"/>
      <w:r>
        <w:rPr>
          <w:rFonts w:eastAsia="仿宋" w:hint="eastAsia"/>
          <w:sz w:val="32"/>
          <w:szCs w:val="32"/>
        </w:rPr>
        <w:t>者风险</w:t>
      </w:r>
      <w:proofErr w:type="gramEnd"/>
      <w:r>
        <w:rPr>
          <w:rFonts w:eastAsia="仿宋" w:hint="eastAsia"/>
          <w:sz w:val="32"/>
          <w:szCs w:val="32"/>
        </w:rPr>
        <w:t>识别和承受能力并告知其不适合购买相关债券或者资产支持证券后，投资者仍要求购买的，证券经营机构应当确认其不属于风险承受能力最低类别的投资者，并进一步了解其投资的资金来源，投资损失后的损失计提、核销等损失承担方式，告知相关债券或者资产支持证券特别的风险点，就该债券或者资产支持证券风险高于其承受能力进行特别的书面风险警示。投资者仍坚持购买的，证券经营机构可以向其销售相关产品或者提供相关服务，也可以暂缓向其销售产品或者提供服务，给予其更多的考虑时间，或者增加回访频次等。</w:t>
      </w:r>
    </w:p>
    <w:p w:rsidR="0045794C" w:rsidRDefault="00B63F6A" w:rsidP="00256317">
      <w:pPr>
        <w:spacing w:line="560" w:lineRule="exact"/>
        <w:ind w:firstLineChars="200" w:firstLine="643"/>
        <w:rPr>
          <w:rFonts w:eastAsia="仿宋"/>
          <w:sz w:val="32"/>
          <w:szCs w:val="32"/>
        </w:rPr>
      </w:pPr>
      <w:r w:rsidRPr="00256317">
        <w:rPr>
          <w:rFonts w:eastAsia="仿宋" w:hint="eastAsia"/>
          <w:b/>
          <w:sz w:val="32"/>
          <w:szCs w:val="32"/>
        </w:rPr>
        <w:t>第十七条</w:t>
      </w:r>
      <w:r>
        <w:rPr>
          <w:rFonts w:eastAsia="仿宋"/>
          <w:sz w:val="32"/>
          <w:szCs w:val="32"/>
        </w:rPr>
        <w:t xml:space="preserve"> </w:t>
      </w:r>
      <w:r>
        <w:rPr>
          <w:rFonts w:eastAsia="仿宋" w:hint="eastAsia"/>
          <w:sz w:val="32"/>
          <w:szCs w:val="32"/>
        </w:rPr>
        <w:t>证券经营机构应当通过系统前端控制等方式对客户的债券和资产支持证券交易委托指令进行管理，对不符合交易权限的交易委托予以拒绝。</w:t>
      </w:r>
    </w:p>
    <w:p w:rsidR="0045794C" w:rsidRDefault="00B63F6A" w:rsidP="00256317">
      <w:pPr>
        <w:spacing w:line="560" w:lineRule="exact"/>
        <w:ind w:firstLineChars="200" w:firstLine="643"/>
        <w:rPr>
          <w:rFonts w:eastAsia="仿宋"/>
          <w:sz w:val="32"/>
          <w:szCs w:val="32"/>
        </w:rPr>
      </w:pPr>
      <w:r w:rsidRPr="00256317">
        <w:rPr>
          <w:rFonts w:eastAsia="仿宋" w:hint="eastAsia"/>
          <w:b/>
          <w:sz w:val="32"/>
          <w:szCs w:val="32"/>
        </w:rPr>
        <w:t>第十八条</w:t>
      </w:r>
      <w:r>
        <w:rPr>
          <w:rFonts w:eastAsia="仿宋"/>
          <w:sz w:val="32"/>
          <w:szCs w:val="32"/>
        </w:rPr>
        <w:t xml:space="preserve"> </w:t>
      </w:r>
      <w:r>
        <w:rPr>
          <w:rFonts w:eastAsia="仿宋" w:hint="eastAsia"/>
          <w:sz w:val="32"/>
          <w:szCs w:val="32"/>
        </w:rPr>
        <w:t>证券经营机构应当采取多种方式和途径开展投资者教育，帮助投资者熟悉本所债券市场的产品以及相关规则，提示参与债券和资产支持证券交易可能面临的风险。</w:t>
      </w:r>
    </w:p>
    <w:p w:rsidR="0045794C" w:rsidRDefault="00B63F6A" w:rsidP="00256317">
      <w:pPr>
        <w:spacing w:line="560" w:lineRule="exact"/>
        <w:ind w:firstLineChars="200" w:firstLine="643"/>
        <w:rPr>
          <w:rFonts w:eastAsia="仿宋"/>
          <w:sz w:val="32"/>
          <w:szCs w:val="32"/>
        </w:rPr>
      </w:pPr>
      <w:r w:rsidRPr="00256317">
        <w:rPr>
          <w:rFonts w:eastAsia="仿宋" w:hint="eastAsia"/>
          <w:b/>
          <w:sz w:val="32"/>
          <w:szCs w:val="32"/>
        </w:rPr>
        <w:t>第十九条</w:t>
      </w:r>
      <w:r>
        <w:rPr>
          <w:rFonts w:eastAsia="仿宋"/>
          <w:sz w:val="32"/>
          <w:szCs w:val="32"/>
        </w:rPr>
        <w:t xml:space="preserve"> </w:t>
      </w:r>
      <w:r>
        <w:rPr>
          <w:rFonts w:eastAsia="仿宋" w:hint="eastAsia"/>
          <w:sz w:val="32"/>
          <w:szCs w:val="32"/>
        </w:rPr>
        <w:t>证券经营机构应当根据相关规定、债券和资产支持证券品种以及业务的风险特征等情况制定相关风险揭示书。</w:t>
      </w:r>
    </w:p>
    <w:p w:rsidR="0045794C" w:rsidRDefault="00B63F6A">
      <w:pPr>
        <w:spacing w:line="560" w:lineRule="exact"/>
        <w:ind w:firstLineChars="200" w:firstLine="640"/>
        <w:rPr>
          <w:rFonts w:eastAsia="仿宋"/>
          <w:sz w:val="32"/>
          <w:szCs w:val="32"/>
        </w:rPr>
      </w:pPr>
      <w:r>
        <w:rPr>
          <w:rFonts w:eastAsia="仿宋" w:hint="eastAsia"/>
          <w:sz w:val="32"/>
          <w:szCs w:val="32"/>
        </w:rPr>
        <w:t>证券经营机构应当要求参与公司债券（含企业债券）交易的</w:t>
      </w:r>
      <w:r>
        <w:rPr>
          <w:rFonts w:eastAsia="仿宋" w:hint="eastAsia"/>
          <w:sz w:val="32"/>
          <w:szCs w:val="32"/>
        </w:rPr>
        <w:lastRenderedPageBreak/>
        <w:t>普通投资者签署风险揭示书。</w:t>
      </w:r>
    </w:p>
    <w:p w:rsidR="0045794C" w:rsidRDefault="00B63F6A">
      <w:pPr>
        <w:spacing w:line="560" w:lineRule="exact"/>
        <w:ind w:firstLineChars="200" w:firstLine="640"/>
        <w:rPr>
          <w:rFonts w:eastAsia="仿宋"/>
          <w:sz w:val="32"/>
          <w:szCs w:val="32"/>
        </w:rPr>
      </w:pPr>
      <w:r>
        <w:rPr>
          <w:rFonts w:eastAsia="仿宋" w:hint="eastAsia"/>
          <w:sz w:val="32"/>
          <w:szCs w:val="32"/>
        </w:rPr>
        <w:t>证券经营机构可以在充分提示业务风险的</w:t>
      </w:r>
      <w:r>
        <w:rPr>
          <w:rFonts w:eastAsia="仿宋" w:hint="eastAsia"/>
          <w:sz w:val="32"/>
          <w:szCs w:val="32"/>
        </w:rPr>
        <w:t>基础上，根据细化分类和管理情况决定是否要求专业投资者签署风险揭示书。</w:t>
      </w:r>
    </w:p>
    <w:p w:rsidR="0045794C" w:rsidRDefault="00B63F6A">
      <w:pPr>
        <w:spacing w:line="560" w:lineRule="exact"/>
        <w:ind w:firstLineChars="200" w:firstLine="640"/>
        <w:rPr>
          <w:rFonts w:eastAsia="仿宋"/>
          <w:sz w:val="32"/>
          <w:szCs w:val="32"/>
        </w:rPr>
      </w:pPr>
      <w:r>
        <w:rPr>
          <w:rFonts w:eastAsia="仿宋" w:hint="eastAsia"/>
          <w:sz w:val="32"/>
          <w:szCs w:val="32"/>
        </w:rPr>
        <w:t>风险揭示书应当由投资者以纸面或者电子方式签署。</w:t>
      </w:r>
    </w:p>
    <w:p w:rsidR="0045794C" w:rsidRDefault="00B63F6A" w:rsidP="00256317">
      <w:pPr>
        <w:spacing w:line="560" w:lineRule="exact"/>
        <w:ind w:firstLineChars="200" w:firstLine="643"/>
        <w:rPr>
          <w:rFonts w:eastAsia="仿宋"/>
          <w:sz w:val="32"/>
          <w:szCs w:val="32"/>
        </w:rPr>
      </w:pPr>
      <w:r w:rsidRPr="00256317">
        <w:rPr>
          <w:rFonts w:eastAsia="仿宋" w:hint="eastAsia"/>
          <w:b/>
          <w:sz w:val="32"/>
          <w:szCs w:val="32"/>
        </w:rPr>
        <w:t>第二十条</w:t>
      </w:r>
      <w:r>
        <w:rPr>
          <w:rFonts w:eastAsia="仿宋"/>
          <w:sz w:val="32"/>
          <w:szCs w:val="32"/>
        </w:rPr>
        <w:t xml:space="preserve"> </w:t>
      </w:r>
      <w:r>
        <w:rPr>
          <w:rFonts w:eastAsia="仿宋" w:hint="eastAsia"/>
          <w:sz w:val="32"/>
          <w:szCs w:val="32"/>
        </w:rPr>
        <w:t>申请人符合专业投资者条件的，证券经营机构应当填写专业投资者资格确认表，并于为申请人开通专业投资者相关交易权限的当日，通过本所网站相关专区提交专业投资者账户名单。</w:t>
      </w:r>
    </w:p>
    <w:p w:rsidR="0045794C" w:rsidRDefault="00B63F6A">
      <w:pPr>
        <w:spacing w:line="560" w:lineRule="exact"/>
        <w:ind w:firstLineChars="200" w:firstLine="640"/>
        <w:rPr>
          <w:rFonts w:eastAsia="仿宋"/>
          <w:sz w:val="32"/>
          <w:szCs w:val="32"/>
        </w:rPr>
      </w:pPr>
      <w:r>
        <w:rPr>
          <w:rFonts w:eastAsia="仿宋" w:hint="eastAsia"/>
          <w:sz w:val="32"/>
          <w:szCs w:val="32"/>
        </w:rPr>
        <w:t>直接持有或者使用本所交易单元的专业投资者在参与债券和资产支持证券交易前，需通过本所网站相关专区提交账户名单。</w:t>
      </w:r>
    </w:p>
    <w:p w:rsidR="0045794C" w:rsidRDefault="00B63F6A" w:rsidP="00256317">
      <w:pPr>
        <w:spacing w:line="560" w:lineRule="exact"/>
        <w:ind w:firstLineChars="200" w:firstLine="643"/>
        <w:rPr>
          <w:rFonts w:eastAsia="仿宋"/>
          <w:sz w:val="32"/>
          <w:szCs w:val="32"/>
        </w:rPr>
      </w:pPr>
      <w:r w:rsidRPr="00256317">
        <w:rPr>
          <w:rFonts w:eastAsia="仿宋" w:hint="eastAsia"/>
          <w:b/>
          <w:sz w:val="32"/>
          <w:szCs w:val="32"/>
        </w:rPr>
        <w:t>第二十一条</w:t>
      </w:r>
      <w:r>
        <w:rPr>
          <w:rFonts w:eastAsia="仿宋"/>
          <w:sz w:val="32"/>
          <w:szCs w:val="32"/>
        </w:rPr>
        <w:t xml:space="preserve"> </w:t>
      </w:r>
      <w:r>
        <w:rPr>
          <w:rFonts w:eastAsia="仿宋" w:hint="eastAsia"/>
          <w:sz w:val="32"/>
          <w:szCs w:val="32"/>
        </w:rPr>
        <w:t>证券经营机构应当动态跟踪和持续了解专业投资者情况，至少每两年对投资者进行一次后续资格评估，根据评估情</w:t>
      </w:r>
      <w:r>
        <w:rPr>
          <w:rFonts w:eastAsia="仿宋" w:hint="eastAsia"/>
          <w:sz w:val="32"/>
          <w:szCs w:val="32"/>
        </w:rPr>
        <w:t>况更新专业投资者名单，并于当日通过本所网站相关专区提交更新的专业投资者账户名单。</w:t>
      </w:r>
    </w:p>
    <w:p w:rsidR="0045794C" w:rsidRDefault="00B63F6A" w:rsidP="00256317">
      <w:pPr>
        <w:spacing w:line="560" w:lineRule="exact"/>
        <w:ind w:firstLineChars="200" w:firstLine="643"/>
        <w:rPr>
          <w:rFonts w:eastAsia="仿宋"/>
          <w:sz w:val="32"/>
          <w:szCs w:val="32"/>
        </w:rPr>
      </w:pPr>
      <w:r w:rsidRPr="00256317">
        <w:rPr>
          <w:rFonts w:eastAsia="仿宋" w:hint="eastAsia"/>
          <w:b/>
          <w:sz w:val="32"/>
          <w:szCs w:val="32"/>
        </w:rPr>
        <w:t>第二十二条</w:t>
      </w:r>
      <w:r>
        <w:rPr>
          <w:rFonts w:eastAsia="仿宋"/>
          <w:sz w:val="32"/>
          <w:szCs w:val="32"/>
        </w:rPr>
        <w:t xml:space="preserve"> </w:t>
      </w:r>
      <w:r>
        <w:rPr>
          <w:rFonts w:eastAsia="仿宋" w:hint="eastAsia"/>
          <w:sz w:val="32"/>
          <w:szCs w:val="32"/>
        </w:rPr>
        <w:t>可参与债券交易的投资者范围根据本所相关业务规则规定和本办法第十三条规定进行调整的，证券经营机构应当在调整事项披露日及时调整投资者参与该债券交易的权限，履行投资者适当性管理职责。</w:t>
      </w:r>
    </w:p>
    <w:p w:rsidR="0045794C" w:rsidRDefault="00B63F6A" w:rsidP="00256317">
      <w:pPr>
        <w:spacing w:line="560" w:lineRule="exact"/>
        <w:ind w:firstLineChars="200" w:firstLine="643"/>
        <w:rPr>
          <w:rFonts w:eastAsia="仿宋"/>
          <w:sz w:val="32"/>
          <w:szCs w:val="32"/>
        </w:rPr>
      </w:pPr>
      <w:r w:rsidRPr="00256317">
        <w:rPr>
          <w:rFonts w:eastAsia="仿宋" w:hint="eastAsia"/>
          <w:b/>
          <w:sz w:val="32"/>
          <w:szCs w:val="32"/>
        </w:rPr>
        <w:t>第二十三条</w:t>
      </w:r>
      <w:r>
        <w:rPr>
          <w:rFonts w:eastAsia="仿宋"/>
          <w:sz w:val="32"/>
          <w:szCs w:val="32"/>
        </w:rPr>
        <w:t xml:space="preserve"> </w:t>
      </w:r>
      <w:r>
        <w:rPr>
          <w:rFonts w:eastAsia="仿宋" w:hint="eastAsia"/>
          <w:sz w:val="32"/>
          <w:szCs w:val="32"/>
        </w:rPr>
        <w:t>证券经营机构应当根据本所相关规则对客户的债券和资产支持证券交易活动进行管理，对可能严重影响正常交易秩序的异常交易行为或者涉嫌违法违规的交易行为，证券经营</w:t>
      </w:r>
      <w:r>
        <w:rPr>
          <w:rFonts w:eastAsia="仿宋" w:hint="eastAsia"/>
          <w:sz w:val="32"/>
          <w:szCs w:val="32"/>
        </w:rPr>
        <w:lastRenderedPageBreak/>
        <w:t>机构应当根据与客户之间签订的证券交易委托代理协议拒绝接受其委托，并及时向本所</w:t>
      </w:r>
      <w:r>
        <w:rPr>
          <w:rFonts w:eastAsia="仿宋" w:hint="eastAsia"/>
          <w:sz w:val="32"/>
          <w:szCs w:val="32"/>
        </w:rPr>
        <w:t>报告。</w:t>
      </w:r>
    </w:p>
    <w:p w:rsidR="0045794C" w:rsidRDefault="00B63F6A" w:rsidP="00256317">
      <w:pPr>
        <w:spacing w:line="560" w:lineRule="exact"/>
        <w:ind w:firstLineChars="200" w:firstLine="643"/>
        <w:rPr>
          <w:rFonts w:eastAsia="仿宋"/>
          <w:sz w:val="32"/>
          <w:szCs w:val="32"/>
        </w:rPr>
      </w:pPr>
      <w:r w:rsidRPr="00256317">
        <w:rPr>
          <w:rFonts w:eastAsia="仿宋" w:hint="eastAsia"/>
          <w:b/>
          <w:sz w:val="32"/>
          <w:szCs w:val="32"/>
        </w:rPr>
        <w:t>第二十四条</w:t>
      </w:r>
      <w:r>
        <w:rPr>
          <w:rFonts w:eastAsia="仿宋"/>
          <w:sz w:val="32"/>
          <w:szCs w:val="32"/>
        </w:rPr>
        <w:t xml:space="preserve"> </w:t>
      </w:r>
      <w:r>
        <w:rPr>
          <w:rFonts w:eastAsia="仿宋" w:hint="eastAsia"/>
          <w:sz w:val="32"/>
          <w:szCs w:val="32"/>
        </w:rPr>
        <w:t>本所可以对证券经营机构的投资者适当性管理制度以及向本所报备的专业投资者名单进行检查。证券经营机构应当配合本所的检查，如实提供相关资料。本所发现有不符合专业投资者条件的，可以要求证券经营机构调整专业投资者名单。</w:t>
      </w:r>
    </w:p>
    <w:p w:rsidR="0045794C" w:rsidRDefault="00B63F6A" w:rsidP="00256317">
      <w:pPr>
        <w:spacing w:line="560" w:lineRule="exact"/>
        <w:ind w:firstLineChars="200" w:firstLine="643"/>
        <w:rPr>
          <w:rFonts w:eastAsia="仿宋"/>
          <w:sz w:val="32"/>
          <w:szCs w:val="32"/>
        </w:rPr>
      </w:pPr>
      <w:r w:rsidRPr="00256317">
        <w:rPr>
          <w:rFonts w:eastAsia="仿宋" w:hint="eastAsia"/>
          <w:b/>
          <w:sz w:val="32"/>
          <w:szCs w:val="32"/>
        </w:rPr>
        <w:t>第二十五条</w:t>
      </w:r>
      <w:r>
        <w:rPr>
          <w:rFonts w:eastAsia="仿宋"/>
          <w:sz w:val="32"/>
          <w:szCs w:val="32"/>
        </w:rPr>
        <w:t xml:space="preserve"> </w:t>
      </w:r>
      <w:r>
        <w:rPr>
          <w:rFonts w:eastAsia="仿宋" w:hint="eastAsia"/>
          <w:sz w:val="32"/>
          <w:szCs w:val="32"/>
        </w:rPr>
        <w:t>投资者应当配合证券经营机构的投资者适当性管理工作，如实提供有效证明资料，不得采用提供虚假材料等手段规避投资者适当性管理要求。投资者所提供的信息发生重要变化、可能影响其分类的，应当及时告知证券经营机构。</w:t>
      </w:r>
    </w:p>
    <w:p w:rsidR="0045794C" w:rsidRDefault="00B63F6A">
      <w:pPr>
        <w:spacing w:line="560" w:lineRule="exact"/>
        <w:ind w:firstLineChars="200" w:firstLine="640"/>
        <w:rPr>
          <w:rFonts w:eastAsia="仿宋"/>
          <w:sz w:val="32"/>
          <w:szCs w:val="32"/>
        </w:rPr>
      </w:pPr>
      <w:r>
        <w:rPr>
          <w:rFonts w:eastAsia="仿宋" w:hint="eastAsia"/>
          <w:sz w:val="32"/>
          <w:szCs w:val="32"/>
        </w:rPr>
        <w:t>投资者不按照规定提供相关信息，提供信息不真实、不准确、不完整的，应当</w:t>
      </w:r>
      <w:r>
        <w:rPr>
          <w:rFonts w:eastAsia="仿宋" w:hint="eastAsia"/>
          <w:sz w:val="32"/>
          <w:szCs w:val="32"/>
        </w:rPr>
        <w:t>依法承担相应法律责任，证券经营机构应当告知其后果，并拒绝向其销售产品或者提供服务。</w:t>
      </w:r>
    </w:p>
    <w:p w:rsidR="0045794C" w:rsidRDefault="00B63F6A">
      <w:pPr>
        <w:spacing w:line="560" w:lineRule="exact"/>
        <w:ind w:firstLineChars="200" w:firstLine="640"/>
        <w:rPr>
          <w:rFonts w:eastAsia="仿宋"/>
          <w:sz w:val="32"/>
          <w:szCs w:val="32"/>
        </w:rPr>
      </w:pPr>
      <w:r>
        <w:rPr>
          <w:rFonts w:eastAsia="仿宋" w:hint="eastAsia"/>
          <w:sz w:val="32"/>
          <w:szCs w:val="32"/>
        </w:rPr>
        <w:t>投资者不得以不符合投资者适当性标准为由拒绝承担交易债券和资产支持证券的履约责任。</w:t>
      </w:r>
    </w:p>
    <w:p w:rsidR="0045794C" w:rsidRDefault="00B63F6A" w:rsidP="00256317">
      <w:pPr>
        <w:spacing w:line="560" w:lineRule="exact"/>
        <w:ind w:firstLineChars="200" w:firstLine="643"/>
        <w:rPr>
          <w:rFonts w:eastAsia="仿宋"/>
          <w:sz w:val="32"/>
          <w:szCs w:val="32"/>
        </w:rPr>
      </w:pPr>
      <w:r w:rsidRPr="00256317">
        <w:rPr>
          <w:rFonts w:eastAsia="仿宋" w:hint="eastAsia"/>
          <w:b/>
          <w:sz w:val="32"/>
          <w:szCs w:val="32"/>
        </w:rPr>
        <w:t>第二十六条</w:t>
      </w:r>
      <w:r>
        <w:rPr>
          <w:rFonts w:eastAsia="仿宋"/>
          <w:sz w:val="32"/>
          <w:szCs w:val="32"/>
        </w:rPr>
        <w:t xml:space="preserve"> </w:t>
      </w:r>
      <w:r>
        <w:rPr>
          <w:rFonts w:eastAsia="仿宋" w:hint="eastAsia"/>
          <w:sz w:val="32"/>
          <w:szCs w:val="32"/>
        </w:rPr>
        <w:t>证券经营机构应当</w:t>
      </w:r>
      <w:r>
        <w:rPr>
          <w:rFonts w:eastAsia="仿宋" w:hint="eastAsia"/>
          <w:sz w:val="32"/>
          <w:szCs w:val="30"/>
        </w:rPr>
        <w:t>妥善保管投资者适当性管理的全部记录，包括</w:t>
      </w:r>
      <w:r>
        <w:rPr>
          <w:rFonts w:eastAsia="仿宋" w:hint="eastAsia"/>
          <w:sz w:val="32"/>
          <w:szCs w:val="32"/>
        </w:rPr>
        <w:t>客户开户时间、资产规模、信用状况以及风险承受能力等信息</w:t>
      </w:r>
      <w:r>
        <w:rPr>
          <w:rFonts w:eastAsia="仿宋" w:hint="eastAsia"/>
          <w:sz w:val="32"/>
          <w:szCs w:val="30"/>
        </w:rPr>
        <w:t>，并依法对投资者信息承担保密义务</w:t>
      </w:r>
      <w:r>
        <w:rPr>
          <w:rFonts w:eastAsia="仿宋" w:hint="eastAsia"/>
          <w:sz w:val="32"/>
          <w:szCs w:val="32"/>
        </w:rPr>
        <w:t>。</w:t>
      </w:r>
    </w:p>
    <w:p w:rsidR="0045794C" w:rsidRDefault="00B63F6A" w:rsidP="00256317">
      <w:pPr>
        <w:spacing w:line="560" w:lineRule="exact"/>
        <w:ind w:firstLineChars="200" w:firstLine="643"/>
        <w:rPr>
          <w:rFonts w:eastAsia="仿宋"/>
          <w:sz w:val="32"/>
          <w:szCs w:val="32"/>
        </w:rPr>
      </w:pPr>
      <w:r w:rsidRPr="00256317">
        <w:rPr>
          <w:rFonts w:eastAsia="仿宋" w:hint="eastAsia"/>
          <w:b/>
          <w:sz w:val="32"/>
          <w:szCs w:val="32"/>
        </w:rPr>
        <w:t>第二十七条</w:t>
      </w:r>
      <w:r>
        <w:rPr>
          <w:rFonts w:eastAsia="仿宋"/>
          <w:sz w:val="32"/>
          <w:szCs w:val="32"/>
        </w:rPr>
        <w:t xml:space="preserve"> </w:t>
      </w:r>
      <w:r>
        <w:rPr>
          <w:rFonts w:eastAsia="仿宋" w:hint="eastAsia"/>
          <w:sz w:val="32"/>
          <w:szCs w:val="32"/>
        </w:rPr>
        <w:t>证券经营机构应当妥善处理适当性相关纠纷。投资者与证券公司发生纠纷的，双方可以向投资者保护机构申请调解。普通投资者提出调解请求的，证券公司不得拒绝。</w:t>
      </w:r>
    </w:p>
    <w:p w:rsidR="0045794C" w:rsidRDefault="00B63F6A" w:rsidP="00256317">
      <w:pPr>
        <w:spacing w:line="560" w:lineRule="exact"/>
        <w:ind w:firstLineChars="200" w:firstLine="643"/>
        <w:rPr>
          <w:rFonts w:eastAsia="仿宋"/>
          <w:sz w:val="32"/>
          <w:szCs w:val="32"/>
        </w:rPr>
      </w:pPr>
      <w:r w:rsidRPr="00256317">
        <w:rPr>
          <w:rFonts w:eastAsia="仿宋" w:hint="eastAsia"/>
          <w:b/>
          <w:sz w:val="32"/>
          <w:szCs w:val="32"/>
        </w:rPr>
        <w:t>第二十八条</w:t>
      </w:r>
      <w:r>
        <w:rPr>
          <w:rFonts w:eastAsia="仿宋"/>
          <w:sz w:val="32"/>
          <w:szCs w:val="32"/>
        </w:rPr>
        <w:t xml:space="preserve"> </w:t>
      </w:r>
      <w:r>
        <w:rPr>
          <w:rFonts w:eastAsia="仿宋" w:hint="eastAsia"/>
          <w:sz w:val="32"/>
          <w:szCs w:val="32"/>
        </w:rPr>
        <w:t>发行人、证券经营机构违反本办法的，本所可</w:t>
      </w:r>
      <w:r>
        <w:rPr>
          <w:rFonts w:eastAsia="仿宋" w:hint="eastAsia"/>
          <w:sz w:val="32"/>
          <w:szCs w:val="32"/>
        </w:rPr>
        <w:lastRenderedPageBreak/>
        <w:t>以根据相关规定实施自律监管措施和纪律处分。</w:t>
      </w:r>
    </w:p>
    <w:p w:rsidR="0045794C" w:rsidRDefault="00B63F6A">
      <w:pPr>
        <w:snapToGrid w:val="0"/>
        <w:spacing w:line="560" w:lineRule="exact"/>
        <w:jc w:val="center"/>
        <w:rPr>
          <w:rFonts w:ascii="黑体" w:eastAsia="黑体" w:hAnsi="黑体"/>
          <w:sz w:val="32"/>
          <w:szCs w:val="32"/>
        </w:rPr>
      </w:pPr>
      <w:r>
        <w:rPr>
          <w:rFonts w:ascii="黑体" w:eastAsia="黑体" w:hAnsi="黑体" w:hint="eastAsia"/>
          <w:sz w:val="32"/>
          <w:szCs w:val="32"/>
        </w:rPr>
        <w:t>第四章</w:t>
      </w:r>
      <w:r>
        <w:rPr>
          <w:rFonts w:ascii="黑体" w:eastAsia="黑体" w:hAnsi="黑体"/>
          <w:sz w:val="32"/>
          <w:szCs w:val="32"/>
        </w:rPr>
        <w:t xml:space="preserve"> </w:t>
      </w:r>
      <w:r>
        <w:rPr>
          <w:rFonts w:ascii="黑体" w:eastAsia="黑体" w:hAnsi="黑体" w:hint="eastAsia"/>
          <w:sz w:val="32"/>
          <w:szCs w:val="32"/>
        </w:rPr>
        <w:t>附则</w:t>
      </w:r>
    </w:p>
    <w:p w:rsidR="0045794C" w:rsidRDefault="00B63F6A" w:rsidP="00256317">
      <w:pPr>
        <w:spacing w:line="560" w:lineRule="exact"/>
        <w:ind w:firstLineChars="200" w:firstLine="643"/>
        <w:rPr>
          <w:rFonts w:eastAsia="仿宋"/>
          <w:sz w:val="32"/>
          <w:szCs w:val="32"/>
        </w:rPr>
      </w:pPr>
      <w:r w:rsidRPr="00256317">
        <w:rPr>
          <w:rFonts w:eastAsia="仿宋" w:hint="eastAsia"/>
          <w:b/>
          <w:sz w:val="32"/>
          <w:szCs w:val="32"/>
        </w:rPr>
        <w:t>第二十九条</w:t>
      </w:r>
      <w:r>
        <w:rPr>
          <w:rFonts w:eastAsia="仿宋"/>
          <w:sz w:val="32"/>
          <w:szCs w:val="32"/>
        </w:rPr>
        <w:t xml:space="preserve"> </w:t>
      </w:r>
      <w:r>
        <w:rPr>
          <w:rFonts w:ascii="仿宋" w:eastAsia="仿宋" w:hAnsi="仿宋" w:hint="eastAsia"/>
          <w:sz w:val="32"/>
          <w:szCs w:val="32"/>
        </w:rPr>
        <w:t>本规则的制定和修改须经本所理事会审议通过，报中国证监会批准。</w:t>
      </w:r>
    </w:p>
    <w:p w:rsidR="0045794C" w:rsidRDefault="00B63F6A" w:rsidP="00256317">
      <w:pPr>
        <w:spacing w:line="560" w:lineRule="exact"/>
        <w:ind w:firstLineChars="200" w:firstLine="643"/>
        <w:rPr>
          <w:rFonts w:eastAsia="仿宋"/>
          <w:sz w:val="32"/>
          <w:szCs w:val="32"/>
        </w:rPr>
      </w:pPr>
      <w:r w:rsidRPr="00256317">
        <w:rPr>
          <w:rFonts w:eastAsia="仿宋" w:hint="eastAsia"/>
          <w:b/>
          <w:sz w:val="32"/>
          <w:szCs w:val="32"/>
        </w:rPr>
        <w:t>第三十条</w:t>
      </w:r>
      <w:r>
        <w:rPr>
          <w:rFonts w:eastAsia="仿宋"/>
          <w:sz w:val="32"/>
          <w:szCs w:val="32"/>
        </w:rPr>
        <w:t xml:space="preserve"> </w:t>
      </w:r>
      <w:r>
        <w:rPr>
          <w:rFonts w:eastAsia="仿宋" w:hint="eastAsia"/>
          <w:sz w:val="32"/>
          <w:szCs w:val="32"/>
        </w:rPr>
        <w:t>本办法由本所负责解释。</w:t>
      </w:r>
    </w:p>
    <w:p w:rsidR="0045794C" w:rsidRDefault="00B63F6A" w:rsidP="00256317">
      <w:pPr>
        <w:spacing w:line="560" w:lineRule="exact"/>
        <w:ind w:firstLineChars="200" w:firstLine="643"/>
        <w:rPr>
          <w:rFonts w:eastAsia="仿宋"/>
          <w:sz w:val="32"/>
          <w:szCs w:val="32"/>
        </w:rPr>
      </w:pPr>
      <w:r w:rsidRPr="00256317">
        <w:rPr>
          <w:rFonts w:eastAsia="仿宋" w:hint="eastAsia"/>
          <w:b/>
          <w:sz w:val="32"/>
          <w:szCs w:val="32"/>
        </w:rPr>
        <w:t>第三十一条</w:t>
      </w:r>
      <w:r>
        <w:rPr>
          <w:rFonts w:eastAsia="仿宋"/>
          <w:sz w:val="32"/>
          <w:szCs w:val="32"/>
        </w:rPr>
        <w:t xml:space="preserve"> </w:t>
      </w:r>
      <w:r>
        <w:rPr>
          <w:rFonts w:ascii="仿宋" w:eastAsia="仿宋" w:hAnsi="仿宋" w:cs="黑体" w:hint="eastAsia"/>
          <w:bCs/>
          <w:sz w:val="32"/>
          <w:szCs w:val="32"/>
        </w:rPr>
        <w:t>本办法自发布之日起施行。本所于</w:t>
      </w:r>
      <w:r>
        <w:rPr>
          <w:rFonts w:ascii="仿宋" w:eastAsia="仿宋" w:hAnsi="仿宋" w:cs="黑体"/>
          <w:bCs/>
          <w:sz w:val="32"/>
          <w:szCs w:val="32"/>
        </w:rPr>
        <w:t>2022</w:t>
      </w:r>
      <w:r>
        <w:rPr>
          <w:rFonts w:ascii="仿宋" w:eastAsia="仿宋" w:hAnsi="仿宋" w:cs="黑体" w:hint="eastAsia"/>
          <w:bCs/>
          <w:sz w:val="32"/>
          <w:szCs w:val="32"/>
        </w:rPr>
        <w:t>年</w:t>
      </w:r>
      <w:r>
        <w:rPr>
          <w:rFonts w:ascii="仿宋" w:eastAsia="仿宋" w:hAnsi="仿宋" w:cs="黑体"/>
          <w:bCs/>
          <w:sz w:val="32"/>
          <w:szCs w:val="32"/>
        </w:rPr>
        <w:t>4</w:t>
      </w:r>
      <w:r>
        <w:rPr>
          <w:rFonts w:ascii="仿宋" w:eastAsia="仿宋" w:hAnsi="仿宋" w:cs="黑体" w:hint="eastAsia"/>
          <w:bCs/>
          <w:sz w:val="32"/>
          <w:szCs w:val="32"/>
        </w:rPr>
        <w:t>月</w:t>
      </w:r>
      <w:r>
        <w:rPr>
          <w:rFonts w:ascii="仿宋" w:eastAsia="仿宋" w:hAnsi="仿宋" w:cs="黑体"/>
          <w:bCs/>
          <w:sz w:val="32"/>
          <w:szCs w:val="32"/>
        </w:rPr>
        <w:t>22</w:t>
      </w:r>
      <w:r>
        <w:rPr>
          <w:rFonts w:ascii="仿宋" w:eastAsia="仿宋" w:hAnsi="仿宋" w:cs="黑体" w:hint="eastAsia"/>
          <w:bCs/>
          <w:sz w:val="32"/>
          <w:szCs w:val="32"/>
        </w:rPr>
        <w:t>日发布的《深圳证券交易所债券市场投资者适当性管理办法（</w:t>
      </w:r>
      <w:r>
        <w:rPr>
          <w:rFonts w:ascii="仿宋" w:eastAsia="仿宋" w:hAnsi="仿宋" w:cs="黑体"/>
          <w:bCs/>
          <w:sz w:val="32"/>
          <w:szCs w:val="32"/>
        </w:rPr>
        <w:t>2022</w:t>
      </w:r>
      <w:r>
        <w:rPr>
          <w:rFonts w:ascii="仿宋" w:eastAsia="仿宋" w:hAnsi="仿宋" w:cs="黑体"/>
          <w:bCs/>
          <w:sz w:val="32"/>
          <w:szCs w:val="32"/>
        </w:rPr>
        <w:t>年修订）</w:t>
      </w:r>
      <w:r>
        <w:rPr>
          <w:rFonts w:ascii="仿宋" w:eastAsia="仿宋" w:hAnsi="仿宋" w:cs="黑体" w:hint="eastAsia"/>
          <w:bCs/>
          <w:sz w:val="32"/>
          <w:szCs w:val="32"/>
        </w:rPr>
        <w:t>》（深证上〔</w:t>
      </w:r>
      <w:r>
        <w:rPr>
          <w:rFonts w:ascii="仿宋" w:eastAsia="仿宋" w:hAnsi="仿宋" w:cs="黑体"/>
          <w:bCs/>
          <w:sz w:val="32"/>
          <w:szCs w:val="32"/>
        </w:rPr>
        <w:t>2022</w:t>
      </w:r>
      <w:r>
        <w:rPr>
          <w:rFonts w:ascii="仿宋" w:eastAsia="仿宋" w:hAnsi="仿宋" w:cs="黑体"/>
          <w:bCs/>
          <w:sz w:val="32"/>
          <w:szCs w:val="32"/>
        </w:rPr>
        <w:t>〕</w:t>
      </w:r>
      <w:r>
        <w:rPr>
          <w:rFonts w:ascii="仿宋" w:eastAsia="仿宋" w:hAnsi="仿宋" w:cs="黑体"/>
          <w:bCs/>
          <w:sz w:val="32"/>
          <w:szCs w:val="32"/>
        </w:rPr>
        <w:t>393</w:t>
      </w:r>
      <w:r>
        <w:rPr>
          <w:rFonts w:ascii="仿宋" w:eastAsia="仿宋" w:hAnsi="仿宋" w:cs="黑体"/>
          <w:bCs/>
          <w:sz w:val="32"/>
          <w:szCs w:val="32"/>
        </w:rPr>
        <w:t>号</w:t>
      </w:r>
      <w:r>
        <w:rPr>
          <w:rFonts w:ascii="仿宋" w:eastAsia="仿宋" w:hAnsi="仿宋" w:cs="黑体" w:hint="eastAsia"/>
          <w:bCs/>
          <w:sz w:val="32"/>
          <w:szCs w:val="32"/>
        </w:rPr>
        <w:t>）同时废止。</w:t>
      </w:r>
    </w:p>
    <w:p w:rsidR="0045794C" w:rsidRDefault="0045794C">
      <w:pPr>
        <w:spacing w:line="560" w:lineRule="exact"/>
      </w:pPr>
    </w:p>
    <w:p w:rsidR="0045794C" w:rsidRDefault="0045794C"/>
    <w:p w:rsidR="0045794C" w:rsidRDefault="0045794C">
      <w:bookmarkStart w:id="0" w:name="_GoBack"/>
      <w:bookmarkEnd w:id="0"/>
    </w:p>
    <w:sectPr w:rsidR="0045794C">
      <w:footerReference w:type="default" r:id="rId12"/>
      <w:pgSz w:w="11906" w:h="16838"/>
      <w:pgMar w:top="2098" w:right="1474" w:bottom="1984" w:left="1587"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31BC58D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63F6A">
      <w:r>
        <w:separator/>
      </w:r>
    </w:p>
  </w:endnote>
  <w:endnote w:type="continuationSeparator" w:id="0">
    <w:p w:rsidR="00000000" w:rsidRDefault="00B63F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方正大标宋简体">
    <w:altName w:val="Arial Unicode MS"/>
    <w:charset w:val="86"/>
    <w:family w:val="auto"/>
    <w:pitch w:val="variable"/>
    <w:sig w:usb0="00000000" w:usb1="080E0000" w:usb2="00000010" w:usb3="00000000" w:csb0="00040000" w:csb1="00000000"/>
  </w:font>
  <w:font w:name="方正小标宋简体">
    <w:panose1 w:val="02000000000000000000"/>
    <w:charset w:val="86"/>
    <w:family w:val="auto"/>
    <w:pitch w:val="variable"/>
    <w:sig w:usb0="A00002BF" w:usb1="184F6CFA" w:usb2="00000012"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794C" w:rsidRDefault="00B63F6A">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45794C" w:rsidRDefault="00B63F6A">
                          <w:pPr>
                            <w:pStyle w:val="a7"/>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45794C" w:rsidRDefault="00B63F6A">
                    <w:pPr>
                      <w:pStyle w:val="a7"/>
                      <w:rPr>
                        <w:rFonts w:ascii="宋体" w:hAnsi="宋体" w:cs="宋体"/>
                        <w:sz w:val="28"/>
                        <w:szCs w:val="28"/>
                      </w:rPr>
                    </w:pPr>
                    <w:r>
                      <w:rPr>
                        <w:rFonts w:ascii="宋体" w:hAnsi="宋体" w:cs="宋体" w:hint="eastAsia"/>
                        <w:sz w:val="28"/>
                        <w:szCs w:val="28"/>
                      </w:rPr>
                      <w:t>—</w:t>
                    </w:r>
                    <w:r>
                      <w:rPr>
                        <w:rFonts w:ascii="宋体" w:hAnsi="宋体" w:cs="宋体" w:hint="eastAsia"/>
                        <w:sz w:val="28"/>
                        <w:szCs w:val="28"/>
                      </w:rPr>
                      <w:t xml:space="preserve"> </w:t>
                    </w: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noProof/>
                        <w:sz w:val="28"/>
                        <w:szCs w:val="28"/>
                      </w:rPr>
                      <w:t>1</w:t>
                    </w:r>
                    <w:r>
                      <w:rPr>
                        <w:rFonts w:ascii="宋体" w:hAnsi="宋体" w:cs="宋体" w:hint="eastAsia"/>
                        <w:sz w:val="28"/>
                        <w:szCs w:val="28"/>
                      </w:rPr>
                      <w:fldChar w:fldCharType="end"/>
                    </w:r>
                    <w:r>
                      <w:rPr>
                        <w:rFonts w:ascii="宋体" w:hAnsi="宋体" w:cs="宋体" w:hint="eastAsia"/>
                        <w:sz w:val="28"/>
                        <w:szCs w:val="28"/>
                      </w:rPr>
                      <w:t xml:space="preserve"> </w:t>
                    </w:r>
                    <w:r>
                      <w:rPr>
                        <w:rFonts w:ascii="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63F6A">
      <w:r>
        <w:separator/>
      </w:r>
    </w:p>
  </w:footnote>
  <w:footnote w:type="continuationSeparator" w:id="0">
    <w:p w:rsidR="00000000" w:rsidRDefault="00B63F6A">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付林萍">
    <w15:presenceInfo w15:providerId="None" w15:userId="付林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85D"/>
    <w:rsid w:val="0002585D"/>
    <w:rsid w:val="00034DE8"/>
    <w:rsid w:val="00061F2E"/>
    <w:rsid w:val="000623FC"/>
    <w:rsid w:val="00073B2D"/>
    <w:rsid w:val="00076EAB"/>
    <w:rsid w:val="000875A5"/>
    <w:rsid w:val="000B4CC4"/>
    <w:rsid w:val="000B5F06"/>
    <w:rsid w:val="000D6045"/>
    <w:rsid w:val="000D6EDB"/>
    <w:rsid w:val="000F59A4"/>
    <w:rsid w:val="000F7313"/>
    <w:rsid w:val="001046E1"/>
    <w:rsid w:val="0012524A"/>
    <w:rsid w:val="00153A0C"/>
    <w:rsid w:val="00154CF3"/>
    <w:rsid w:val="00170FD1"/>
    <w:rsid w:val="00191F3B"/>
    <w:rsid w:val="00194A9F"/>
    <w:rsid w:val="001A6A09"/>
    <w:rsid w:val="001E34AE"/>
    <w:rsid w:val="001F5E49"/>
    <w:rsid w:val="0020222A"/>
    <w:rsid w:val="0020392E"/>
    <w:rsid w:val="002141E0"/>
    <w:rsid w:val="00214D14"/>
    <w:rsid w:val="0023320F"/>
    <w:rsid w:val="00240694"/>
    <w:rsid w:val="00254AD4"/>
    <w:rsid w:val="00256317"/>
    <w:rsid w:val="00280D9D"/>
    <w:rsid w:val="00281C2E"/>
    <w:rsid w:val="0029117F"/>
    <w:rsid w:val="00292BD9"/>
    <w:rsid w:val="00295DB8"/>
    <w:rsid w:val="002A2D9D"/>
    <w:rsid w:val="002A412E"/>
    <w:rsid w:val="002A70BF"/>
    <w:rsid w:val="002B61A2"/>
    <w:rsid w:val="002C49B6"/>
    <w:rsid w:val="002D490A"/>
    <w:rsid w:val="002D5D8B"/>
    <w:rsid w:val="002E1D20"/>
    <w:rsid w:val="002E61E3"/>
    <w:rsid w:val="002F0765"/>
    <w:rsid w:val="002F41CC"/>
    <w:rsid w:val="00321368"/>
    <w:rsid w:val="003265DC"/>
    <w:rsid w:val="003509BF"/>
    <w:rsid w:val="00372E11"/>
    <w:rsid w:val="00377EB2"/>
    <w:rsid w:val="00386001"/>
    <w:rsid w:val="00392802"/>
    <w:rsid w:val="003A1849"/>
    <w:rsid w:val="003A1A9F"/>
    <w:rsid w:val="003B165B"/>
    <w:rsid w:val="003B3962"/>
    <w:rsid w:val="003D0AA4"/>
    <w:rsid w:val="003D6DE8"/>
    <w:rsid w:val="003E3F29"/>
    <w:rsid w:val="004122D5"/>
    <w:rsid w:val="00433CE4"/>
    <w:rsid w:val="00433CFC"/>
    <w:rsid w:val="004353D8"/>
    <w:rsid w:val="004477FB"/>
    <w:rsid w:val="00457464"/>
    <w:rsid w:val="0045794C"/>
    <w:rsid w:val="0046209F"/>
    <w:rsid w:val="00465865"/>
    <w:rsid w:val="00471102"/>
    <w:rsid w:val="00481DA6"/>
    <w:rsid w:val="0048327F"/>
    <w:rsid w:val="00491DE3"/>
    <w:rsid w:val="004920D7"/>
    <w:rsid w:val="00493828"/>
    <w:rsid w:val="004A35F0"/>
    <w:rsid w:val="004D088C"/>
    <w:rsid w:val="004D2969"/>
    <w:rsid w:val="004E0991"/>
    <w:rsid w:val="004E169A"/>
    <w:rsid w:val="004E5AC8"/>
    <w:rsid w:val="004F1FBB"/>
    <w:rsid w:val="00516E4D"/>
    <w:rsid w:val="0051719E"/>
    <w:rsid w:val="00537043"/>
    <w:rsid w:val="00543D20"/>
    <w:rsid w:val="005815F2"/>
    <w:rsid w:val="005A64CA"/>
    <w:rsid w:val="005D36D4"/>
    <w:rsid w:val="005D42F5"/>
    <w:rsid w:val="005E64A6"/>
    <w:rsid w:val="005E7E50"/>
    <w:rsid w:val="00614388"/>
    <w:rsid w:val="00617E6F"/>
    <w:rsid w:val="00625E5C"/>
    <w:rsid w:val="00626B58"/>
    <w:rsid w:val="00630816"/>
    <w:rsid w:val="006467AF"/>
    <w:rsid w:val="00652AC3"/>
    <w:rsid w:val="006533A1"/>
    <w:rsid w:val="00656832"/>
    <w:rsid w:val="0066079B"/>
    <w:rsid w:val="0067268E"/>
    <w:rsid w:val="0068649E"/>
    <w:rsid w:val="00687C08"/>
    <w:rsid w:val="006953F3"/>
    <w:rsid w:val="006B0220"/>
    <w:rsid w:val="006B63F2"/>
    <w:rsid w:val="006B6FD8"/>
    <w:rsid w:val="006C3716"/>
    <w:rsid w:val="006D6149"/>
    <w:rsid w:val="006D6FEB"/>
    <w:rsid w:val="006E22A9"/>
    <w:rsid w:val="006E60B8"/>
    <w:rsid w:val="006F7DA8"/>
    <w:rsid w:val="00706FAC"/>
    <w:rsid w:val="00721D32"/>
    <w:rsid w:val="00725466"/>
    <w:rsid w:val="0073103C"/>
    <w:rsid w:val="007338D9"/>
    <w:rsid w:val="00734F90"/>
    <w:rsid w:val="00743CAA"/>
    <w:rsid w:val="00744FD2"/>
    <w:rsid w:val="00746FB6"/>
    <w:rsid w:val="0075023F"/>
    <w:rsid w:val="00765D7B"/>
    <w:rsid w:val="00767886"/>
    <w:rsid w:val="00773ADB"/>
    <w:rsid w:val="0077547A"/>
    <w:rsid w:val="00786D76"/>
    <w:rsid w:val="007A2DEC"/>
    <w:rsid w:val="007B3413"/>
    <w:rsid w:val="007B7FD8"/>
    <w:rsid w:val="007C5406"/>
    <w:rsid w:val="007C6950"/>
    <w:rsid w:val="007F5A58"/>
    <w:rsid w:val="00804E01"/>
    <w:rsid w:val="00817188"/>
    <w:rsid w:val="00820CB2"/>
    <w:rsid w:val="00835AF0"/>
    <w:rsid w:val="00860FF5"/>
    <w:rsid w:val="00864898"/>
    <w:rsid w:val="008772D0"/>
    <w:rsid w:val="0088626E"/>
    <w:rsid w:val="00890A79"/>
    <w:rsid w:val="008B1AC3"/>
    <w:rsid w:val="008D4660"/>
    <w:rsid w:val="00901AE6"/>
    <w:rsid w:val="00902D80"/>
    <w:rsid w:val="00914478"/>
    <w:rsid w:val="00925808"/>
    <w:rsid w:val="0093124E"/>
    <w:rsid w:val="00950355"/>
    <w:rsid w:val="009533C3"/>
    <w:rsid w:val="00962795"/>
    <w:rsid w:val="00981834"/>
    <w:rsid w:val="00981AFD"/>
    <w:rsid w:val="0099510F"/>
    <w:rsid w:val="0099569E"/>
    <w:rsid w:val="009B0142"/>
    <w:rsid w:val="009B182A"/>
    <w:rsid w:val="009C3212"/>
    <w:rsid w:val="009D4B75"/>
    <w:rsid w:val="009E1797"/>
    <w:rsid w:val="009F12BD"/>
    <w:rsid w:val="009F1524"/>
    <w:rsid w:val="00A3160B"/>
    <w:rsid w:val="00A35EB3"/>
    <w:rsid w:val="00A43F17"/>
    <w:rsid w:val="00A6267A"/>
    <w:rsid w:val="00A76C5F"/>
    <w:rsid w:val="00A9669F"/>
    <w:rsid w:val="00A971FA"/>
    <w:rsid w:val="00A97FF8"/>
    <w:rsid w:val="00AA6925"/>
    <w:rsid w:val="00AA69FC"/>
    <w:rsid w:val="00AA6BDA"/>
    <w:rsid w:val="00AB1CF1"/>
    <w:rsid w:val="00AE2708"/>
    <w:rsid w:val="00AE4594"/>
    <w:rsid w:val="00AE68B7"/>
    <w:rsid w:val="00AF380E"/>
    <w:rsid w:val="00B007D7"/>
    <w:rsid w:val="00B02400"/>
    <w:rsid w:val="00B117D1"/>
    <w:rsid w:val="00B32FE5"/>
    <w:rsid w:val="00B35EB7"/>
    <w:rsid w:val="00B40110"/>
    <w:rsid w:val="00B62B55"/>
    <w:rsid w:val="00B63F6A"/>
    <w:rsid w:val="00B65F6E"/>
    <w:rsid w:val="00B815B5"/>
    <w:rsid w:val="00B913CD"/>
    <w:rsid w:val="00BE753C"/>
    <w:rsid w:val="00BF0A0C"/>
    <w:rsid w:val="00C226B8"/>
    <w:rsid w:val="00C23B15"/>
    <w:rsid w:val="00C30647"/>
    <w:rsid w:val="00C3738D"/>
    <w:rsid w:val="00C614E5"/>
    <w:rsid w:val="00C76B21"/>
    <w:rsid w:val="00CA5FAD"/>
    <w:rsid w:val="00CB043C"/>
    <w:rsid w:val="00CB7960"/>
    <w:rsid w:val="00CC5D42"/>
    <w:rsid w:val="00CC6C7C"/>
    <w:rsid w:val="00CF0DF9"/>
    <w:rsid w:val="00CF24AA"/>
    <w:rsid w:val="00CF5528"/>
    <w:rsid w:val="00D15134"/>
    <w:rsid w:val="00D21C05"/>
    <w:rsid w:val="00D26019"/>
    <w:rsid w:val="00D365CC"/>
    <w:rsid w:val="00D43BD7"/>
    <w:rsid w:val="00D46D7B"/>
    <w:rsid w:val="00D5166E"/>
    <w:rsid w:val="00D523BA"/>
    <w:rsid w:val="00D61038"/>
    <w:rsid w:val="00DC4F05"/>
    <w:rsid w:val="00DE0BA0"/>
    <w:rsid w:val="00DE210B"/>
    <w:rsid w:val="00E02B15"/>
    <w:rsid w:val="00E10DE0"/>
    <w:rsid w:val="00E120FB"/>
    <w:rsid w:val="00E15640"/>
    <w:rsid w:val="00E1595C"/>
    <w:rsid w:val="00E17B95"/>
    <w:rsid w:val="00E24866"/>
    <w:rsid w:val="00E45214"/>
    <w:rsid w:val="00E55CB9"/>
    <w:rsid w:val="00E91E97"/>
    <w:rsid w:val="00E960C4"/>
    <w:rsid w:val="00EC251D"/>
    <w:rsid w:val="00EE605B"/>
    <w:rsid w:val="00EE618D"/>
    <w:rsid w:val="00F021BA"/>
    <w:rsid w:val="00F05481"/>
    <w:rsid w:val="00F139D3"/>
    <w:rsid w:val="00F2455A"/>
    <w:rsid w:val="00F24580"/>
    <w:rsid w:val="00F300DD"/>
    <w:rsid w:val="00F35A34"/>
    <w:rsid w:val="00F37F6E"/>
    <w:rsid w:val="00F46738"/>
    <w:rsid w:val="00F5383E"/>
    <w:rsid w:val="00F70859"/>
    <w:rsid w:val="00F81DAA"/>
    <w:rsid w:val="00F90F78"/>
    <w:rsid w:val="00FA44D8"/>
    <w:rsid w:val="00FB6DC5"/>
    <w:rsid w:val="00FD2C8B"/>
    <w:rsid w:val="00FD3C40"/>
    <w:rsid w:val="00FF3D13"/>
    <w:rsid w:val="00FF6E58"/>
    <w:rsid w:val="048028BE"/>
    <w:rsid w:val="064E2EC2"/>
    <w:rsid w:val="0AE85193"/>
    <w:rsid w:val="0CA43AB3"/>
    <w:rsid w:val="0ED43B0B"/>
    <w:rsid w:val="13D93C4B"/>
    <w:rsid w:val="13DD77DD"/>
    <w:rsid w:val="145B17C5"/>
    <w:rsid w:val="174520D2"/>
    <w:rsid w:val="17CD3988"/>
    <w:rsid w:val="197C7864"/>
    <w:rsid w:val="19862BED"/>
    <w:rsid w:val="1A1D374E"/>
    <w:rsid w:val="1C7D64D2"/>
    <w:rsid w:val="1E58492F"/>
    <w:rsid w:val="21166799"/>
    <w:rsid w:val="21D1002A"/>
    <w:rsid w:val="22B548DA"/>
    <w:rsid w:val="24131490"/>
    <w:rsid w:val="247167C9"/>
    <w:rsid w:val="2C2020C2"/>
    <w:rsid w:val="2CD2018C"/>
    <w:rsid w:val="32463666"/>
    <w:rsid w:val="33B0763F"/>
    <w:rsid w:val="409F1205"/>
    <w:rsid w:val="429B4F10"/>
    <w:rsid w:val="4494718F"/>
    <w:rsid w:val="454C4132"/>
    <w:rsid w:val="479F62DF"/>
    <w:rsid w:val="48AF5FCC"/>
    <w:rsid w:val="49396012"/>
    <w:rsid w:val="4CDB1CCC"/>
    <w:rsid w:val="4E551B55"/>
    <w:rsid w:val="546B5B0E"/>
    <w:rsid w:val="54D90C7C"/>
    <w:rsid w:val="553E5926"/>
    <w:rsid w:val="56D95C21"/>
    <w:rsid w:val="595043C7"/>
    <w:rsid w:val="64782433"/>
    <w:rsid w:val="66632D1F"/>
    <w:rsid w:val="67A44A2C"/>
    <w:rsid w:val="69090D8D"/>
    <w:rsid w:val="69DE210D"/>
    <w:rsid w:val="70206203"/>
    <w:rsid w:val="713A5E03"/>
    <w:rsid w:val="73F155C9"/>
    <w:rsid w:val="758208D8"/>
    <w:rsid w:val="76E3104C"/>
    <w:rsid w:val="77042614"/>
    <w:rsid w:val="78BE7F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Calibri" w:hAnsi="Calibri"/>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0"/>
    <w:semiHidden/>
    <w:unhideWhenUsed/>
    <w:qFormat/>
    <w:pPr>
      <w:keepNext/>
      <w:keepLines/>
      <w:snapToGrid w:val="0"/>
      <w:ind w:firstLineChars="200" w:firstLine="538"/>
      <w:jc w:val="left"/>
      <w:outlineLvl w:val="1"/>
    </w:pPr>
    <w:rPr>
      <w:rFonts w:ascii="楷体" w:eastAsia="楷体" w:hAnsi="楷体" w:cstheme="majorBidi"/>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pPr>
      <w:ind w:firstLineChars="200" w:firstLine="420"/>
    </w:pPr>
  </w:style>
  <w:style w:type="paragraph" w:styleId="a4">
    <w:name w:val="annotation text"/>
    <w:basedOn w:val="a"/>
    <w:uiPriority w:val="99"/>
    <w:semiHidden/>
    <w:unhideWhenUsed/>
    <w:qFormat/>
    <w:pPr>
      <w:jc w:val="left"/>
    </w:pPr>
  </w:style>
  <w:style w:type="paragraph" w:styleId="a5">
    <w:name w:val="Date"/>
    <w:basedOn w:val="a"/>
    <w:next w:val="a"/>
    <w:link w:val="Char"/>
    <w:uiPriority w:val="99"/>
    <w:semiHidden/>
    <w:unhideWhenUsed/>
    <w:qFormat/>
    <w:pPr>
      <w:ind w:leftChars="2500" w:left="100"/>
    </w:p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right" w:leader="dot" w:pos="8296"/>
      </w:tabs>
      <w:spacing w:after="100" w:line="400" w:lineRule="exact"/>
      <w:jc w:val="left"/>
    </w:pPr>
    <w:rPr>
      <w:rFonts w:ascii="Times New Roman" w:eastAsia="仿宋" w:hAnsi="Times New Roman"/>
      <w:b/>
      <w:kern w:val="0"/>
      <w:sz w:val="32"/>
      <w:szCs w:val="32"/>
    </w:rPr>
  </w:style>
  <w:style w:type="paragraph" w:styleId="20">
    <w:name w:val="toc 2"/>
    <w:basedOn w:val="a"/>
    <w:next w:val="a"/>
    <w:uiPriority w:val="39"/>
    <w:unhideWhenUsed/>
    <w:qFormat/>
    <w:pPr>
      <w:widowControl/>
      <w:tabs>
        <w:tab w:val="right" w:leader="dot" w:pos="8296"/>
      </w:tabs>
      <w:spacing w:after="100" w:line="400" w:lineRule="exact"/>
      <w:ind w:left="220"/>
      <w:jc w:val="left"/>
    </w:pPr>
    <w:rPr>
      <w:rFonts w:ascii="Times New Roman" w:eastAsia="仿宋" w:hAnsi="Times New Roman"/>
      <w:kern w:val="0"/>
      <w:sz w:val="32"/>
      <w:szCs w:val="32"/>
    </w:rPr>
  </w:style>
  <w:style w:type="paragraph" w:styleId="a9">
    <w:name w:val="Title"/>
    <w:basedOn w:val="a"/>
    <w:next w:val="a"/>
    <w:uiPriority w:val="10"/>
    <w:qFormat/>
    <w:pPr>
      <w:spacing w:line="560" w:lineRule="exact"/>
      <w:jc w:val="center"/>
      <w:outlineLvl w:val="0"/>
    </w:pPr>
    <w:rPr>
      <w:rFonts w:asciiTheme="majorHAnsi" w:eastAsia="黑体" w:hAnsiTheme="majorHAnsi" w:cstheme="majorBidi"/>
      <w:b/>
      <w:bCs/>
      <w:sz w:val="30"/>
      <w:szCs w:val="32"/>
    </w:rPr>
  </w:style>
  <w:style w:type="table" w:styleId="aa">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qFormat/>
  </w:style>
  <w:style w:type="character" w:styleId="ac">
    <w:name w:val="Hyperlink"/>
    <w:basedOn w:val="a1"/>
    <w:uiPriority w:val="99"/>
    <w:unhideWhenUsed/>
    <w:qFormat/>
    <w:rPr>
      <w:color w:val="0000FF" w:themeColor="hyperlink"/>
      <w:u w:val="single"/>
    </w:rPr>
  </w:style>
  <w:style w:type="character" w:styleId="ad">
    <w:name w:val="annotation reference"/>
    <w:basedOn w:val="a1"/>
    <w:uiPriority w:val="99"/>
    <w:semiHidden/>
    <w:unhideWhenUsed/>
    <w:qFormat/>
    <w:rPr>
      <w:sz w:val="21"/>
      <w:szCs w:val="21"/>
    </w:rPr>
  </w:style>
  <w:style w:type="character" w:customStyle="1" w:styleId="Char0">
    <w:name w:val="批注框文本 Char"/>
    <w:link w:val="a6"/>
    <w:uiPriority w:val="99"/>
    <w:semiHidden/>
    <w:qFormat/>
    <w:rPr>
      <w:kern w:val="2"/>
      <w:sz w:val="18"/>
      <w:szCs w:val="18"/>
    </w:rPr>
  </w:style>
  <w:style w:type="character" w:customStyle="1" w:styleId="Char">
    <w:name w:val="日期 Char"/>
    <w:link w:val="a5"/>
    <w:uiPriority w:val="99"/>
    <w:semiHidden/>
    <w:qFormat/>
    <w:rPr>
      <w:kern w:val="2"/>
      <w:sz w:val="21"/>
      <w:szCs w:val="22"/>
    </w:rPr>
  </w:style>
  <w:style w:type="character" w:customStyle="1" w:styleId="Char2">
    <w:name w:val="页眉 Char"/>
    <w:basedOn w:val="a1"/>
    <w:link w:val="a8"/>
    <w:uiPriority w:val="99"/>
    <w:qFormat/>
    <w:rPr>
      <w:kern w:val="2"/>
      <w:sz w:val="18"/>
      <w:szCs w:val="18"/>
    </w:rPr>
  </w:style>
  <w:style w:type="character" w:customStyle="1" w:styleId="Char1">
    <w:name w:val="页脚 Char"/>
    <w:basedOn w:val="a1"/>
    <w:link w:val="a7"/>
    <w:uiPriority w:val="99"/>
    <w:qFormat/>
    <w:rPr>
      <w:kern w:val="2"/>
      <w:sz w:val="18"/>
      <w:szCs w:val="18"/>
    </w:rPr>
  </w:style>
  <w:style w:type="paragraph" w:styleId="ae">
    <w:name w:val="List Paragraph"/>
    <w:basedOn w:val="a"/>
    <w:uiPriority w:val="34"/>
    <w:qFormat/>
    <w:pPr>
      <w:ind w:firstLineChars="200" w:firstLine="420"/>
    </w:pPr>
  </w:style>
  <w:style w:type="paragraph" w:customStyle="1" w:styleId="Style3">
    <w:name w:val="_Style 3"/>
    <w:basedOn w:val="a"/>
    <w:qFormat/>
    <w:pPr>
      <w:ind w:firstLineChars="200" w:firstLine="420"/>
    </w:p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annotation text" w:qFormat="1"/>
    <w:lsdException w:name="header" w:semiHidden="0" w:qFormat="1"/>
    <w:lsdException w:name="footer" w:semiHidden="0" w:qFormat="1"/>
    <w:lsdException w:name="caption" w:uiPriority="35" w:qFormat="1"/>
    <w:lsdException w:name="annotation reference" w:qFormat="1"/>
    <w:lsdException w:name="page number" w:semiHidden="0" w:uiPriority="0" w:unhideWhenUsed="0" w:qFormat="1"/>
    <w:lsdException w:name="Title" w:semiHidden="0" w:uiPriority="10" w:unhideWhenUsed="0" w:qFormat="1"/>
    <w:lsdException w:name="Default Paragraph Font" w:uiPriority="1" w:qFormat="1"/>
    <w:lsdException w:name="Subtitle" w:semiHidden="0" w:uiPriority="11" w:unhideWhenUsed="0" w:qFormat="1"/>
    <w:lsdException w:name="Date"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2"/>
    <w:qFormat/>
    <w:pPr>
      <w:widowControl w:val="0"/>
      <w:jc w:val="both"/>
    </w:pPr>
    <w:rPr>
      <w:rFonts w:ascii="Calibri" w:hAnsi="Calibri"/>
      <w:kern w:val="2"/>
      <w:sz w:val="21"/>
      <w:szCs w:val="22"/>
    </w:rPr>
  </w:style>
  <w:style w:type="paragraph" w:styleId="1">
    <w:name w:val="heading 1"/>
    <w:basedOn w:val="a"/>
    <w:next w:val="a"/>
    <w:uiPriority w:val="9"/>
    <w:qFormat/>
    <w:pPr>
      <w:keepNext/>
      <w:keepLines/>
      <w:spacing w:before="340" w:after="330" w:line="578" w:lineRule="auto"/>
      <w:outlineLvl w:val="0"/>
    </w:pPr>
    <w:rPr>
      <w:b/>
      <w:bCs/>
      <w:kern w:val="44"/>
      <w:sz w:val="44"/>
      <w:szCs w:val="44"/>
    </w:rPr>
  </w:style>
  <w:style w:type="paragraph" w:styleId="2">
    <w:name w:val="heading 2"/>
    <w:basedOn w:val="a"/>
    <w:next w:val="a0"/>
    <w:semiHidden/>
    <w:unhideWhenUsed/>
    <w:qFormat/>
    <w:pPr>
      <w:keepNext/>
      <w:keepLines/>
      <w:snapToGrid w:val="0"/>
      <w:ind w:firstLineChars="200" w:firstLine="538"/>
      <w:jc w:val="left"/>
      <w:outlineLvl w:val="1"/>
    </w:pPr>
    <w:rPr>
      <w:rFonts w:ascii="楷体" w:eastAsia="楷体" w:hAnsi="楷体" w:cstheme="majorBidi"/>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semiHidden/>
    <w:unhideWhenUsed/>
    <w:qFormat/>
    <w:pPr>
      <w:ind w:firstLineChars="200" w:firstLine="420"/>
    </w:pPr>
  </w:style>
  <w:style w:type="paragraph" w:styleId="a4">
    <w:name w:val="annotation text"/>
    <w:basedOn w:val="a"/>
    <w:uiPriority w:val="99"/>
    <w:semiHidden/>
    <w:unhideWhenUsed/>
    <w:qFormat/>
    <w:pPr>
      <w:jc w:val="left"/>
    </w:pPr>
  </w:style>
  <w:style w:type="paragraph" w:styleId="a5">
    <w:name w:val="Date"/>
    <w:basedOn w:val="a"/>
    <w:next w:val="a"/>
    <w:link w:val="Char"/>
    <w:uiPriority w:val="99"/>
    <w:semiHidden/>
    <w:unhideWhenUsed/>
    <w:qFormat/>
    <w:pPr>
      <w:ind w:leftChars="2500" w:left="100"/>
    </w:pPr>
  </w:style>
  <w:style w:type="paragraph" w:styleId="a6">
    <w:name w:val="Balloon Text"/>
    <w:basedOn w:val="a"/>
    <w:link w:val="Char0"/>
    <w:uiPriority w:val="99"/>
    <w:semiHidden/>
    <w:unhideWhenUsed/>
    <w:qFormat/>
    <w:rPr>
      <w:sz w:val="18"/>
      <w:szCs w:val="18"/>
    </w:rPr>
  </w:style>
  <w:style w:type="paragraph" w:styleId="a7">
    <w:name w:val="footer"/>
    <w:basedOn w:val="a"/>
    <w:link w:val="Char1"/>
    <w:uiPriority w:val="99"/>
    <w:unhideWhenUsed/>
    <w:qFormat/>
    <w:pPr>
      <w:tabs>
        <w:tab w:val="center" w:pos="4153"/>
        <w:tab w:val="right" w:pos="8306"/>
      </w:tabs>
      <w:snapToGrid w:val="0"/>
      <w:jc w:val="left"/>
    </w:pPr>
    <w:rPr>
      <w:sz w:val="18"/>
      <w:szCs w:val="18"/>
    </w:rPr>
  </w:style>
  <w:style w:type="paragraph" w:styleId="a8">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unhideWhenUsed/>
    <w:qFormat/>
    <w:pPr>
      <w:widowControl/>
      <w:tabs>
        <w:tab w:val="right" w:leader="dot" w:pos="8296"/>
      </w:tabs>
      <w:spacing w:after="100" w:line="400" w:lineRule="exact"/>
      <w:jc w:val="left"/>
    </w:pPr>
    <w:rPr>
      <w:rFonts w:ascii="Times New Roman" w:eastAsia="仿宋" w:hAnsi="Times New Roman"/>
      <w:b/>
      <w:kern w:val="0"/>
      <w:sz w:val="32"/>
      <w:szCs w:val="32"/>
    </w:rPr>
  </w:style>
  <w:style w:type="paragraph" w:styleId="20">
    <w:name w:val="toc 2"/>
    <w:basedOn w:val="a"/>
    <w:next w:val="a"/>
    <w:uiPriority w:val="39"/>
    <w:unhideWhenUsed/>
    <w:qFormat/>
    <w:pPr>
      <w:widowControl/>
      <w:tabs>
        <w:tab w:val="right" w:leader="dot" w:pos="8296"/>
      </w:tabs>
      <w:spacing w:after="100" w:line="400" w:lineRule="exact"/>
      <w:ind w:left="220"/>
      <w:jc w:val="left"/>
    </w:pPr>
    <w:rPr>
      <w:rFonts w:ascii="Times New Roman" w:eastAsia="仿宋" w:hAnsi="Times New Roman"/>
      <w:kern w:val="0"/>
      <w:sz w:val="32"/>
      <w:szCs w:val="32"/>
    </w:rPr>
  </w:style>
  <w:style w:type="paragraph" w:styleId="a9">
    <w:name w:val="Title"/>
    <w:basedOn w:val="a"/>
    <w:next w:val="a"/>
    <w:uiPriority w:val="10"/>
    <w:qFormat/>
    <w:pPr>
      <w:spacing w:line="560" w:lineRule="exact"/>
      <w:jc w:val="center"/>
      <w:outlineLvl w:val="0"/>
    </w:pPr>
    <w:rPr>
      <w:rFonts w:asciiTheme="majorHAnsi" w:eastAsia="黑体" w:hAnsiTheme="majorHAnsi" w:cstheme="majorBidi"/>
      <w:b/>
      <w:bCs/>
      <w:sz w:val="30"/>
      <w:szCs w:val="32"/>
    </w:rPr>
  </w:style>
  <w:style w:type="table" w:styleId="aa">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age number"/>
    <w:qFormat/>
  </w:style>
  <w:style w:type="character" w:styleId="ac">
    <w:name w:val="Hyperlink"/>
    <w:basedOn w:val="a1"/>
    <w:uiPriority w:val="99"/>
    <w:unhideWhenUsed/>
    <w:qFormat/>
    <w:rPr>
      <w:color w:val="0000FF" w:themeColor="hyperlink"/>
      <w:u w:val="single"/>
    </w:rPr>
  </w:style>
  <w:style w:type="character" w:styleId="ad">
    <w:name w:val="annotation reference"/>
    <w:basedOn w:val="a1"/>
    <w:uiPriority w:val="99"/>
    <w:semiHidden/>
    <w:unhideWhenUsed/>
    <w:qFormat/>
    <w:rPr>
      <w:sz w:val="21"/>
      <w:szCs w:val="21"/>
    </w:rPr>
  </w:style>
  <w:style w:type="character" w:customStyle="1" w:styleId="Char0">
    <w:name w:val="批注框文本 Char"/>
    <w:link w:val="a6"/>
    <w:uiPriority w:val="99"/>
    <w:semiHidden/>
    <w:qFormat/>
    <w:rPr>
      <w:kern w:val="2"/>
      <w:sz w:val="18"/>
      <w:szCs w:val="18"/>
    </w:rPr>
  </w:style>
  <w:style w:type="character" w:customStyle="1" w:styleId="Char">
    <w:name w:val="日期 Char"/>
    <w:link w:val="a5"/>
    <w:uiPriority w:val="99"/>
    <w:semiHidden/>
    <w:qFormat/>
    <w:rPr>
      <w:kern w:val="2"/>
      <w:sz w:val="21"/>
      <w:szCs w:val="22"/>
    </w:rPr>
  </w:style>
  <w:style w:type="character" w:customStyle="1" w:styleId="Char2">
    <w:name w:val="页眉 Char"/>
    <w:basedOn w:val="a1"/>
    <w:link w:val="a8"/>
    <w:uiPriority w:val="99"/>
    <w:qFormat/>
    <w:rPr>
      <w:kern w:val="2"/>
      <w:sz w:val="18"/>
      <w:szCs w:val="18"/>
    </w:rPr>
  </w:style>
  <w:style w:type="character" w:customStyle="1" w:styleId="Char1">
    <w:name w:val="页脚 Char"/>
    <w:basedOn w:val="a1"/>
    <w:link w:val="a7"/>
    <w:uiPriority w:val="99"/>
    <w:qFormat/>
    <w:rPr>
      <w:kern w:val="2"/>
      <w:sz w:val="18"/>
      <w:szCs w:val="18"/>
    </w:rPr>
  </w:style>
  <w:style w:type="paragraph" w:styleId="ae">
    <w:name w:val="List Paragraph"/>
    <w:basedOn w:val="a"/>
    <w:uiPriority w:val="34"/>
    <w:qFormat/>
    <w:pPr>
      <w:ind w:firstLineChars="200" w:firstLine="420"/>
    </w:pPr>
  </w:style>
  <w:style w:type="paragraph" w:customStyle="1" w:styleId="Style3">
    <w:name w:val="_Style 3"/>
    <w:basedOn w:val="a"/>
    <w:qFormat/>
    <w:pPr>
      <w:ind w:firstLineChars="200" w:firstLine="420"/>
    </w:pPr>
  </w:style>
  <w:style w:type="paragraph" w:customStyle="1" w:styleId="TOC1">
    <w:name w:val="TOC 标题1"/>
    <w:basedOn w:val="1"/>
    <w:next w:val="a"/>
    <w:uiPriority w:val="39"/>
    <w:semiHidden/>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1/relationships/people" Target="peop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ct:contentTypeSchema xmlns:ct="http://schemas.microsoft.com/office/2006/metadata/contentType" xmlns:ma="http://schemas.microsoft.com/office/2006/metadata/properties/metaAttributes" ct:_="" ma:_="" ma:contentTypeName="文档" ma:contentTypeID="0x0101008A1CD0ACEFB685468ADC9D3ECFE50AA2" ma:contentTypeVersion="0" ma:contentTypeDescription="新建文档。" ma:contentTypeScope="" ma:versionID="def0500d8bfa075d08ce612c1990ead7">
  <xsd:schema xmlns:xsd="http://www.w3.org/2001/XMLSchema" xmlns:xs="http://www.w3.org/2001/XMLSchema" xmlns:p="http://schemas.microsoft.com/office/2006/metadata/properties" targetNamespace="http://schemas.microsoft.com/office/2006/metadata/properties" ma:root="true" ma:fieldsID="9adfd09ad98667f9c194c646e975416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BCFA32-4A12-4BFC-897A-20FD49FED0A4}">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AB79CCDF-B691-4C73-939E-5D9D310FA95D}">
  <ds:schemaRefs/>
</ds:datastoreItem>
</file>

<file path=customXml/itemProps4.xml><?xml version="1.0" encoding="utf-8"?>
<ds:datastoreItem xmlns:ds="http://schemas.openxmlformats.org/officeDocument/2006/customXml" ds:itemID="{6F775738-030B-4ADC-9739-939250BA4D85}">
  <ds:schemaRefs/>
</ds:datastoreItem>
</file>

<file path=customXml/itemProps5.xml><?xml version="1.0" encoding="utf-8"?>
<ds:datastoreItem xmlns:ds="http://schemas.openxmlformats.org/officeDocument/2006/customXml" ds:itemID="{03BF5AE5-762C-4953-8908-39A2E31C5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625</Words>
  <Characters>3564</Characters>
  <Application>Microsoft Office Word</Application>
  <DocSecurity>0</DocSecurity>
  <Lines>29</Lines>
  <Paragraphs>8</Paragraphs>
  <ScaleCrop>false</ScaleCrop>
  <Company/>
  <LinksUpToDate>false</LinksUpToDate>
  <CharactersWithSpaces>4181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胡诗艺[syhu.oth]</dc:creator>
  <cp:lastModifiedBy>林雅芳</cp:lastModifiedBy>
  <cp:revision>8</cp:revision>
  <cp:lastPrinted>2020-07-28T03:01:00Z</cp:lastPrinted>
  <dcterms:created xsi:type="dcterms:W3CDTF">2023-10-19T14:08:00Z</dcterms:created>
  <dcterms:modified xsi:type="dcterms:W3CDTF">2023-10-19T14:11:00Z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le">
    <vt:lpwstr/>
  </property>
  <property fmtid="{D5CDD505-2E9C-101B-9397-08002B2CF9AE}" pid="3" name="ContentTypeId">
    <vt:lpwstr>0x0101008A1CD0ACEFB685468ADC9D3ECFE50AA2</vt:lpwstr>
  </property>
  <property fmtid="{D5CDD505-2E9C-101B-9397-08002B2CF9AE}" pid="4" name="KSOProductBuildVer">
    <vt:lpwstr>2052-11.8.2.11734</vt:lpwstr>
  </property>
  <property fmtid="{D5CDD505-2E9C-101B-9397-08002B2CF9AE}" pid="5" name="ICV">
    <vt:lpwstr>B6E0554408324659BF98FD428475AEB4</vt:lpwstr>
  </property>
</Properties>
</file>