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黑体" w:hAnsi="黑体" w:eastAsia="黑体" w:cs="黑体"/>
          <w:bCs/>
          <w:sz w:val="32"/>
          <w:szCs w:val="32"/>
          <w:highlight w:val="none"/>
          <w:lang w:val="en-US" w:eastAsia="zh-CN"/>
        </w:rPr>
      </w:pPr>
      <w:bookmarkStart w:id="2" w:name="_GoBack"/>
      <w:bookmarkEnd w:id="2"/>
      <w:r>
        <w:rPr>
          <w:rFonts w:hint="eastAsia" w:ascii="黑体" w:hAnsi="黑体" w:eastAsia="黑体" w:cs="黑体"/>
          <w:bCs/>
          <w:sz w:val="32"/>
          <w:szCs w:val="32"/>
          <w:highlight w:val="none"/>
          <w:lang w:val="en-US" w:eastAsia="zh-CN"/>
        </w:rPr>
        <w:t>附件2</w:t>
      </w:r>
    </w:p>
    <w:p>
      <w:pPr>
        <w:spacing w:line="560" w:lineRule="exact"/>
        <w:jc w:val="both"/>
        <w:rPr>
          <w:rFonts w:hint="eastAsia" w:ascii="黑体" w:hAnsi="黑体" w:eastAsia="黑体" w:cs="黑体"/>
          <w:bCs/>
          <w:sz w:val="32"/>
          <w:szCs w:val="32"/>
          <w:highlight w:val="none"/>
          <w:lang w:val="en-US" w:eastAsia="zh-CN"/>
        </w:rPr>
      </w:pPr>
    </w:p>
    <w:p>
      <w:pPr>
        <w:spacing w:line="560" w:lineRule="exact"/>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《深圳证券交易所公司债券发行上市审核业务指引第</w:t>
      </w:r>
      <w:r>
        <w:rPr>
          <w:rFonts w:hint="eastAsia" w:ascii="方正小标宋简体" w:hAnsi="方正小标宋简体" w:eastAsia="方正小标宋简体" w:cs="方正小标宋简体"/>
          <w:bCs/>
          <w:sz w:val="44"/>
          <w:szCs w:val="44"/>
          <w:highlight w:val="none"/>
          <w:lang w:val="en-US" w:eastAsia="zh-CN"/>
        </w:rPr>
        <w:t>3</w:t>
      </w:r>
      <w:r>
        <w:rPr>
          <w:rFonts w:hint="eastAsia" w:ascii="方正小标宋简体" w:hAnsi="方正小标宋简体" w:eastAsia="方正小标宋简体" w:cs="方正小标宋简体"/>
          <w:bCs/>
          <w:sz w:val="44"/>
          <w:szCs w:val="44"/>
          <w:highlight w:val="none"/>
        </w:rPr>
        <w:t>号——</w:t>
      </w:r>
      <w:r>
        <w:rPr>
          <w:rFonts w:hint="eastAsia" w:ascii="方正小标宋简体" w:hAnsi="方正小标宋简体" w:eastAsia="方正小标宋简体" w:cs="方正小标宋简体"/>
          <w:bCs/>
          <w:sz w:val="44"/>
          <w:szCs w:val="44"/>
          <w:highlight w:val="none"/>
          <w:lang w:eastAsia="zh-CN"/>
        </w:rPr>
        <w:t>优化审核安排</w:t>
      </w:r>
      <w:r>
        <w:rPr>
          <w:rFonts w:hint="eastAsia" w:ascii="方正小标宋简体" w:hAnsi="方正小标宋简体" w:eastAsia="方正小标宋简体" w:cs="方正小标宋简体"/>
          <w:bCs/>
          <w:sz w:val="44"/>
          <w:szCs w:val="44"/>
          <w:highlight w:val="none"/>
        </w:rPr>
        <w:t>》</w:t>
      </w:r>
      <w:r>
        <w:rPr>
          <w:rFonts w:hint="eastAsia" w:ascii="方正小标宋简体" w:hAnsi="方正小标宋简体" w:eastAsia="方正小标宋简体" w:cs="方正小标宋简体"/>
          <w:bCs/>
          <w:sz w:val="44"/>
          <w:szCs w:val="44"/>
          <w:highlight w:val="none"/>
        </w:rPr>
        <w:br w:type="textWrapping"/>
      </w:r>
      <w:r>
        <w:rPr>
          <w:rFonts w:hint="eastAsia" w:ascii="方正小标宋简体" w:hAnsi="方正小标宋简体" w:eastAsia="方正小标宋简体" w:cs="方正小标宋简体"/>
          <w:bCs/>
          <w:sz w:val="44"/>
          <w:szCs w:val="44"/>
          <w:highlight w:val="none"/>
        </w:rPr>
        <w:t>修订说明</w:t>
      </w:r>
    </w:p>
    <w:p>
      <w:pPr>
        <w:spacing w:line="560" w:lineRule="exact"/>
        <w:ind w:firstLine="640" w:firstLineChars="200"/>
        <w:rPr>
          <w:rFonts w:ascii="Times New Roman" w:hAnsi="Times New Roman" w:eastAsia="仿宋_GB2312" w:cs="Times New Roman"/>
          <w:sz w:val="32"/>
          <w:szCs w:val="32"/>
          <w:highlight w:val="none"/>
        </w:rPr>
      </w:pPr>
    </w:p>
    <w:p>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为进一步提升交易所债券市场服务实体经济质效，加大对优质企业融资支持力度，提高审核效率，在中国证监会指导下，</w:t>
      </w:r>
      <w:r>
        <w:rPr>
          <w:rFonts w:hint="eastAsia" w:ascii="仿宋" w:hAnsi="仿宋" w:eastAsia="仿宋" w:cs="仿宋"/>
          <w:sz w:val="32"/>
          <w:szCs w:val="32"/>
          <w:highlight w:val="none"/>
          <w:lang w:eastAsia="zh-CN"/>
        </w:rPr>
        <w:t>深圳</w:t>
      </w:r>
      <w:r>
        <w:rPr>
          <w:rFonts w:hint="eastAsia" w:ascii="仿宋" w:hAnsi="仿宋" w:eastAsia="仿宋" w:cs="仿宋"/>
          <w:sz w:val="32"/>
          <w:szCs w:val="32"/>
          <w:highlight w:val="none"/>
        </w:rPr>
        <w:t>证券交易所（以下简称本所）修订了《</w:t>
      </w:r>
      <w:r>
        <w:rPr>
          <w:rFonts w:hint="eastAsia" w:ascii="仿宋" w:hAnsi="仿宋" w:eastAsia="仿宋" w:cs="仿宋"/>
          <w:b w:val="0"/>
          <w:bCs w:val="0"/>
          <w:sz w:val="32"/>
          <w:szCs w:val="32"/>
          <w:highlight w:val="none"/>
        </w:rPr>
        <w:t>深圳证券交易所公司债券发行上市审核业务指引第</w:t>
      </w:r>
      <w:r>
        <w:rPr>
          <w:rFonts w:hint="eastAsia" w:ascii="仿宋" w:hAnsi="仿宋" w:eastAsia="仿宋" w:cs="仿宋"/>
          <w:b w:val="0"/>
          <w:bCs w:val="0"/>
          <w:sz w:val="32"/>
          <w:szCs w:val="32"/>
          <w:highlight w:val="none"/>
          <w:lang w:val="en-US" w:eastAsia="zh-CN"/>
        </w:rPr>
        <w:t>3</w:t>
      </w:r>
      <w:r>
        <w:rPr>
          <w:rFonts w:hint="eastAsia" w:ascii="仿宋" w:hAnsi="仿宋" w:eastAsia="仿宋" w:cs="仿宋"/>
          <w:b w:val="0"/>
          <w:bCs w:val="0"/>
          <w:sz w:val="32"/>
          <w:szCs w:val="32"/>
          <w:highlight w:val="none"/>
        </w:rPr>
        <w:t>号——</w:t>
      </w:r>
      <w:r>
        <w:rPr>
          <w:rFonts w:hint="eastAsia" w:ascii="仿宋" w:hAnsi="仿宋" w:eastAsia="仿宋" w:cs="仿宋"/>
          <w:b w:val="0"/>
          <w:bCs w:val="0"/>
          <w:sz w:val="32"/>
          <w:szCs w:val="32"/>
          <w:highlight w:val="none"/>
          <w:lang w:eastAsia="zh-CN"/>
        </w:rPr>
        <w:t>优化审核安排</w:t>
      </w:r>
      <w:r>
        <w:rPr>
          <w:rFonts w:hint="eastAsia" w:ascii="仿宋" w:hAnsi="仿宋" w:eastAsia="仿宋" w:cs="仿宋"/>
          <w:sz w:val="32"/>
          <w:szCs w:val="32"/>
          <w:highlight w:val="none"/>
        </w:rPr>
        <w:t>》（以下简称《</w:t>
      </w:r>
      <w:r>
        <w:rPr>
          <w:rFonts w:hint="eastAsia" w:ascii="仿宋" w:hAnsi="仿宋" w:eastAsia="仿宋" w:cs="仿宋"/>
          <w:sz w:val="32"/>
          <w:szCs w:val="32"/>
          <w:highlight w:val="none"/>
          <w:lang w:eastAsia="zh-CN"/>
        </w:rPr>
        <w:t>优化审核安排指引</w:t>
      </w:r>
      <w:r>
        <w:rPr>
          <w:rFonts w:hint="eastAsia" w:ascii="仿宋" w:hAnsi="仿宋" w:eastAsia="仿宋" w:cs="仿宋"/>
          <w:sz w:val="32"/>
          <w:szCs w:val="32"/>
          <w:highlight w:val="none"/>
        </w:rPr>
        <w:t>》），现将有关情况说明如下：</w:t>
      </w:r>
    </w:p>
    <w:p>
      <w:pPr>
        <w:spacing w:line="560" w:lineRule="exact"/>
        <w:ind w:firstLine="640" w:firstLineChars="200"/>
        <w:outlineLvl w:val="0"/>
        <w:rPr>
          <w:rFonts w:ascii="Times New Roman" w:hAnsi="Times New Roman" w:eastAsia="黑体" w:cs="Times New Roman"/>
          <w:b w:val="0"/>
          <w:bCs w:val="0"/>
          <w:sz w:val="32"/>
          <w:szCs w:val="32"/>
          <w:highlight w:val="none"/>
        </w:rPr>
      </w:pPr>
      <w:r>
        <w:rPr>
          <w:rFonts w:ascii="Times New Roman" w:hAnsi="Times New Roman" w:eastAsia="黑体" w:cs="Times New Roman"/>
          <w:b w:val="0"/>
          <w:bCs w:val="0"/>
          <w:sz w:val="32"/>
          <w:szCs w:val="32"/>
          <w:highlight w:val="none"/>
        </w:rPr>
        <w:t>一、修订背景</w:t>
      </w:r>
    </w:p>
    <w:p>
      <w:pPr>
        <w:spacing w:line="560" w:lineRule="exact"/>
        <w:ind w:firstLine="640" w:firstLineChars="200"/>
        <w:rPr>
          <w:rFonts w:hint="eastAsia" w:ascii="仿宋" w:hAnsi="仿宋" w:eastAsia="仿宋" w:cs="仿宋"/>
          <w:sz w:val="32"/>
          <w:szCs w:val="32"/>
          <w:highlight w:val="none"/>
        </w:rPr>
      </w:pPr>
      <w:bookmarkStart w:id="0" w:name="_Hlk218431387"/>
      <w:r>
        <w:rPr>
          <w:rFonts w:hint="eastAsia" w:ascii="仿宋" w:hAnsi="仿宋" w:eastAsia="仿宋" w:cs="仿宋"/>
          <w:sz w:val="32"/>
          <w:szCs w:val="32"/>
          <w:highlight w:val="none"/>
        </w:rPr>
        <w:t>为服务国家战略和实体经济，优化公司债券市场结构，本所于2018年</w:t>
      </w:r>
      <w:r>
        <w:rPr>
          <w:rFonts w:hint="eastAsia" w:ascii="仿宋" w:hAnsi="仿宋" w:eastAsia="仿宋" w:cs="仿宋"/>
          <w:sz w:val="32"/>
          <w:szCs w:val="32"/>
          <w:highlight w:val="none"/>
          <w:lang w:val="en-US" w:eastAsia="zh-CN"/>
        </w:rPr>
        <w:t>8月</w:t>
      </w:r>
      <w:r>
        <w:rPr>
          <w:rFonts w:hint="eastAsia" w:ascii="仿宋" w:hAnsi="仿宋" w:eastAsia="仿宋" w:cs="仿宋"/>
          <w:sz w:val="32"/>
          <w:szCs w:val="32"/>
          <w:highlight w:val="none"/>
        </w:rPr>
        <w:t>发布《</w:t>
      </w:r>
      <w:r>
        <w:rPr>
          <w:rFonts w:hint="eastAsia" w:ascii="仿宋" w:hAnsi="仿宋" w:eastAsia="仿宋" w:cs="仿宋"/>
          <w:sz w:val="32"/>
          <w:szCs w:val="32"/>
          <w:highlight w:val="none"/>
          <w:lang w:eastAsia="zh-CN"/>
        </w:rPr>
        <w:t>深圳证券交易所</w:t>
      </w:r>
      <w:r>
        <w:rPr>
          <w:rFonts w:hint="eastAsia" w:ascii="仿宋" w:hAnsi="仿宋" w:eastAsia="仿宋" w:cs="仿宋"/>
          <w:sz w:val="32"/>
          <w:szCs w:val="32"/>
          <w:highlight w:val="none"/>
        </w:rPr>
        <w:t>公司债券业务办理指南第4号——公司债券优化审核程序》，首次推出知名成熟发行人制度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对市场认可度高、行业地位显著、公司治理完善、经营财务状况稳健、信息披露成熟的发行人适用优化审核安排</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简化审核流程、提高融资服务效率。</w:t>
      </w:r>
      <w:r>
        <w:rPr>
          <w:rFonts w:hint="eastAsia" w:ascii="仿宋" w:hAnsi="仿宋" w:eastAsia="仿宋" w:cs="仿宋"/>
          <w:sz w:val="32"/>
          <w:szCs w:val="32"/>
          <w:highlight w:val="none"/>
          <w:lang w:val="en-US" w:eastAsia="zh-CN"/>
        </w:rPr>
        <w:t>2022年5月，本所制定发布《</w:t>
      </w:r>
      <w:r>
        <w:rPr>
          <w:rFonts w:hint="eastAsia" w:ascii="仿宋" w:hAnsi="仿宋" w:eastAsia="仿宋" w:cs="仿宋"/>
          <w:sz w:val="32"/>
          <w:szCs w:val="32"/>
          <w:highlight w:val="none"/>
          <w:lang w:eastAsia="zh-CN"/>
        </w:rPr>
        <w:t>优化审核安排指引</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并于2023年10月进行修订。</w:t>
      </w:r>
      <w:r>
        <w:rPr>
          <w:rFonts w:hint="eastAsia" w:ascii="仿宋" w:hAnsi="仿宋" w:eastAsia="仿宋" w:cs="仿宋"/>
          <w:sz w:val="32"/>
          <w:szCs w:val="32"/>
          <w:highlight w:val="none"/>
        </w:rPr>
        <w:t>知名成熟发行人制度推出以来，总体运行情况良好，获得市场广泛认可。</w:t>
      </w:r>
    </w:p>
    <w:p>
      <w:pPr>
        <w:spacing w:line="56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为进一步落实以偿债能力为中心的审核理念，深入推进债券分类审核，结合近年审核业务实践，本所对《优化审核安排指引》进行了修订，适度放宽部分</w:t>
      </w:r>
      <w:r>
        <w:rPr>
          <w:rFonts w:hint="eastAsia" w:ascii="仿宋" w:hAnsi="仿宋" w:eastAsia="仿宋" w:cs="仿宋"/>
          <w:sz w:val="32"/>
          <w:szCs w:val="32"/>
          <w:highlight w:val="none"/>
        </w:rPr>
        <w:t>知名成熟发行人</w:t>
      </w:r>
      <w:r>
        <w:rPr>
          <w:rFonts w:hint="eastAsia" w:ascii="仿宋" w:hAnsi="仿宋" w:eastAsia="仿宋" w:cs="仿宋"/>
          <w:sz w:val="32"/>
          <w:szCs w:val="32"/>
          <w:highlight w:val="none"/>
          <w:lang w:val="en-US" w:eastAsia="zh-CN"/>
        </w:rPr>
        <w:t>准入指标要求，加大对优质上市公司支持力度，丰富优化审核措施，</w:t>
      </w:r>
      <w:r>
        <w:rPr>
          <w:rFonts w:hint="eastAsia" w:ascii="仿宋" w:hAnsi="仿宋" w:eastAsia="仿宋" w:cs="仿宋"/>
          <w:sz w:val="32"/>
          <w:szCs w:val="32"/>
          <w:highlight w:val="none"/>
          <w:lang w:eastAsia="zh-CN"/>
        </w:rPr>
        <w:t>提高</w:t>
      </w:r>
      <w:r>
        <w:rPr>
          <w:rFonts w:hint="eastAsia" w:ascii="仿宋" w:hAnsi="仿宋" w:eastAsia="仿宋" w:cs="仿宋"/>
          <w:sz w:val="32"/>
          <w:szCs w:val="32"/>
          <w:highlight w:val="none"/>
        </w:rPr>
        <w:t>知名成熟发行人制度</w:t>
      </w:r>
      <w:r>
        <w:rPr>
          <w:rFonts w:hint="eastAsia" w:ascii="仿宋" w:hAnsi="仿宋" w:eastAsia="仿宋" w:cs="仿宋"/>
          <w:sz w:val="32"/>
          <w:szCs w:val="32"/>
          <w:highlight w:val="none"/>
          <w:lang w:eastAsia="zh-CN"/>
        </w:rPr>
        <w:t>的包容性和适应性</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更好发挥交易所债券市场支持优质企业融资发展功能。</w:t>
      </w:r>
    </w:p>
    <w:bookmarkEnd w:id="0"/>
    <w:p>
      <w:pPr>
        <w:spacing w:line="560" w:lineRule="exact"/>
        <w:ind w:firstLine="640" w:firstLineChars="200"/>
        <w:rPr>
          <w:rFonts w:ascii="Times New Roman" w:hAnsi="Times New Roman" w:eastAsia="黑体" w:cs="Times New Roman"/>
          <w:b w:val="0"/>
          <w:bCs/>
          <w:sz w:val="32"/>
          <w:szCs w:val="32"/>
          <w:highlight w:val="none"/>
        </w:rPr>
      </w:pPr>
      <w:r>
        <w:rPr>
          <w:rFonts w:ascii="Times New Roman" w:hAnsi="Times New Roman" w:eastAsia="黑体" w:cs="Times New Roman"/>
          <w:b w:val="0"/>
          <w:bCs/>
          <w:sz w:val="32"/>
          <w:szCs w:val="32"/>
          <w:highlight w:val="none"/>
        </w:rPr>
        <w:t>二、主要修订</w:t>
      </w:r>
      <w:r>
        <w:rPr>
          <w:rFonts w:hint="eastAsia" w:ascii="Times New Roman" w:hAnsi="Times New Roman" w:eastAsia="黑体" w:cs="Times New Roman"/>
          <w:b w:val="0"/>
          <w:bCs/>
          <w:sz w:val="32"/>
          <w:szCs w:val="32"/>
          <w:highlight w:val="none"/>
          <w:lang w:eastAsia="zh-CN"/>
        </w:rPr>
        <w:t>内容</w:t>
      </w:r>
    </w:p>
    <w:p>
      <w:pPr>
        <w:spacing w:line="560" w:lineRule="exact"/>
        <w:ind w:firstLine="640" w:firstLineChars="200"/>
        <w:rPr>
          <w:rFonts w:hint="eastAsia" w:ascii="Times New Roman" w:hAnsi="Times New Roman" w:eastAsia="楷体_GB2312" w:cs="Times New Roman"/>
          <w:b w:val="0"/>
          <w:bCs w:val="0"/>
          <w:sz w:val="32"/>
          <w:szCs w:val="32"/>
          <w:highlight w:val="none"/>
          <w:lang w:eastAsia="zh-CN"/>
        </w:rPr>
      </w:pPr>
      <w:bookmarkStart w:id="1" w:name="_Hlk218431093"/>
      <w:r>
        <w:rPr>
          <w:rFonts w:hint="eastAsia" w:ascii="Times New Roman" w:hAnsi="Times New Roman" w:eastAsia="楷体_GB2312" w:cs="Times New Roman"/>
          <w:b w:val="0"/>
          <w:bCs w:val="0"/>
          <w:sz w:val="32"/>
          <w:szCs w:val="32"/>
          <w:highlight w:val="none"/>
          <w:lang w:eastAsia="zh-CN"/>
        </w:rPr>
        <w:t>（一）优化知名成熟发行人认定标准</w:t>
      </w:r>
    </w:p>
    <w:p>
      <w:pPr>
        <w:spacing w:line="560" w:lineRule="exact"/>
        <w:ind w:firstLine="640" w:firstLineChars="200"/>
        <w:rPr>
          <w:rFonts w:hint="default" w:ascii="仿宋" w:hAnsi="仿宋" w:eastAsia="仿宋" w:cs="仿宋"/>
          <w:sz w:val="32"/>
          <w:szCs w:val="32"/>
          <w:highlight w:val="none"/>
          <w:lang w:val="en-US" w:eastAsia="zh-CN"/>
        </w:rPr>
      </w:pPr>
      <w:r>
        <w:rPr>
          <w:rFonts w:hint="eastAsia" w:ascii="黑体" w:hAnsi="黑体" w:eastAsia="黑体" w:cs="黑体"/>
          <w:b w:val="0"/>
          <w:bCs w:val="0"/>
          <w:sz w:val="32"/>
          <w:szCs w:val="32"/>
          <w:highlight w:val="none"/>
          <w:lang w:eastAsia="zh-CN"/>
        </w:rPr>
        <w:t>一是</w:t>
      </w:r>
      <w:r>
        <w:rPr>
          <w:rFonts w:hint="eastAsia" w:ascii="仿宋" w:hAnsi="仿宋" w:eastAsia="仿宋" w:cs="仿宋"/>
          <w:b w:val="0"/>
          <w:bCs w:val="0"/>
          <w:sz w:val="32"/>
          <w:szCs w:val="32"/>
          <w:highlight w:val="none"/>
        </w:rPr>
        <w:t>适当</w:t>
      </w:r>
      <w:r>
        <w:rPr>
          <w:rFonts w:hint="eastAsia" w:ascii="仿宋" w:hAnsi="仿宋" w:eastAsia="仿宋" w:cs="仿宋"/>
          <w:b w:val="0"/>
          <w:bCs w:val="0"/>
          <w:sz w:val="32"/>
          <w:szCs w:val="32"/>
          <w:highlight w:val="none"/>
          <w:lang w:eastAsia="zh-CN"/>
        </w:rPr>
        <w:t>优化</w:t>
      </w:r>
      <w:r>
        <w:rPr>
          <w:rFonts w:hint="eastAsia" w:ascii="仿宋" w:hAnsi="仿宋" w:eastAsia="仿宋" w:cs="仿宋"/>
          <w:b w:val="0"/>
          <w:bCs w:val="0"/>
          <w:sz w:val="32"/>
          <w:szCs w:val="32"/>
          <w:highlight w:val="none"/>
        </w:rPr>
        <w:t>总资产报酬率相关要求</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rPr>
        <w:t>将</w:t>
      </w:r>
      <w:r>
        <w:rPr>
          <w:rFonts w:hint="eastAsia" w:ascii="仿宋" w:hAnsi="仿宋" w:eastAsia="仿宋" w:cs="仿宋"/>
          <w:b w:val="0"/>
          <w:bCs w:val="0"/>
          <w:sz w:val="32"/>
          <w:szCs w:val="32"/>
          <w:highlight w:val="none"/>
          <w:lang w:eastAsia="zh-CN"/>
        </w:rPr>
        <w:t>各行业类型的</w:t>
      </w:r>
      <w:r>
        <w:rPr>
          <w:rFonts w:hint="eastAsia" w:ascii="仿宋" w:hAnsi="仿宋" w:eastAsia="仿宋" w:cs="仿宋"/>
          <w:b w:val="0"/>
          <w:bCs w:val="0"/>
          <w:sz w:val="32"/>
          <w:szCs w:val="32"/>
          <w:highlight w:val="none"/>
        </w:rPr>
        <w:t>总资产报酬率要求</w:t>
      </w:r>
      <w:r>
        <w:rPr>
          <w:rFonts w:hint="eastAsia" w:ascii="仿宋" w:hAnsi="仿宋" w:eastAsia="仿宋" w:cs="仿宋"/>
          <w:b w:val="0"/>
          <w:bCs w:val="0"/>
          <w:sz w:val="32"/>
          <w:szCs w:val="32"/>
          <w:highlight w:val="none"/>
          <w:lang w:eastAsia="zh-CN"/>
        </w:rPr>
        <w:t>均</w:t>
      </w:r>
      <w:r>
        <w:rPr>
          <w:rFonts w:hint="eastAsia" w:ascii="仿宋" w:hAnsi="仿宋" w:eastAsia="仿宋" w:cs="仿宋"/>
          <w:b w:val="0"/>
          <w:bCs w:val="0"/>
          <w:sz w:val="32"/>
          <w:szCs w:val="32"/>
          <w:highlight w:val="none"/>
        </w:rPr>
        <w:t>由3%放宽至2.5%</w:t>
      </w:r>
      <w:r>
        <w:rPr>
          <w:rFonts w:hint="eastAsia" w:ascii="仿宋" w:hAnsi="仿宋" w:eastAsia="仿宋" w:cs="仿宋"/>
          <w:b w:val="0"/>
          <w:bCs w:val="0"/>
          <w:sz w:val="32"/>
          <w:szCs w:val="32"/>
          <w:highlight w:val="none"/>
          <w:lang w:eastAsia="zh-CN"/>
        </w:rPr>
        <w:t>。</w:t>
      </w:r>
      <w:r>
        <w:rPr>
          <w:rFonts w:hint="eastAsia" w:ascii="黑体" w:hAnsi="黑体" w:eastAsia="黑体" w:cs="黑体"/>
          <w:b w:val="0"/>
          <w:bCs w:val="0"/>
          <w:sz w:val="32"/>
          <w:szCs w:val="32"/>
          <w:highlight w:val="none"/>
          <w:lang w:eastAsia="zh-CN"/>
        </w:rPr>
        <w:t>二是</w:t>
      </w:r>
      <w:r>
        <w:rPr>
          <w:rFonts w:hint="eastAsia" w:ascii="仿宋" w:hAnsi="仿宋" w:eastAsia="仿宋" w:cs="仿宋"/>
          <w:b w:val="0"/>
          <w:bCs w:val="0"/>
          <w:sz w:val="32"/>
          <w:szCs w:val="32"/>
          <w:highlight w:val="none"/>
        </w:rPr>
        <w:t>完善豁免条款适用规则，将</w:t>
      </w:r>
      <w:r>
        <w:rPr>
          <w:rFonts w:hint="eastAsia" w:ascii="仿宋" w:hAnsi="仿宋" w:eastAsia="仿宋" w:cs="仿宋"/>
          <w:b w:val="0"/>
          <w:bCs w:val="0"/>
          <w:sz w:val="32"/>
          <w:szCs w:val="32"/>
          <w:highlight w:val="none"/>
          <w:lang w:eastAsia="zh-CN"/>
        </w:rPr>
        <w:t>豁免情形中的</w:t>
      </w:r>
      <w:r>
        <w:rPr>
          <w:rFonts w:hint="eastAsia" w:ascii="仿宋" w:hAnsi="仿宋" w:eastAsia="仿宋" w:cs="仿宋"/>
          <w:b w:val="0"/>
          <w:bCs w:val="0"/>
          <w:sz w:val="32"/>
          <w:szCs w:val="32"/>
          <w:highlight w:val="none"/>
        </w:rPr>
        <w:t>资产规模门槛由3,000亿元下调至2,500亿元，同时增设总资产报酬率不低于1.5%的要求</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rPr>
        <w:t>明确对于由地方证监局或省级政府主管部门推荐的企业，资产规模应满足分行业财务指标要求、资产负债率或总资产报酬率其一应满足分行业财务指标要求</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rPr>
        <w:t>且总资产报酬率应不低于1.5%。</w:t>
      </w:r>
      <w:r>
        <w:rPr>
          <w:rFonts w:hint="eastAsia" w:ascii="黑体" w:hAnsi="黑体" w:eastAsia="黑体" w:cs="黑体"/>
          <w:b w:val="0"/>
          <w:bCs w:val="0"/>
          <w:sz w:val="32"/>
          <w:szCs w:val="32"/>
          <w:highlight w:val="none"/>
          <w:lang w:eastAsia="zh-CN"/>
        </w:rPr>
        <w:t>三是</w:t>
      </w:r>
      <w:r>
        <w:rPr>
          <w:rFonts w:hint="eastAsia" w:ascii="仿宋" w:hAnsi="仿宋" w:eastAsia="仿宋" w:cs="仿宋"/>
          <w:b w:val="0"/>
          <w:bCs w:val="0"/>
          <w:sz w:val="32"/>
          <w:szCs w:val="32"/>
          <w:highlight w:val="none"/>
        </w:rPr>
        <w:t>优化上市公司知名成熟发行人认定标准</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rPr>
        <w:t>将认定标准由“深证100指数成分股”调整为“最近两年信息披露工作评价结果为A，且资产总额不低于200亿元、净资产收益率不低于2%的上市公司”。</w:t>
      </w:r>
    </w:p>
    <w:p>
      <w:pPr>
        <w:spacing w:line="560" w:lineRule="exact"/>
        <w:ind w:firstLine="640" w:firstLineChars="200"/>
        <w:rPr>
          <w:rFonts w:hint="eastAsia" w:ascii="Times New Roman" w:hAnsi="Times New Roman" w:eastAsia="楷体_GB2312" w:cs="Times New Roman"/>
          <w:b w:val="0"/>
          <w:bCs w:val="0"/>
          <w:sz w:val="32"/>
          <w:szCs w:val="32"/>
          <w:highlight w:val="none"/>
          <w:lang w:eastAsia="zh-CN"/>
        </w:rPr>
      </w:pPr>
      <w:r>
        <w:rPr>
          <w:rFonts w:hint="eastAsia" w:ascii="Times New Roman" w:hAnsi="Times New Roman" w:eastAsia="楷体_GB2312" w:cs="Times New Roman"/>
          <w:b w:val="0"/>
          <w:bCs w:val="0"/>
          <w:sz w:val="32"/>
          <w:szCs w:val="32"/>
          <w:highlight w:val="none"/>
          <w:lang w:eastAsia="zh-CN"/>
        </w:rPr>
        <w:t>（二）丰富优化审核措施</w:t>
      </w:r>
    </w:p>
    <w:p>
      <w:pPr>
        <w:spacing w:line="560" w:lineRule="exact"/>
        <w:ind w:firstLine="640" w:firstLineChars="200"/>
        <w:rPr>
          <w:rFonts w:hint="eastAsia" w:ascii="仿宋" w:hAnsi="仿宋" w:eastAsia="仿宋" w:cs="仿宋"/>
          <w:b w:val="0"/>
          <w:bCs w:val="0"/>
          <w:sz w:val="32"/>
          <w:szCs w:val="32"/>
          <w:highlight w:val="none"/>
        </w:rPr>
      </w:pPr>
      <w:r>
        <w:rPr>
          <w:rFonts w:hint="eastAsia" w:ascii="黑体" w:hAnsi="黑体" w:eastAsia="黑体" w:cs="黑体"/>
          <w:b w:val="0"/>
          <w:bCs w:val="0"/>
          <w:sz w:val="32"/>
          <w:szCs w:val="32"/>
          <w:highlight w:val="none"/>
          <w:lang w:eastAsia="zh-CN"/>
        </w:rPr>
        <w:t>一是</w:t>
      </w:r>
      <w:r>
        <w:rPr>
          <w:rFonts w:hint="eastAsia" w:ascii="仿宋" w:hAnsi="仿宋" w:eastAsia="仿宋" w:cs="仿宋"/>
          <w:b w:val="0"/>
          <w:bCs w:val="0"/>
          <w:sz w:val="32"/>
          <w:szCs w:val="32"/>
          <w:highlight w:val="none"/>
          <w:lang w:eastAsia="zh-CN"/>
        </w:rPr>
        <w:t>延长知名成熟发行人资质有效期，由2年延长至3年。</w:t>
      </w:r>
      <w:r>
        <w:rPr>
          <w:rFonts w:hint="eastAsia" w:ascii="黑体" w:hAnsi="黑体" w:eastAsia="黑体" w:cs="黑体"/>
          <w:b w:val="0"/>
          <w:bCs w:val="0"/>
          <w:sz w:val="32"/>
          <w:szCs w:val="32"/>
          <w:highlight w:val="none"/>
          <w:lang w:eastAsia="zh-CN"/>
        </w:rPr>
        <w:t>二是</w:t>
      </w:r>
      <w:r>
        <w:rPr>
          <w:rFonts w:hint="eastAsia" w:ascii="仿宋" w:hAnsi="仿宋" w:eastAsia="仿宋" w:cs="仿宋"/>
          <w:b w:val="0"/>
          <w:bCs w:val="0"/>
          <w:sz w:val="32"/>
          <w:szCs w:val="32"/>
          <w:highlight w:val="none"/>
          <w:lang w:eastAsia="zh-CN"/>
        </w:rPr>
        <w:t>明确适用本所简明信息披露安排，与前期本所发布的《深圳证券交易所公司债券发行上市审核业务指南第</w:t>
      </w:r>
      <w:r>
        <w:rPr>
          <w:rFonts w:hint="eastAsia" w:ascii="仿宋" w:hAnsi="仿宋" w:eastAsia="仿宋" w:cs="仿宋"/>
          <w:b w:val="0"/>
          <w:bCs w:val="0"/>
          <w:sz w:val="32"/>
          <w:szCs w:val="32"/>
          <w:highlight w:val="none"/>
          <w:lang w:val="en-US" w:eastAsia="zh-CN"/>
        </w:rPr>
        <w:t>3</w:t>
      </w:r>
      <w:r>
        <w:rPr>
          <w:rFonts w:hint="eastAsia" w:ascii="仿宋" w:hAnsi="仿宋" w:eastAsia="仿宋" w:cs="仿宋"/>
          <w:b w:val="0"/>
          <w:bCs w:val="0"/>
          <w:sz w:val="32"/>
          <w:szCs w:val="32"/>
          <w:highlight w:val="none"/>
          <w:lang w:eastAsia="zh-CN"/>
        </w:rPr>
        <w:t>号——简明信息披露》相衔接。</w:t>
      </w:r>
      <w:r>
        <w:rPr>
          <w:rFonts w:hint="eastAsia" w:ascii="黑体" w:hAnsi="黑体" w:eastAsia="黑体" w:cs="黑体"/>
          <w:b w:val="0"/>
          <w:bCs w:val="0"/>
          <w:sz w:val="32"/>
          <w:szCs w:val="32"/>
          <w:highlight w:val="none"/>
          <w:lang w:eastAsia="zh-CN"/>
        </w:rPr>
        <w:t>三是</w:t>
      </w:r>
      <w:r>
        <w:rPr>
          <w:rFonts w:hint="eastAsia" w:ascii="仿宋" w:hAnsi="仿宋" w:eastAsia="仿宋" w:cs="仿宋"/>
          <w:b w:val="0"/>
          <w:bCs w:val="0"/>
          <w:sz w:val="32"/>
          <w:szCs w:val="32"/>
          <w:highlight w:val="none"/>
          <w:lang w:eastAsia="zh-CN"/>
        </w:rPr>
        <w:t>简化审计机构签章要求，明确审计机构已对发行人前期募集说明书中引用的审计报告内容出具过声明页，确认募集说明书与审计报告不存在矛盾，并经主承销商核查本期债券发行文件引用的审计报告内容与前期一致的，每期债券发行前审计机构无需再次签署相关声明。</w:t>
      </w:r>
      <w:r>
        <w:rPr>
          <w:rFonts w:hint="eastAsia" w:ascii="黑体" w:hAnsi="黑体" w:eastAsia="黑体" w:cs="黑体"/>
          <w:b w:val="0"/>
          <w:bCs w:val="0"/>
          <w:sz w:val="32"/>
          <w:szCs w:val="32"/>
          <w:highlight w:val="none"/>
          <w:lang w:eastAsia="zh-CN"/>
        </w:rPr>
        <w:t>四是</w:t>
      </w:r>
      <w:r>
        <w:rPr>
          <w:rFonts w:hint="eastAsia" w:ascii="仿宋" w:hAnsi="仿宋" w:eastAsia="仿宋" w:cs="仿宋"/>
          <w:b w:val="0"/>
          <w:bCs w:val="0"/>
          <w:sz w:val="32"/>
          <w:szCs w:val="32"/>
          <w:highlight w:val="none"/>
          <w:lang w:eastAsia="zh-CN"/>
        </w:rPr>
        <w:t>优化批文到期前申报衔接安排，将知名成熟发行人在前次公司债券批文到期前3个月可向本所申报新一期公司债券调整为批文到期前6个月。</w:t>
      </w:r>
      <w:r>
        <w:rPr>
          <w:rFonts w:hint="eastAsia" w:ascii="黑体" w:hAnsi="黑体" w:eastAsia="黑体" w:cs="黑体"/>
          <w:b w:val="0"/>
          <w:bCs w:val="0"/>
          <w:sz w:val="32"/>
          <w:szCs w:val="32"/>
          <w:highlight w:val="none"/>
          <w:lang w:eastAsia="zh-CN"/>
        </w:rPr>
        <w:t>五是</w:t>
      </w:r>
      <w:r>
        <w:rPr>
          <w:rFonts w:hint="eastAsia" w:ascii="仿宋" w:hAnsi="仿宋" w:eastAsia="仿宋" w:cs="仿宋"/>
          <w:b w:val="0"/>
          <w:bCs w:val="0"/>
          <w:sz w:val="32"/>
          <w:szCs w:val="32"/>
          <w:highlight w:val="none"/>
          <w:lang w:eastAsia="zh-CN"/>
        </w:rPr>
        <w:t>明确知名成熟发行人不再适用优化审核安排的情形，</w:t>
      </w:r>
      <w:r>
        <w:rPr>
          <w:rFonts w:hint="eastAsia" w:ascii="仿宋" w:hAnsi="仿宋" w:eastAsia="仿宋" w:cs="仿宋"/>
          <w:sz w:val="32"/>
          <w:szCs w:val="32"/>
          <w:highlight w:val="none"/>
        </w:rPr>
        <w:t>将“出现其他重大不利变化”</w:t>
      </w:r>
      <w:r>
        <w:rPr>
          <w:rFonts w:hint="eastAsia" w:ascii="仿宋" w:hAnsi="仿宋" w:eastAsia="仿宋" w:cs="仿宋"/>
          <w:sz w:val="32"/>
          <w:szCs w:val="32"/>
          <w:highlight w:val="none"/>
          <w:lang w:eastAsia="zh-CN"/>
        </w:rPr>
        <w:t>进一步细化</w:t>
      </w:r>
      <w:r>
        <w:rPr>
          <w:rFonts w:hint="eastAsia" w:ascii="仿宋" w:hAnsi="仿宋" w:eastAsia="仿宋" w:cs="仿宋"/>
          <w:sz w:val="32"/>
          <w:szCs w:val="32"/>
          <w:highlight w:val="none"/>
        </w:rPr>
        <w:t>为财务指标出现重大不利变化、融资过度且出现债务集中兑付压力等情形。</w:t>
      </w:r>
    </w:p>
    <w:p>
      <w:pPr>
        <w:spacing w:line="560" w:lineRule="exact"/>
        <w:ind w:firstLine="640" w:firstLineChars="200"/>
        <w:rPr>
          <w:rFonts w:hint="eastAsia" w:ascii="Times New Roman" w:hAnsi="Times New Roman" w:eastAsia="楷体_GB2312" w:cs="Times New Roman"/>
          <w:b w:val="0"/>
          <w:bCs w:val="0"/>
          <w:sz w:val="32"/>
          <w:szCs w:val="32"/>
          <w:highlight w:val="none"/>
          <w:lang w:eastAsia="zh-CN"/>
        </w:rPr>
      </w:pPr>
      <w:r>
        <w:rPr>
          <w:rFonts w:ascii="Times New Roman" w:hAnsi="Times New Roman" w:eastAsia="楷体_GB2312" w:cs="Times New Roman"/>
          <w:b w:val="0"/>
          <w:bCs w:val="0"/>
          <w:sz w:val="32"/>
          <w:szCs w:val="32"/>
          <w:highlight w:val="none"/>
        </w:rPr>
        <w:t>（</w:t>
      </w:r>
      <w:r>
        <w:rPr>
          <w:rFonts w:hint="eastAsia" w:ascii="Times New Roman" w:hAnsi="Times New Roman" w:eastAsia="楷体_GB2312" w:cs="Times New Roman"/>
          <w:b w:val="0"/>
          <w:bCs w:val="0"/>
          <w:sz w:val="32"/>
          <w:szCs w:val="32"/>
          <w:highlight w:val="none"/>
          <w:lang w:eastAsia="zh-CN"/>
        </w:rPr>
        <w:t>三</w:t>
      </w:r>
      <w:r>
        <w:rPr>
          <w:rFonts w:ascii="Times New Roman" w:hAnsi="Times New Roman" w:eastAsia="楷体_GB2312" w:cs="Times New Roman"/>
          <w:b w:val="0"/>
          <w:bCs w:val="0"/>
          <w:sz w:val="32"/>
          <w:szCs w:val="32"/>
          <w:highlight w:val="none"/>
        </w:rPr>
        <w:t>）</w:t>
      </w:r>
      <w:r>
        <w:rPr>
          <w:rFonts w:hint="eastAsia" w:ascii="Times New Roman" w:hAnsi="Times New Roman" w:eastAsia="楷体_GB2312" w:cs="Times New Roman"/>
          <w:b w:val="0"/>
          <w:bCs w:val="0"/>
          <w:sz w:val="32"/>
          <w:szCs w:val="32"/>
          <w:highlight w:val="none"/>
          <w:lang w:eastAsia="zh-CN"/>
        </w:rPr>
        <w:t>其他修订内容</w:t>
      </w:r>
    </w:p>
    <w:p>
      <w:pPr>
        <w:spacing w:line="560" w:lineRule="exact"/>
        <w:ind w:firstLine="640" w:firstLineChars="200"/>
        <w:rPr>
          <w:rFonts w:hint="eastAsia" w:ascii="仿宋" w:hAnsi="仿宋" w:eastAsia="仿宋" w:cs="仿宋"/>
          <w:sz w:val="32"/>
          <w:szCs w:val="32"/>
          <w:highlight w:val="none"/>
        </w:rPr>
      </w:pPr>
      <w:r>
        <w:rPr>
          <w:rFonts w:hint="eastAsia" w:ascii="黑体" w:hAnsi="黑体" w:eastAsia="黑体" w:cs="黑体"/>
          <w:b w:val="0"/>
          <w:bCs w:val="0"/>
          <w:sz w:val="32"/>
          <w:szCs w:val="32"/>
          <w:highlight w:val="none"/>
          <w:lang w:eastAsia="zh-CN"/>
        </w:rPr>
        <w:t>一是</w:t>
      </w:r>
      <w:r>
        <w:rPr>
          <w:rFonts w:hint="eastAsia" w:ascii="仿宋" w:hAnsi="仿宋" w:eastAsia="仿宋" w:cs="仿宋"/>
          <w:sz w:val="32"/>
          <w:szCs w:val="32"/>
          <w:highlight w:val="none"/>
          <w:lang w:eastAsia="zh-CN"/>
        </w:rPr>
        <w:t>删除针对知名成熟发行人</w:t>
      </w:r>
      <w:r>
        <w:rPr>
          <w:rFonts w:hint="eastAsia" w:ascii="仿宋" w:hAnsi="仿宋" w:eastAsia="仿宋" w:cs="仿宋"/>
          <w:strike w:val="0"/>
          <w:dstrike w:val="0"/>
          <w:kern w:val="2"/>
          <w:sz w:val="32"/>
          <w:szCs w:val="32"/>
          <w:highlight w:val="none"/>
          <w:shd w:val="clear" w:color="auto" w:fill="auto"/>
          <w:lang w:eastAsia="zh-CN"/>
        </w:rPr>
        <w:t>申请非公开发行公司债券可以在发行前同时向本所提交挂牌条件确认申请文件和发行文件</w:t>
      </w:r>
      <w:r>
        <w:rPr>
          <w:rFonts w:hint="eastAsia" w:ascii="仿宋" w:hAnsi="仿宋" w:eastAsia="仿宋" w:cs="仿宋"/>
          <w:sz w:val="32"/>
          <w:szCs w:val="32"/>
          <w:highlight w:val="none"/>
          <w:lang w:eastAsia="zh-CN"/>
        </w:rPr>
        <w:t>的相关安排。</w:t>
      </w:r>
      <w:r>
        <w:rPr>
          <w:rFonts w:hint="eastAsia" w:ascii="黑体" w:hAnsi="黑体" w:eastAsia="黑体" w:cs="黑体"/>
          <w:b w:val="0"/>
          <w:bCs w:val="0"/>
          <w:sz w:val="32"/>
          <w:szCs w:val="32"/>
          <w:highlight w:val="none"/>
          <w:lang w:eastAsia="zh-CN"/>
        </w:rPr>
        <w:t>二是</w:t>
      </w:r>
      <w:r>
        <w:rPr>
          <w:rFonts w:hint="eastAsia" w:ascii="仿宋" w:hAnsi="仿宋" w:eastAsia="仿宋" w:cs="仿宋"/>
          <w:b w:val="0"/>
          <w:bCs w:val="0"/>
          <w:sz w:val="32"/>
          <w:szCs w:val="32"/>
          <w:highlight w:val="none"/>
          <w:lang w:eastAsia="zh-CN"/>
        </w:rPr>
        <w:t>删除针对具有一定市场认可度、财务状况健康、盈利能力良好或者符合国家政策导向，但尚未达到优化审核条件的发行人的优化安排</w:t>
      </w:r>
      <w:r>
        <w:rPr>
          <w:rFonts w:hint="eastAsia" w:ascii="仿宋" w:hAnsi="仿宋" w:eastAsia="仿宋" w:cs="仿宋"/>
          <w:sz w:val="32"/>
          <w:szCs w:val="32"/>
          <w:highlight w:val="none"/>
          <w:lang w:eastAsia="zh-CN"/>
        </w:rPr>
        <w:t>。</w:t>
      </w:r>
      <w:r>
        <w:rPr>
          <w:rFonts w:hint="eastAsia" w:ascii="黑体" w:hAnsi="黑体" w:eastAsia="黑体" w:cs="黑体"/>
          <w:b w:val="0"/>
          <w:bCs w:val="0"/>
          <w:sz w:val="32"/>
          <w:szCs w:val="32"/>
          <w:highlight w:val="none"/>
          <w:lang w:eastAsia="zh-CN"/>
        </w:rPr>
        <w:t>三是</w:t>
      </w:r>
      <w:r>
        <w:rPr>
          <w:rFonts w:hint="eastAsia" w:ascii="仿宋" w:hAnsi="仿宋" w:eastAsia="仿宋" w:cs="仿宋"/>
          <w:sz w:val="32"/>
          <w:szCs w:val="32"/>
          <w:highlight w:val="none"/>
          <w:lang w:eastAsia="zh-CN"/>
        </w:rPr>
        <w:t>新增优化审核安排申请文件的参考格式附件，明确发行人申请优化审核安排需说明基本情况、主要财务数据及财务指标、主营业务构成、重点关注问题以及优化审核认定指标符合情况等。</w:t>
      </w:r>
      <w:bookmarkEnd w:id="1"/>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eastAsia="宋体"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jc w:val="cente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5"/>
      <w:rPr>
        <w:rFonts w:eastAsia="宋体"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F1FD9"/>
    <w:rsid w:val="00152219"/>
    <w:rsid w:val="00A44A2B"/>
    <w:rsid w:val="034F527C"/>
    <w:rsid w:val="08FC37A8"/>
    <w:rsid w:val="09706DFD"/>
    <w:rsid w:val="0A3B3BD5"/>
    <w:rsid w:val="0A9B76A8"/>
    <w:rsid w:val="0D8A7B44"/>
    <w:rsid w:val="0F177390"/>
    <w:rsid w:val="10895E16"/>
    <w:rsid w:val="10A854E3"/>
    <w:rsid w:val="11FC0B14"/>
    <w:rsid w:val="14072DAB"/>
    <w:rsid w:val="17647580"/>
    <w:rsid w:val="1A0D7A42"/>
    <w:rsid w:val="1B980DB4"/>
    <w:rsid w:val="1B9A6D54"/>
    <w:rsid w:val="1BF52034"/>
    <w:rsid w:val="1FED3B8E"/>
    <w:rsid w:val="201054AB"/>
    <w:rsid w:val="215F1FD9"/>
    <w:rsid w:val="25B8639A"/>
    <w:rsid w:val="2676612A"/>
    <w:rsid w:val="294B761C"/>
    <w:rsid w:val="2B590E2A"/>
    <w:rsid w:val="2CA56D70"/>
    <w:rsid w:val="2CE9668B"/>
    <w:rsid w:val="2D591981"/>
    <w:rsid w:val="2EEA199F"/>
    <w:rsid w:val="31C1167A"/>
    <w:rsid w:val="328F43F5"/>
    <w:rsid w:val="3444054E"/>
    <w:rsid w:val="34785925"/>
    <w:rsid w:val="35527407"/>
    <w:rsid w:val="35C07A3B"/>
    <w:rsid w:val="36A84DB7"/>
    <w:rsid w:val="39C456E4"/>
    <w:rsid w:val="3A1A3526"/>
    <w:rsid w:val="3B0D6F9E"/>
    <w:rsid w:val="3E7F2643"/>
    <w:rsid w:val="3E924036"/>
    <w:rsid w:val="3FA27361"/>
    <w:rsid w:val="42443F6F"/>
    <w:rsid w:val="42D77239"/>
    <w:rsid w:val="43854607"/>
    <w:rsid w:val="44053A72"/>
    <w:rsid w:val="44647CC4"/>
    <w:rsid w:val="44B225F2"/>
    <w:rsid w:val="45796508"/>
    <w:rsid w:val="458F06AB"/>
    <w:rsid w:val="4B9D5F01"/>
    <w:rsid w:val="4C5D021B"/>
    <w:rsid w:val="4C5D54D6"/>
    <w:rsid w:val="4C679D8A"/>
    <w:rsid w:val="4EA0220D"/>
    <w:rsid w:val="4F6F25D5"/>
    <w:rsid w:val="4FDF301F"/>
    <w:rsid w:val="51CC2CB4"/>
    <w:rsid w:val="52263E21"/>
    <w:rsid w:val="525817CA"/>
    <w:rsid w:val="53C93484"/>
    <w:rsid w:val="546A778A"/>
    <w:rsid w:val="56AA16C3"/>
    <w:rsid w:val="57BB0987"/>
    <w:rsid w:val="57EBF091"/>
    <w:rsid w:val="59B3479F"/>
    <w:rsid w:val="5A9263A6"/>
    <w:rsid w:val="5C0762BD"/>
    <w:rsid w:val="5E104D74"/>
    <w:rsid w:val="5F566DB8"/>
    <w:rsid w:val="63193767"/>
    <w:rsid w:val="636522D0"/>
    <w:rsid w:val="63CF2051"/>
    <w:rsid w:val="64D8391C"/>
    <w:rsid w:val="663527BF"/>
    <w:rsid w:val="66C971A9"/>
    <w:rsid w:val="66FC19AC"/>
    <w:rsid w:val="68773BBF"/>
    <w:rsid w:val="691B020C"/>
    <w:rsid w:val="6A3762AD"/>
    <w:rsid w:val="6D6C0ADD"/>
    <w:rsid w:val="70564C8A"/>
    <w:rsid w:val="74DB6C3A"/>
    <w:rsid w:val="763306FC"/>
    <w:rsid w:val="7641171E"/>
    <w:rsid w:val="77EF6A0E"/>
    <w:rsid w:val="780954C8"/>
    <w:rsid w:val="780E7D27"/>
    <w:rsid w:val="79A25A9A"/>
    <w:rsid w:val="7AFD5155"/>
    <w:rsid w:val="7B6D2836"/>
    <w:rsid w:val="7BBD38D0"/>
    <w:rsid w:val="7C615416"/>
    <w:rsid w:val="7E4A1852"/>
    <w:rsid w:val="ED1FE8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eastAsia="宋体"/>
      <w:sz w:val="21"/>
      <w:szCs w:val="20"/>
    </w:rPr>
  </w:style>
  <w:style w:type="paragraph" w:styleId="3">
    <w:name w:val="annotation text"/>
    <w:basedOn w:val="1"/>
    <w:unhideWhenUsed/>
    <w:qFormat/>
    <w:uiPriority w:val="0"/>
    <w:pPr>
      <w:jc w:val="left"/>
    </w:pPr>
  </w:style>
  <w:style w:type="paragraph" w:styleId="4">
    <w:name w:val="Body Text"/>
    <w:basedOn w:val="1"/>
    <w:next w:val="1"/>
    <w:qFormat/>
    <w:uiPriority w:val="0"/>
    <w:rPr>
      <w:rFonts w:ascii="宋体" w:hAnsi="宋体" w:eastAsia="仿宋"/>
      <w:sz w:val="32"/>
      <w:szCs w:val="24"/>
      <w:lang w:eastAsia="en-US"/>
    </w:rPr>
  </w:style>
  <w:style w:type="paragraph" w:styleId="5">
    <w:name w:val="footer"/>
    <w:unhideWhenUsed/>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xhma@szse/C:\opt\htbrowser\C:\Users\10042\Desktop\&#27169;&#26495;\&#25972;&#29702;&#27169;&#26495;\&#27169;&#26495;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模板1.wpt</Template>
  <Pages>3</Pages>
  <Words>0</Words>
  <Characters>0</Characters>
  <Lines>0</Lines>
  <Paragraphs>0</Paragraphs>
  <TotalTime>1</TotalTime>
  <ScaleCrop>false</ScaleCrop>
  <LinksUpToDate>false</LinksUpToDate>
  <CharactersWithSpaces>0</CharactersWithSpaces>
  <Application>WPS Office_11.8.2.12356_F1E327BC-269C-435d-A152-05C5408002CA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2023-02-15T23:10:00Z</dcterms:created>
  <dc:creator>李琳</dc:creator>
  <cp:lastModifiedBy>xhma</cp:lastModifiedBy>
  <dcterms:modified xsi:type="dcterms:W3CDTF">2026-09-04T13:43:15Z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2052-11.8.2.12356</vt:lpwstr>
  </property>
  <property fmtid="{D5CDD505-2E9C-101B-9397-08002B2CF9AE}" pid="3" name="ICV">
    <vt:lpwstr>5183796B892440168E6B2F01AED6F5C0</vt:lpwstr>
  </property>
</Properties>
</file>