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outlineLvl w:val="9"/>
        <w:rPr>
          <w:rFonts w:hint="eastAsia" w:ascii="黑体" w:hAnsi="黑体" w:eastAsia="黑体"/>
          <w:bCs/>
          <w:kern w:val="0"/>
          <w:lang w:val="en-US" w:eastAsia="zh-CN"/>
        </w:rPr>
      </w:pPr>
      <w:bookmarkStart w:id="1" w:name="_GoBack"/>
      <w:bookmarkEnd w:id="1"/>
      <w:r>
        <w:rPr>
          <w:rFonts w:hint="eastAsia" w:ascii="黑体" w:hAnsi="黑体" w:eastAsia="黑体"/>
          <w:bCs/>
          <w:kern w:val="0"/>
        </w:rPr>
        <w:t>附件</w:t>
      </w:r>
      <w:r>
        <w:rPr>
          <w:rFonts w:hint="eastAsia" w:ascii="黑体" w:hAnsi="黑体" w:eastAsia="黑体"/>
          <w:bCs/>
          <w:kern w:val="0"/>
          <w:lang w:val="en-US" w:eastAsia="zh-CN"/>
        </w:rPr>
        <w:t>1</w:t>
      </w:r>
    </w:p>
    <w:p>
      <w:pPr>
        <w:spacing w:line="600" w:lineRule="exact"/>
        <w:jc w:val="left"/>
        <w:rPr>
          <w:bCs/>
          <w:szCs w:val="32"/>
        </w:rPr>
      </w:pPr>
    </w:p>
    <w:p>
      <w:pPr>
        <w:spacing w:line="560" w:lineRule="exact"/>
        <w:jc w:val="center"/>
        <w:outlineLvl w:val="9"/>
        <w:rPr>
          <w:rFonts w:ascii="方正小标宋简体" w:eastAsia="方正小标宋简体"/>
          <w:bCs/>
          <w:kern w:val="0"/>
          <w:sz w:val="44"/>
          <w:szCs w:val="40"/>
        </w:rPr>
      </w:pPr>
      <w:r>
        <w:rPr>
          <w:rFonts w:hint="eastAsia" w:ascii="方正小标宋简体" w:eastAsia="方正小标宋简体"/>
          <w:bCs/>
          <w:kern w:val="0"/>
          <w:sz w:val="44"/>
          <w:szCs w:val="40"/>
        </w:rPr>
        <w:t>深圳证券交易所公司债券发行上市审核业务</w:t>
      </w:r>
    </w:p>
    <w:p>
      <w:pPr>
        <w:spacing w:line="560" w:lineRule="exact"/>
        <w:jc w:val="center"/>
        <w:outlineLvl w:val="9"/>
        <w:rPr>
          <w:rFonts w:ascii="方正小标宋简体" w:eastAsia="方正小标宋简体"/>
          <w:bCs/>
          <w:kern w:val="0"/>
          <w:sz w:val="44"/>
          <w:szCs w:val="40"/>
        </w:rPr>
      </w:pPr>
      <w:r>
        <w:rPr>
          <w:rFonts w:hint="eastAsia" w:ascii="方正小标宋简体" w:eastAsia="方正小标宋简体"/>
          <w:bCs/>
          <w:kern w:val="0"/>
          <w:sz w:val="44"/>
          <w:szCs w:val="40"/>
        </w:rPr>
        <w:t>指引第3号——优化审核安排</w:t>
      </w:r>
    </w:p>
    <w:p>
      <w:pPr>
        <w:spacing w:line="560" w:lineRule="exact"/>
        <w:jc w:val="center"/>
        <w:outlineLvl w:val="9"/>
        <w:rPr>
          <w:rFonts w:ascii="方正小标宋简体" w:eastAsia="方正小标宋简体"/>
          <w:bCs/>
          <w:kern w:val="0"/>
          <w:sz w:val="44"/>
          <w:szCs w:val="40"/>
        </w:rPr>
      </w:pPr>
      <w:r>
        <w:rPr>
          <w:rFonts w:hint="eastAsia" w:ascii="方正小标宋简体" w:eastAsia="方正小标宋简体"/>
          <w:bCs/>
          <w:kern w:val="0"/>
          <w:sz w:val="44"/>
          <w:szCs w:val="40"/>
        </w:rPr>
        <w:t>（202</w:t>
      </w:r>
      <w:r>
        <w:rPr>
          <w:rFonts w:hint="eastAsia" w:ascii="方正小标宋简体" w:eastAsia="方正小标宋简体"/>
          <w:bCs/>
          <w:kern w:val="0"/>
          <w:sz w:val="44"/>
          <w:szCs w:val="40"/>
          <w:lang w:val="en-US" w:eastAsia="zh-CN"/>
        </w:rPr>
        <w:t>6</w:t>
      </w:r>
      <w:r>
        <w:rPr>
          <w:rFonts w:hint="eastAsia" w:ascii="方正小标宋简体" w:eastAsia="方正小标宋简体"/>
          <w:bCs/>
          <w:kern w:val="0"/>
          <w:sz w:val="44"/>
          <w:szCs w:val="40"/>
        </w:rPr>
        <w:t>年修订）</w:t>
      </w:r>
    </w:p>
    <w:p>
      <w:pPr>
        <w:spacing w:line="560" w:lineRule="exact"/>
        <w:jc w:val="center"/>
        <w:outlineLvl w:val="9"/>
        <w:rPr>
          <w:rFonts w:ascii="方正小标宋简体" w:eastAsia="方正小标宋简体"/>
          <w:bCs/>
          <w:kern w:val="0"/>
          <w:sz w:val="44"/>
          <w:szCs w:val="40"/>
        </w:rPr>
      </w:pPr>
    </w:p>
    <w:p>
      <w:pPr>
        <w:jc w:val="center"/>
        <w:outlineLvl w:val="0"/>
        <w:rPr>
          <w:rFonts w:eastAsia="黑体"/>
          <w:bCs/>
          <w:kern w:val="0"/>
          <w:szCs w:val="32"/>
        </w:rPr>
      </w:pPr>
      <w:r>
        <w:rPr>
          <w:rFonts w:hint="eastAsia" w:eastAsia="黑体"/>
          <w:bCs/>
          <w:kern w:val="0"/>
          <w:szCs w:val="32"/>
        </w:rPr>
        <w:t>第一章</w:t>
      </w:r>
      <w:r>
        <w:rPr>
          <w:rFonts w:eastAsia="黑体"/>
          <w:bCs/>
          <w:kern w:val="0"/>
          <w:szCs w:val="32"/>
        </w:rPr>
        <w:t xml:space="preserve"> </w:t>
      </w:r>
      <w:r>
        <w:rPr>
          <w:rFonts w:hint="eastAsia" w:eastAsia="黑体"/>
          <w:bCs/>
          <w:kern w:val="0"/>
          <w:szCs w:val="32"/>
        </w:rPr>
        <w:t>总则</w:t>
      </w:r>
    </w:p>
    <w:p>
      <w:pPr>
        <w:spacing w:line="560" w:lineRule="exact"/>
        <w:ind w:firstLine="642" w:firstLineChars="200"/>
        <w:rPr>
          <w:szCs w:val="32"/>
        </w:rPr>
      </w:pPr>
      <w:r>
        <w:rPr>
          <w:rFonts w:hint="eastAsia"/>
          <w:b/>
          <w:szCs w:val="32"/>
        </w:rPr>
        <w:t>第一条</w:t>
      </w:r>
      <w:r>
        <w:rPr>
          <w:szCs w:val="32"/>
        </w:rPr>
        <w:t xml:space="preserve"> </w:t>
      </w:r>
      <w:r>
        <w:rPr>
          <w:rFonts w:hint="eastAsia"/>
          <w:szCs w:val="32"/>
        </w:rPr>
        <w:t>为了完善公司债券（含企业债券）分类审核机制，提高公司债券融资效率，根据《深圳证券交易所公司债券发行上市审核规则》《深圳证券交易所非公开发行公司债券挂牌规则》</w:t>
      </w:r>
      <w:r>
        <w:rPr>
          <w:rFonts w:hint="eastAsia" w:ascii="仿宋" w:hAnsi="仿宋"/>
          <w:szCs w:val="32"/>
        </w:rPr>
        <w:t>等规定</w:t>
      </w:r>
      <w:r>
        <w:rPr>
          <w:rFonts w:hint="eastAsia"/>
          <w:szCs w:val="32"/>
        </w:rPr>
        <w:t>，制定本指引。</w:t>
      </w:r>
    </w:p>
    <w:p>
      <w:pPr>
        <w:spacing w:line="560" w:lineRule="exact"/>
        <w:ind w:firstLine="642" w:firstLineChars="200"/>
        <w:rPr>
          <w:szCs w:val="32"/>
        </w:rPr>
      </w:pPr>
      <w:r>
        <w:rPr>
          <w:rFonts w:hint="eastAsia"/>
          <w:b/>
          <w:szCs w:val="32"/>
        </w:rPr>
        <w:t>第二条</w:t>
      </w:r>
      <w:r>
        <w:rPr>
          <w:szCs w:val="32"/>
        </w:rPr>
        <w:t xml:space="preserve"> </w:t>
      </w:r>
      <w:r>
        <w:rPr>
          <w:rFonts w:hint="eastAsia"/>
          <w:szCs w:val="32"/>
        </w:rPr>
        <w:t>本指引适用于知名成熟发行人申请发行公司债券并在深圳证券交易所（以下简称本所）上市</w:t>
      </w:r>
      <w:r>
        <w:rPr>
          <w:rFonts w:hint="eastAsia"/>
          <w:lang w:eastAsia="zh-CN"/>
        </w:rPr>
        <w:t>或者</w:t>
      </w:r>
      <w:r>
        <w:rPr>
          <w:rFonts w:hint="eastAsia"/>
          <w:szCs w:val="32"/>
          <w:lang w:eastAsia="zh-CN"/>
        </w:rPr>
        <w:t>挂牌</w:t>
      </w:r>
      <w:r>
        <w:rPr>
          <w:rFonts w:hint="eastAsia"/>
          <w:szCs w:val="32"/>
        </w:rPr>
        <w:t>的优化审核安排。</w:t>
      </w:r>
    </w:p>
    <w:p>
      <w:pPr>
        <w:spacing w:line="560" w:lineRule="exact"/>
        <w:ind w:firstLine="642" w:firstLineChars="200"/>
        <w:rPr>
          <w:szCs w:val="32"/>
        </w:rPr>
      </w:pPr>
      <w:r>
        <w:rPr>
          <w:rFonts w:hint="eastAsia"/>
          <w:b/>
          <w:bCs/>
          <w:szCs w:val="32"/>
        </w:rPr>
        <w:t>第三条</w:t>
      </w:r>
      <w:r>
        <w:rPr>
          <w:rFonts w:hint="eastAsia"/>
          <w:szCs w:val="32"/>
        </w:rPr>
        <w:t xml:space="preserve"> 本指引所称知名成熟发行人，是指市场认可度高、行业地位显著、公司治理完善、经营财务状况稳健、信息披露成熟的发行人。</w:t>
      </w:r>
    </w:p>
    <w:p>
      <w:pPr>
        <w:spacing w:line="560" w:lineRule="exact"/>
        <w:ind w:firstLine="642" w:firstLineChars="200"/>
        <w:rPr>
          <w:bCs/>
          <w:szCs w:val="32"/>
        </w:rPr>
      </w:pPr>
      <w:r>
        <w:rPr>
          <w:rFonts w:hint="eastAsia"/>
          <w:b/>
          <w:szCs w:val="32"/>
        </w:rPr>
        <w:t>第四条</w:t>
      </w:r>
      <w:r>
        <w:rPr>
          <w:szCs w:val="32"/>
        </w:rPr>
        <w:t xml:space="preserve"> </w:t>
      </w:r>
      <w:r>
        <w:rPr>
          <w:rFonts w:hint="eastAsia"/>
          <w:bCs/>
          <w:szCs w:val="32"/>
        </w:rPr>
        <w:t>主承销商、证券服务机构应当积极协助发行人评估并申请适用本指引优化审核安排。</w:t>
      </w:r>
    </w:p>
    <w:p>
      <w:pPr>
        <w:spacing w:line="560" w:lineRule="exact"/>
        <w:ind w:firstLine="642" w:firstLineChars="200"/>
        <w:rPr>
          <w:szCs w:val="32"/>
        </w:rPr>
      </w:pPr>
      <w:r>
        <w:rPr>
          <w:rFonts w:hint="eastAsia"/>
          <w:b/>
          <w:szCs w:val="32"/>
        </w:rPr>
        <w:t>第五条</w:t>
      </w:r>
      <w:r>
        <w:rPr>
          <w:bCs/>
          <w:szCs w:val="32"/>
        </w:rPr>
        <w:t xml:space="preserve"> </w:t>
      </w:r>
      <w:r>
        <w:rPr>
          <w:rFonts w:hint="eastAsia"/>
          <w:bCs/>
          <w:szCs w:val="32"/>
        </w:rPr>
        <w:t>本所对</w:t>
      </w:r>
      <w:r>
        <w:rPr>
          <w:rFonts w:hint="eastAsia"/>
          <w:szCs w:val="32"/>
        </w:rPr>
        <w:t>知名成熟发行人申请发行公司债券并</w:t>
      </w:r>
      <w:r>
        <w:rPr>
          <w:rFonts w:hint="eastAsia"/>
          <w:szCs w:val="32"/>
          <w:lang w:eastAsia="zh-CN"/>
        </w:rPr>
        <w:t>在本所</w:t>
      </w:r>
      <w:r>
        <w:rPr>
          <w:rFonts w:hint="eastAsia"/>
          <w:szCs w:val="32"/>
        </w:rPr>
        <w:t>上市</w:t>
      </w:r>
      <w:r>
        <w:rPr>
          <w:rFonts w:hint="eastAsia"/>
          <w:szCs w:val="32"/>
          <w:lang w:eastAsia="zh-CN"/>
        </w:rPr>
        <w:t>或者挂牌</w:t>
      </w:r>
      <w:r>
        <w:rPr>
          <w:rFonts w:hint="eastAsia"/>
          <w:szCs w:val="32"/>
        </w:rPr>
        <w:t>的优化审核安排不代表本所对债券的投资价值作出判断或</w:t>
      </w:r>
      <w:r>
        <w:rPr>
          <w:rFonts w:hint="eastAsia"/>
          <w:szCs w:val="32"/>
          <w:lang w:eastAsia="zh-CN"/>
        </w:rPr>
        <w:t>者</w:t>
      </w:r>
      <w:r>
        <w:rPr>
          <w:rFonts w:hint="eastAsia"/>
          <w:szCs w:val="32"/>
        </w:rPr>
        <w:t>保证，债券的投资风险由投资者自行承担。</w:t>
      </w:r>
    </w:p>
    <w:p>
      <w:pPr>
        <w:ind w:firstLine="640"/>
        <w:rPr>
          <w:bCs/>
          <w:szCs w:val="32"/>
        </w:rPr>
      </w:pPr>
    </w:p>
    <w:p>
      <w:pPr>
        <w:ind w:firstLine="640"/>
        <w:rPr>
          <w:szCs w:val="32"/>
        </w:rPr>
      </w:pPr>
    </w:p>
    <w:p>
      <w:pPr>
        <w:jc w:val="center"/>
        <w:outlineLvl w:val="0"/>
        <w:rPr>
          <w:rFonts w:eastAsia="黑体"/>
          <w:bCs/>
          <w:kern w:val="0"/>
          <w:szCs w:val="32"/>
        </w:rPr>
      </w:pPr>
      <w:r>
        <w:rPr>
          <w:rFonts w:hint="eastAsia" w:eastAsia="黑体"/>
          <w:bCs/>
          <w:kern w:val="0"/>
          <w:szCs w:val="32"/>
        </w:rPr>
        <w:t>第二章</w:t>
      </w:r>
      <w:r>
        <w:rPr>
          <w:rFonts w:eastAsia="黑体"/>
          <w:bCs/>
          <w:kern w:val="0"/>
          <w:szCs w:val="32"/>
        </w:rPr>
        <w:t xml:space="preserve"> </w:t>
      </w:r>
      <w:r>
        <w:rPr>
          <w:rFonts w:hint="eastAsia" w:eastAsia="黑体"/>
          <w:bCs/>
          <w:kern w:val="0"/>
          <w:szCs w:val="32"/>
        </w:rPr>
        <w:t>优化审核条件</w:t>
      </w:r>
    </w:p>
    <w:p>
      <w:pPr>
        <w:spacing w:line="560" w:lineRule="exact"/>
        <w:ind w:firstLine="643"/>
        <w:rPr>
          <w:szCs w:val="32"/>
        </w:rPr>
      </w:pPr>
      <w:r>
        <w:rPr>
          <w:rFonts w:hint="eastAsia"/>
          <w:b/>
          <w:szCs w:val="32"/>
        </w:rPr>
        <w:t>第六条</w:t>
      </w:r>
      <w:r>
        <w:rPr>
          <w:szCs w:val="32"/>
        </w:rPr>
        <w:t xml:space="preserve"> </w:t>
      </w:r>
      <w:r>
        <w:rPr>
          <w:rFonts w:hint="eastAsia"/>
          <w:szCs w:val="32"/>
        </w:rPr>
        <w:t>同时符合下列情形的发行人，本所可以对其公司债券申请项目适用优化审核安排：</w:t>
      </w:r>
    </w:p>
    <w:p>
      <w:pPr>
        <w:spacing w:line="560" w:lineRule="exact"/>
        <w:ind w:firstLine="640"/>
        <w:rPr>
          <w:szCs w:val="32"/>
        </w:rPr>
      </w:pPr>
      <w:r>
        <w:rPr>
          <w:rFonts w:hint="eastAsia"/>
          <w:szCs w:val="32"/>
        </w:rPr>
        <w:t>（一）生产经营符合国家宏观调控政策和产业政策，市场认可度高，行业地位显著，公司治理完善，信息披露规范；</w:t>
      </w:r>
    </w:p>
    <w:p>
      <w:pPr>
        <w:spacing w:line="560" w:lineRule="exact"/>
        <w:ind w:firstLine="640"/>
        <w:rPr>
          <w:szCs w:val="32"/>
        </w:rPr>
      </w:pPr>
      <w:r>
        <w:rPr>
          <w:rFonts w:hint="eastAsia"/>
          <w:szCs w:val="32"/>
        </w:rPr>
        <w:t>（二）经营财务状况稳健且相关财务指标符合附</w:t>
      </w:r>
      <w:r>
        <w:rPr>
          <w:rFonts w:hint="eastAsia"/>
          <w:szCs w:val="32"/>
          <w:lang w:eastAsia="zh-CN"/>
        </w:rPr>
        <w:t>件</w:t>
      </w:r>
      <w:r>
        <w:rPr>
          <w:rFonts w:hint="eastAsia"/>
          <w:szCs w:val="32"/>
          <w:lang w:val="en-US" w:eastAsia="zh-CN"/>
        </w:rPr>
        <w:t>一</w:t>
      </w:r>
      <w:r>
        <w:rPr>
          <w:rFonts w:hint="eastAsia"/>
          <w:szCs w:val="32"/>
        </w:rPr>
        <w:t>所列要求；</w:t>
      </w:r>
    </w:p>
    <w:p>
      <w:pPr>
        <w:spacing w:line="560" w:lineRule="exact"/>
        <w:ind w:firstLine="640"/>
        <w:rPr>
          <w:szCs w:val="32"/>
        </w:rPr>
      </w:pPr>
      <w:r>
        <w:rPr>
          <w:rFonts w:hint="eastAsia"/>
          <w:szCs w:val="32"/>
        </w:rPr>
        <w:t>（三）最近三年财务报告未被注册会计师出具否定意见或者无法表示意见，或者最近三年财务报告曾被注册会计师出具保留意见但保留意见所涉及事项的重大影响已经消除；</w:t>
      </w:r>
    </w:p>
    <w:p>
      <w:pPr>
        <w:spacing w:line="560" w:lineRule="exact"/>
        <w:ind w:firstLine="640"/>
        <w:rPr>
          <w:szCs w:val="32"/>
        </w:rPr>
      </w:pPr>
      <w:r>
        <w:rPr>
          <w:rFonts w:hint="eastAsia"/>
          <w:szCs w:val="32"/>
        </w:rPr>
        <w:t>（四）最近三十六个月内公司及其所属企业集团、实际控制人不存在债券或者其他债务违约或者延迟支付本息的事实；</w:t>
      </w:r>
    </w:p>
    <w:p>
      <w:pPr>
        <w:spacing w:line="560" w:lineRule="exact"/>
        <w:ind w:firstLine="640"/>
        <w:rPr>
          <w:szCs w:val="32"/>
        </w:rPr>
      </w:pPr>
      <w:r>
        <w:rPr>
          <w:rFonts w:hint="eastAsia"/>
          <w:szCs w:val="32"/>
        </w:rPr>
        <w:t>（五）未受到债券融资限制，且最近三十六个月内公司未因债券业务违规被实施行政处罚或者纪律处分；</w:t>
      </w:r>
    </w:p>
    <w:p>
      <w:pPr>
        <w:spacing w:line="560" w:lineRule="exact"/>
        <w:ind w:firstLine="640"/>
        <w:rPr>
          <w:szCs w:val="32"/>
        </w:rPr>
      </w:pPr>
      <w:r>
        <w:rPr>
          <w:rFonts w:hint="eastAsia"/>
          <w:szCs w:val="32"/>
        </w:rPr>
        <w:t>（六）本所根据投资者保护需要规定的其他</w:t>
      </w:r>
      <w:r>
        <w:rPr>
          <w:rFonts w:hint="eastAsia"/>
          <w:szCs w:val="32"/>
          <w:lang w:eastAsia="zh-CN"/>
        </w:rPr>
        <w:t>要求</w:t>
      </w:r>
      <w:r>
        <w:rPr>
          <w:rFonts w:hint="eastAsia"/>
          <w:szCs w:val="32"/>
        </w:rPr>
        <w:t>。</w:t>
      </w:r>
    </w:p>
    <w:p>
      <w:pPr>
        <w:spacing w:line="560" w:lineRule="exact"/>
        <w:ind w:firstLine="640"/>
        <w:rPr>
          <w:szCs w:val="32"/>
        </w:rPr>
      </w:pPr>
      <w:r>
        <w:rPr>
          <w:rFonts w:hint="eastAsia"/>
          <w:szCs w:val="32"/>
        </w:rPr>
        <w:t>鼓励符合条件的民营企业向本所</w:t>
      </w:r>
      <w:r>
        <w:rPr>
          <w:rFonts w:hint="eastAsia"/>
          <w:szCs w:val="32"/>
          <w:lang w:eastAsia="zh-CN"/>
        </w:rPr>
        <w:t>申请</w:t>
      </w:r>
      <w:r>
        <w:rPr>
          <w:rFonts w:hint="eastAsia"/>
          <w:szCs w:val="32"/>
        </w:rPr>
        <w:t>适用优化审核安排。</w:t>
      </w:r>
    </w:p>
    <w:p>
      <w:pPr>
        <w:spacing w:line="560" w:lineRule="exact"/>
        <w:ind w:firstLine="643"/>
        <w:rPr>
          <w:rFonts w:hint="eastAsia"/>
          <w:b w:val="0"/>
          <w:bCs/>
          <w:szCs w:val="32"/>
        </w:rPr>
      </w:pPr>
      <w:r>
        <w:rPr>
          <w:rFonts w:hint="eastAsia"/>
          <w:b/>
          <w:szCs w:val="32"/>
        </w:rPr>
        <w:t>第</w:t>
      </w:r>
      <w:r>
        <w:rPr>
          <w:rFonts w:hint="eastAsia"/>
          <w:b/>
          <w:szCs w:val="32"/>
          <w:lang w:eastAsia="zh-CN"/>
        </w:rPr>
        <w:t>七</w:t>
      </w:r>
      <w:r>
        <w:rPr>
          <w:rFonts w:hint="eastAsia"/>
          <w:b/>
          <w:szCs w:val="32"/>
        </w:rPr>
        <w:t xml:space="preserve">条 </w:t>
      </w:r>
      <w:r>
        <w:rPr>
          <w:rFonts w:hint="eastAsia"/>
          <w:b w:val="0"/>
          <w:bCs/>
          <w:szCs w:val="32"/>
        </w:rPr>
        <w:t>不符合</w:t>
      </w:r>
      <w:r>
        <w:rPr>
          <w:rFonts w:hint="eastAsia"/>
          <w:b w:val="0"/>
          <w:bCs/>
          <w:szCs w:val="32"/>
          <w:lang w:eastAsia="zh-CN"/>
        </w:rPr>
        <w:t>本指引</w:t>
      </w:r>
      <w:r>
        <w:rPr>
          <w:rFonts w:hint="eastAsia"/>
          <w:b w:val="0"/>
          <w:bCs/>
          <w:szCs w:val="32"/>
        </w:rPr>
        <w:t>第</w:t>
      </w:r>
      <w:r>
        <w:rPr>
          <w:rFonts w:hint="eastAsia"/>
          <w:b w:val="0"/>
          <w:bCs/>
          <w:szCs w:val="32"/>
          <w:lang w:eastAsia="zh-CN"/>
        </w:rPr>
        <w:t>六</w:t>
      </w:r>
      <w:r>
        <w:rPr>
          <w:rFonts w:hint="eastAsia"/>
          <w:b w:val="0"/>
          <w:bCs/>
          <w:szCs w:val="32"/>
        </w:rPr>
        <w:t>条</w:t>
      </w:r>
      <w:r>
        <w:rPr>
          <w:rFonts w:hint="eastAsia"/>
          <w:b w:val="0"/>
          <w:bCs/>
          <w:szCs w:val="32"/>
          <w:lang w:eastAsia="zh-CN"/>
        </w:rPr>
        <w:t>第一款</w:t>
      </w:r>
      <w:r>
        <w:rPr>
          <w:rFonts w:hint="eastAsia"/>
          <w:b w:val="0"/>
          <w:bCs/>
          <w:szCs w:val="32"/>
        </w:rPr>
        <w:t>第二项规定，但符合</w:t>
      </w:r>
      <w:r>
        <w:rPr>
          <w:rFonts w:hint="eastAsia"/>
          <w:b w:val="0"/>
          <w:bCs/>
          <w:szCs w:val="32"/>
          <w:lang w:eastAsia="zh-CN"/>
        </w:rPr>
        <w:t>下列</w:t>
      </w:r>
      <w:r>
        <w:rPr>
          <w:rFonts w:hint="eastAsia"/>
          <w:b w:val="0"/>
          <w:bCs/>
          <w:szCs w:val="32"/>
        </w:rPr>
        <w:t>情形之一的</w:t>
      </w:r>
      <w:r>
        <w:rPr>
          <w:rFonts w:hint="eastAsia"/>
          <w:b w:val="0"/>
          <w:bCs/>
          <w:szCs w:val="32"/>
          <w:lang w:eastAsia="zh-CN"/>
        </w:rPr>
        <w:t>发行人</w:t>
      </w:r>
      <w:r>
        <w:rPr>
          <w:rFonts w:hint="eastAsia"/>
          <w:b w:val="0"/>
          <w:bCs/>
          <w:szCs w:val="32"/>
        </w:rPr>
        <w:t>，本所可以对其公司债券申请项目适用优化审核安排：</w:t>
      </w:r>
    </w:p>
    <w:p>
      <w:pPr>
        <w:spacing w:line="560" w:lineRule="exact"/>
        <w:ind w:firstLine="643"/>
        <w:rPr>
          <w:rFonts w:hint="eastAsia"/>
          <w:b w:val="0"/>
          <w:bCs/>
          <w:szCs w:val="32"/>
        </w:rPr>
      </w:pPr>
      <w:r>
        <w:rPr>
          <w:rFonts w:hint="eastAsia"/>
          <w:b w:val="0"/>
          <w:bCs/>
          <w:szCs w:val="32"/>
        </w:rPr>
        <w:t>（一）最近两年信息披露工作评价结果为A，且资产总额不低于200亿元、净资产收益率不低于2%的上市公司；</w:t>
      </w:r>
    </w:p>
    <w:p>
      <w:pPr>
        <w:spacing w:line="560" w:lineRule="exact"/>
        <w:ind w:firstLine="643"/>
        <w:rPr>
          <w:rFonts w:hint="eastAsia"/>
          <w:b w:val="0"/>
          <w:bCs/>
          <w:szCs w:val="32"/>
        </w:rPr>
      </w:pPr>
      <w:r>
        <w:rPr>
          <w:rFonts w:hint="eastAsia"/>
          <w:b w:val="0"/>
          <w:bCs/>
          <w:szCs w:val="32"/>
        </w:rPr>
        <w:t>（二）在全球市场、国家重点支持行业领域</w:t>
      </w:r>
      <w:r>
        <w:rPr>
          <w:rFonts w:hint="eastAsia"/>
          <w:b w:val="0"/>
          <w:bCs/>
          <w:szCs w:val="32"/>
          <w:lang w:eastAsia="zh-CN"/>
        </w:rPr>
        <w:t>内</w:t>
      </w:r>
      <w:r>
        <w:rPr>
          <w:rFonts w:hint="eastAsia"/>
          <w:b w:val="0"/>
          <w:bCs/>
          <w:szCs w:val="32"/>
        </w:rPr>
        <w:t>具有领先地位的企业；</w:t>
      </w:r>
    </w:p>
    <w:p>
      <w:pPr>
        <w:spacing w:line="560" w:lineRule="exact"/>
        <w:ind w:firstLine="643"/>
        <w:rPr>
          <w:rFonts w:hint="eastAsia"/>
          <w:b w:val="0"/>
          <w:bCs/>
          <w:szCs w:val="32"/>
        </w:rPr>
      </w:pPr>
      <w:r>
        <w:rPr>
          <w:rFonts w:hint="eastAsia"/>
          <w:b w:val="0"/>
          <w:bCs/>
          <w:szCs w:val="32"/>
        </w:rPr>
        <w:t>（三）本所根据国家政策导向和市场发展需要认可的其他发行人。</w:t>
      </w:r>
    </w:p>
    <w:p>
      <w:pPr>
        <w:spacing w:line="560" w:lineRule="exact"/>
        <w:ind w:firstLine="643"/>
        <w:rPr>
          <w:rFonts w:hint="eastAsia"/>
          <w:b w:val="0"/>
          <w:bCs/>
          <w:szCs w:val="32"/>
        </w:rPr>
      </w:pPr>
      <w:r>
        <w:rPr>
          <w:rFonts w:hint="eastAsia"/>
          <w:b w:val="0"/>
          <w:bCs/>
          <w:szCs w:val="32"/>
        </w:rPr>
        <w:t>前款第一项所称资产总额、净资产收益率</w:t>
      </w:r>
      <w:r>
        <w:rPr>
          <w:rFonts w:hint="eastAsia"/>
          <w:b w:val="0"/>
          <w:bCs/>
          <w:szCs w:val="32"/>
          <w:lang w:eastAsia="zh-CN"/>
        </w:rPr>
        <w:t>，</w:t>
      </w:r>
      <w:r>
        <w:rPr>
          <w:rFonts w:hint="eastAsia"/>
          <w:b w:val="0"/>
          <w:bCs/>
          <w:szCs w:val="32"/>
        </w:rPr>
        <w:t>应当按照企业最近一年经审计的财务数据进行计算，或者按照最近</w:t>
      </w:r>
      <w:r>
        <w:rPr>
          <w:rFonts w:hint="eastAsia"/>
          <w:b w:val="0"/>
          <w:bCs/>
          <w:szCs w:val="32"/>
          <w:lang w:eastAsia="zh-CN"/>
        </w:rPr>
        <w:t>三</w:t>
      </w:r>
      <w:r>
        <w:rPr>
          <w:rFonts w:hint="eastAsia"/>
          <w:b w:val="0"/>
          <w:bCs/>
          <w:szCs w:val="32"/>
        </w:rPr>
        <w:t>年经审计的财务数据分别进行计算后取平均值，两者按照孰优原则选择。净资产收益率按照《公开发行证券的公司信息披露编报规则第9号——净资产收益率和每股收益的计算及披露》规定的公式进行计算。</w:t>
      </w:r>
    </w:p>
    <w:p>
      <w:pPr>
        <w:spacing w:line="560" w:lineRule="exact"/>
        <w:ind w:firstLine="643"/>
        <w:rPr>
          <w:rFonts w:hint="eastAsia"/>
          <w:szCs w:val="32"/>
        </w:rPr>
      </w:pPr>
      <w:r>
        <w:rPr>
          <w:rFonts w:hint="eastAsia"/>
          <w:b/>
          <w:szCs w:val="32"/>
        </w:rPr>
        <w:t>第</w:t>
      </w:r>
      <w:r>
        <w:rPr>
          <w:rFonts w:hint="eastAsia"/>
          <w:b/>
          <w:szCs w:val="32"/>
          <w:lang w:eastAsia="zh-CN"/>
        </w:rPr>
        <w:t>八</w:t>
      </w:r>
      <w:r>
        <w:rPr>
          <w:rFonts w:hint="eastAsia"/>
          <w:b/>
          <w:szCs w:val="32"/>
        </w:rPr>
        <w:t>条</w:t>
      </w:r>
      <w:r>
        <w:rPr>
          <w:szCs w:val="32"/>
        </w:rPr>
        <w:t xml:space="preserve"> </w:t>
      </w:r>
      <w:r>
        <w:rPr>
          <w:rFonts w:hint="eastAsia"/>
          <w:szCs w:val="32"/>
        </w:rPr>
        <w:t>发行人符合</w:t>
      </w:r>
      <w:r>
        <w:rPr>
          <w:rFonts w:hint="eastAsia"/>
          <w:szCs w:val="32"/>
          <w:lang w:eastAsia="zh-CN"/>
        </w:rPr>
        <w:t>本指引</w:t>
      </w:r>
      <w:r>
        <w:rPr>
          <w:rFonts w:hint="eastAsia"/>
          <w:szCs w:val="32"/>
        </w:rPr>
        <w:t>第</w:t>
      </w:r>
      <w:r>
        <w:rPr>
          <w:rFonts w:hint="eastAsia"/>
          <w:szCs w:val="32"/>
          <w:lang w:eastAsia="zh-CN"/>
        </w:rPr>
        <w:t>六</w:t>
      </w:r>
      <w:r>
        <w:rPr>
          <w:rFonts w:hint="eastAsia"/>
          <w:szCs w:val="32"/>
        </w:rPr>
        <w:t>条、第</w:t>
      </w:r>
      <w:r>
        <w:rPr>
          <w:rFonts w:hint="eastAsia"/>
          <w:szCs w:val="32"/>
          <w:lang w:eastAsia="zh-CN"/>
        </w:rPr>
        <w:t>七</w:t>
      </w:r>
      <w:r>
        <w:rPr>
          <w:rFonts w:hint="eastAsia"/>
          <w:szCs w:val="32"/>
        </w:rPr>
        <w:t>条规定</w:t>
      </w:r>
      <w:r>
        <w:rPr>
          <w:rFonts w:hint="eastAsia"/>
          <w:szCs w:val="32"/>
          <w:lang w:eastAsia="zh-CN"/>
        </w:rPr>
        <w:t>条件</w:t>
      </w:r>
      <w:r>
        <w:rPr>
          <w:rFonts w:hint="eastAsia"/>
          <w:szCs w:val="32"/>
        </w:rPr>
        <w:t>的，可以</w:t>
      </w:r>
      <w:r>
        <w:rPr>
          <w:rFonts w:hint="eastAsia"/>
          <w:szCs w:val="32"/>
          <w:lang w:eastAsia="zh-CN"/>
        </w:rPr>
        <w:t>按照附件二参考格式以</w:t>
      </w:r>
      <w:r>
        <w:rPr>
          <w:rFonts w:hint="eastAsia"/>
          <w:szCs w:val="32"/>
        </w:rPr>
        <w:t>书面形式向本所说明</w:t>
      </w:r>
      <w:r>
        <w:rPr>
          <w:rFonts w:hint="eastAsia"/>
          <w:szCs w:val="32"/>
          <w:lang w:eastAsia="zh-CN"/>
        </w:rPr>
        <w:t>其</w:t>
      </w:r>
      <w:r>
        <w:rPr>
          <w:rFonts w:hint="eastAsia"/>
          <w:szCs w:val="32"/>
        </w:rPr>
        <w:t>符合优化审核认定标准。</w:t>
      </w:r>
    </w:p>
    <w:p>
      <w:pPr>
        <w:spacing w:line="560" w:lineRule="exact"/>
        <w:ind w:firstLine="643"/>
        <w:rPr>
          <w:szCs w:val="32"/>
        </w:rPr>
      </w:pPr>
      <w:r>
        <w:rPr>
          <w:rFonts w:hint="eastAsia"/>
          <w:szCs w:val="32"/>
        </w:rPr>
        <w:t>本所经确认，向发行人出具适用优化审核安排确认函。确认函出具后</w:t>
      </w:r>
      <w:r>
        <w:rPr>
          <w:rFonts w:hint="eastAsia"/>
          <w:szCs w:val="32"/>
          <w:lang w:eastAsia="zh-CN"/>
        </w:rPr>
        <w:t>三十六</w:t>
      </w:r>
      <w:r>
        <w:rPr>
          <w:rFonts w:hint="eastAsia"/>
          <w:szCs w:val="32"/>
        </w:rPr>
        <w:t>个月内，发行人向本所申请发行公司债券</w:t>
      </w:r>
      <w:r>
        <w:rPr>
          <w:rFonts w:hint="eastAsia"/>
          <w:szCs w:val="32"/>
          <w:lang w:eastAsia="zh-CN"/>
        </w:rPr>
        <w:t>的，</w:t>
      </w:r>
      <w:r>
        <w:rPr>
          <w:rFonts w:hint="eastAsia"/>
          <w:szCs w:val="32"/>
        </w:rPr>
        <w:t>可以适用本指引规定的优化审核安排。优化审核安排到期后，仍符合认定标准的企业，经本所认可</w:t>
      </w:r>
      <w:r>
        <w:rPr>
          <w:rFonts w:hint="eastAsia"/>
          <w:szCs w:val="32"/>
          <w:lang w:eastAsia="zh-CN"/>
        </w:rPr>
        <w:t>并重新出具确认函</w:t>
      </w:r>
      <w:r>
        <w:rPr>
          <w:rFonts w:hint="eastAsia"/>
          <w:szCs w:val="32"/>
        </w:rPr>
        <w:t>后，</w:t>
      </w:r>
      <w:r>
        <w:rPr>
          <w:rFonts w:hint="eastAsia"/>
          <w:szCs w:val="32"/>
          <w:lang w:eastAsia="zh-CN"/>
        </w:rPr>
        <w:t>可以</w:t>
      </w:r>
      <w:r>
        <w:rPr>
          <w:rFonts w:hint="eastAsia"/>
          <w:szCs w:val="32"/>
        </w:rPr>
        <w:t>继续适用相关安排。</w:t>
      </w:r>
    </w:p>
    <w:p>
      <w:pPr>
        <w:spacing w:line="600" w:lineRule="exact"/>
        <w:ind w:firstLine="640"/>
        <w:rPr>
          <w:szCs w:val="32"/>
        </w:rPr>
      </w:pPr>
    </w:p>
    <w:p>
      <w:pPr>
        <w:spacing w:line="600" w:lineRule="exact"/>
        <w:jc w:val="center"/>
        <w:outlineLvl w:val="0"/>
        <w:rPr>
          <w:szCs w:val="32"/>
        </w:rPr>
      </w:pPr>
      <w:r>
        <w:rPr>
          <w:rFonts w:hint="eastAsia" w:eastAsia="黑体"/>
          <w:bCs/>
          <w:kern w:val="0"/>
          <w:szCs w:val="32"/>
        </w:rPr>
        <w:t>第三章</w:t>
      </w:r>
      <w:r>
        <w:rPr>
          <w:rFonts w:eastAsia="黑体"/>
          <w:bCs/>
          <w:kern w:val="0"/>
          <w:szCs w:val="32"/>
        </w:rPr>
        <w:t xml:space="preserve"> </w:t>
      </w:r>
      <w:r>
        <w:rPr>
          <w:rFonts w:hint="eastAsia" w:eastAsia="黑体"/>
          <w:bCs/>
          <w:kern w:val="0"/>
          <w:szCs w:val="32"/>
        </w:rPr>
        <w:t>优化审核措施</w:t>
      </w:r>
    </w:p>
    <w:p>
      <w:pPr>
        <w:spacing w:line="560" w:lineRule="exact"/>
        <w:ind w:firstLine="643"/>
        <w:rPr>
          <w:szCs w:val="32"/>
        </w:rPr>
      </w:pPr>
      <w:r>
        <w:rPr>
          <w:rFonts w:hint="eastAsia"/>
          <w:b/>
          <w:szCs w:val="32"/>
        </w:rPr>
        <w:t>第</w:t>
      </w:r>
      <w:r>
        <w:rPr>
          <w:rFonts w:hint="eastAsia"/>
          <w:b/>
          <w:szCs w:val="32"/>
          <w:lang w:eastAsia="zh-CN"/>
        </w:rPr>
        <w:t>九</w:t>
      </w:r>
      <w:r>
        <w:rPr>
          <w:rFonts w:hint="eastAsia"/>
          <w:b/>
          <w:szCs w:val="32"/>
        </w:rPr>
        <w:t>条</w:t>
      </w:r>
      <w:r>
        <w:rPr>
          <w:szCs w:val="32"/>
        </w:rPr>
        <w:t xml:space="preserve"> </w:t>
      </w:r>
      <w:r>
        <w:rPr>
          <w:rFonts w:hint="eastAsia"/>
          <w:szCs w:val="32"/>
        </w:rPr>
        <w:t>知名成熟发行人可以按照下列方式编制、提交申请文件：</w:t>
      </w:r>
    </w:p>
    <w:p>
      <w:pPr>
        <w:spacing w:line="560" w:lineRule="exact"/>
        <w:ind w:firstLine="640"/>
        <w:rPr>
          <w:szCs w:val="32"/>
        </w:rPr>
      </w:pPr>
      <w:r>
        <w:rPr>
          <w:rFonts w:hint="eastAsia"/>
          <w:szCs w:val="32"/>
        </w:rPr>
        <w:t>（一）一般公司债券、企业债券以及专项品种公司债券可以合并编制申请文件并统一申报。申报的公司债券发行规模等应当符合法定发行条件，申报阶段无需明确募集资金具体使用安排。</w:t>
      </w:r>
    </w:p>
    <w:p>
      <w:pPr>
        <w:spacing w:line="560" w:lineRule="exact"/>
        <w:ind w:firstLine="640"/>
        <w:rPr>
          <w:szCs w:val="32"/>
        </w:rPr>
      </w:pPr>
      <w:r>
        <w:rPr>
          <w:rFonts w:hint="eastAsia"/>
          <w:szCs w:val="32"/>
        </w:rPr>
        <w:t>（二）债券品种、债券期限、募集资金具体使用计划、债项评级（如有）、受托管理人等信息可以在各期债券发行前补充披露；企业债券募集资金用于补充流动资金等非项目建设用途的比例不超过</w:t>
      </w:r>
      <w:r>
        <w:rPr>
          <w:szCs w:val="32"/>
        </w:rPr>
        <w:t>50%</w:t>
      </w:r>
      <w:r>
        <w:rPr>
          <w:rFonts w:hint="eastAsia"/>
          <w:szCs w:val="32"/>
        </w:rPr>
        <w:t>。</w:t>
      </w:r>
    </w:p>
    <w:p>
      <w:pPr>
        <w:spacing w:line="560" w:lineRule="exact"/>
        <w:ind w:firstLine="640"/>
        <w:rPr>
          <w:rFonts w:hint="eastAsia"/>
          <w:szCs w:val="32"/>
        </w:rPr>
      </w:pPr>
      <w:r>
        <w:rPr>
          <w:rFonts w:hint="eastAsia"/>
          <w:szCs w:val="32"/>
        </w:rPr>
        <w:t>（三）发行人可以适用本所简明信息披露安排，按照本所简明信息披露相关规定，通过列表、索引等形式简化</w:t>
      </w:r>
      <w:r>
        <w:rPr>
          <w:rFonts w:hint="eastAsia"/>
          <w:szCs w:val="32"/>
          <w:lang w:eastAsia="zh-CN"/>
        </w:rPr>
        <w:t>发行申请文件</w:t>
      </w:r>
      <w:r>
        <w:rPr>
          <w:rFonts w:hint="eastAsia"/>
          <w:szCs w:val="32"/>
        </w:rPr>
        <w:t>和信息披露，在保证信息披露质量的前提下，提高信息披露的针对性和有效性。</w:t>
      </w:r>
    </w:p>
    <w:p>
      <w:pPr>
        <w:spacing w:line="560" w:lineRule="exact"/>
        <w:ind w:firstLine="640"/>
        <w:rPr>
          <w:szCs w:val="32"/>
          <w:highlight w:val="yellow"/>
        </w:rPr>
      </w:pPr>
      <w:r>
        <w:rPr>
          <w:rFonts w:hint="eastAsia"/>
          <w:szCs w:val="32"/>
        </w:rPr>
        <w:t>（</w:t>
      </w:r>
      <w:r>
        <w:rPr>
          <w:rFonts w:hint="eastAsia"/>
          <w:szCs w:val="32"/>
          <w:lang w:eastAsia="zh-CN"/>
        </w:rPr>
        <w:t>四</w:t>
      </w:r>
      <w:r>
        <w:rPr>
          <w:rFonts w:hint="eastAsia"/>
          <w:szCs w:val="32"/>
        </w:rPr>
        <w:t>）不存在影响公司经营或者偿债能力的重大不利变化，且不存在影响发行条件的重大事项的，发行人可以申请适当延长年度、半年度财务报表有效期。年度财务报表有效期最多延长至当年</w:t>
      </w:r>
      <w:r>
        <w:rPr>
          <w:szCs w:val="32"/>
        </w:rPr>
        <w:t>8</w:t>
      </w:r>
      <w:r>
        <w:rPr>
          <w:rFonts w:hint="eastAsia"/>
          <w:szCs w:val="32"/>
        </w:rPr>
        <w:t>月末，半年度财务报表有效期最多延长至次年</w:t>
      </w:r>
      <w:r>
        <w:rPr>
          <w:szCs w:val="32"/>
        </w:rPr>
        <w:t>4</w:t>
      </w:r>
      <w:r>
        <w:rPr>
          <w:rFonts w:hint="eastAsia"/>
          <w:szCs w:val="32"/>
        </w:rPr>
        <w:t>月末。已披露季度财务报告的，应当同步披露季度主要财务数据。</w:t>
      </w:r>
    </w:p>
    <w:p>
      <w:pPr>
        <w:spacing w:line="560" w:lineRule="exact"/>
        <w:ind w:firstLine="640"/>
        <w:rPr>
          <w:szCs w:val="32"/>
        </w:rPr>
      </w:pPr>
      <w:r>
        <w:rPr>
          <w:rFonts w:hint="eastAsia"/>
          <w:szCs w:val="32"/>
        </w:rPr>
        <w:t>（五）董事、监事</w:t>
      </w:r>
      <w:r>
        <w:rPr>
          <w:rFonts w:hint="eastAsia"/>
          <w:szCs w:val="32"/>
          <w:lang w:eastAsia="zh-CN"/>
        </w:rPr>
        <w:t>（如有）</w:t>
      </w:r>
      <w:r>
        <w:rPr>
          <w:rFonts w:hint="eastAsia"/>
          <w:szCs w:val="32"/>
        </w:rPr>
        <w:t>、高级管理人员在对发行申请文件真实性、准确性和完整性的确认意见中，承诺发行申请文件不存在虚假记载、误导性陈述或者重大遗漏，且将持续履行相关职责，确保每期债券发行文件真实、准确、完整的，后续每期债券发行前可以无需另行签署确认意见。发行阶段董事、监事（如有）、高级管理人员较前次签署确认意见时发生变化的，新任人员应当签署书面确认意见。</w:t>
      </w:r>
    </w:p>
    <w:p>
      <w:pPr>
        <w:spacing w:line="560" w:lineRule="exact"/>
        <w:ind w:firstLine="640"/>
        <w:rPr>
          <w:rFonts w:hint="eastAsia" w:eastAsia="仿宋"/>
          <w:szCs w:val="32"/>
          <w:lang w:eastAsia="zh-CN"/>
        </w:rPr>
      </w:pPr>
      <w:r>
        <w:rPr>
          <w:rFonts w:hint="eastAsia"/>
          <w:szCs w:val="32"/>
          <w:lang w:eastAsia="zh-CN"/>
        </w:rPr>
        <w:t>（六）</w:t>
      </w:r>
      <w:r>
        <w:rPr>
          <w:rFonts w:hint="eastAsia"/>
          <w:szCs w:val="32"/>
        </w:rPr>
        <w:t>审计机构已对发行人前期募集说明书中引用的审计报告内容出具过声明页，确认募集说明书与审计报告不存在矛盾，并经主承销商核查本期债券发行文件引用的审计报告内容与前期一致的，每期债券发行前审计机构无需再次签署相关声明。</w:t>
      </w:r>
    </w:p>
    <w:p>
      <w:pPr>
        <w:spacing w:line="560" w:lineRule="exact"/>
        <w:ind w:firstLine="643"/>
        <w:rPr>
          <w:szCs w:val="32"/>
        </w:rPr>
      </w:pPr>
      <w:r>
        <w:rPr>
          <w:rFonts w:hint="eastAsia"/>
          <w:b/>
          <w:szCs w:val="32"/>
        </w:rPr>
        <w:t>第</w:t>
      </w:r>
      <w:r>
        <w:rPr>
          <w:rFonts w:hint="eastAsia"/>
          <w:b/>
          <w:szCs w:val="32"/>
          <w:lang w:eastAsia="zh-CN"/>
        </w:rPr>
        <w:t>十</w:t>
      </w:r>
      <w:r>
        <w:rPr>
          <w:rFonts w:hint="eastAsia"/>
          <w:b/>
          <w:szCs w:val="32"/>
        </w:rPr>
        <w:t>条</w:t>
      </w:r>
      <w:r>
        <w:rPr>
          <w:szCs w:val="32"/>
        </w:rPr>
        <w:t xml:space="preserve"> </w:t>
      </w:r>
      <w:r>
        <w:rPr>
          <w:rFonts w:hint="eastAsia"/>
          <w:szCs w:val="32"/>
        </w:rPr>
        <w:t>知名成熟发行人可以设立主承销商团，但应当在每期债券发行前确定该期债券的主承销商。</w:t>
      </w:r>
    </w:p>
    <w:p>
      <w:pPr>
        <w:spacing w:line="560" w:lineRule="exact"/>
        <w:ind w:firstLine="643"/>
        <w:rPr>
          <w:szCs w:val="32"/>
        </w:rPr>
      </w:pPr>
      <w:r>
        <w:rPr>
          <w:rFonts w:hint="eastAsia"/>
          <w:b/>
          <w:szCs w:val="32"/>
        </w:rPr>
        <w:t>第</w:t>
      </w:r>
      <w:r>
        <w:rPr>
          <w:rFonts w:hint="eastAsia"/>
          <w:b/>
          <w:szCs w:val="32"/>
          <w:lang w:eastAsia="zh-CN"/>
        </w:rPr>
        <w:t>十一</w:t>
      </w:r>
      <w:r>
        <w:rPr>
          <w:rFonts w:hint="eastAsia"/>
          <w:b/>
          <w:szCs w:val="32"/>
        </w:rPr>
        <w:t>条</w:t>
      </w:r>
      <w:r>
        <w:rPr>
          <w:szCs w:val="32"/>
        </w:rPr>
        <w:t xml:space="preserve"> </w:t>
      </w:r>
      <w:r>
        <w:rPr>
          <w:rFonts w:hint="eastAsia"/>
          <w:szCs w:val="32"/>
        </w:rPr>
        <w:t>对知名成熟发行人提交的债券发行申请，相关审核会议以非现场形式召开，本所审核时限原则上不超过十个工作日。</w:t>
      </w:r>
    </w:p>
    <w:p>
      <w:pPr>
        <w:spacing w:line="560" w:lineRule="exact"/>
        <w:ind w:firstLine="643"/>
        <w:rPr>
          <w:szCs w:val="32"/>
        </w:rPr>
      </w:pPr>
      <w:r>
        <w:rPr>
          <w:rFonts w:hint="eastAsia"/>
          <w:b/>
          <w:bCs/>
          <w:szCs w:val="32"/>
        </w:rPr>
        <w:t>第</w:t>
      </w:r>
      <w:r>
        <w:rPr>
          <w:rFonts w:hint="eastAsia"/>
          <w:b/>
          <w:bCs/>
          <w:szCs w:val="32"/>
          <w:lang w:eastAsia="zh-CN"/>
        </w:rPr>
        <w:t>十二</w:t>
      </w:r>
      <w:r>
        <w:rPr>
          <w:rFonts w:hint="eastAsia"/>
          <w:b/>
          <w:bCs/>
          <w:szCs w:val="32"/>
        </w:rPr>
        <w:t>条</w:t>
      </w:r>
      <w:r>
        <w:rPr>
          <w:szCs w:val="32"/>
        </w:rPr>
        <w:t xml:space="preserve"> </w:t>
      </w:r>
      <w:r>
        <w:rPr>
          <w:rFonts w:hint="eastAsia"/>
          <w:szCs w:val="32"/>
        </w:rPr>
        <w:t>知名成熟发行人可以在中国证监会出具的注册批复或者本所出具的挂牌条件确认文件到期前</w:t>
      </w:r>
      <w:r>
        <w:rPr>
          <w:rFonts w:hint="eastAsia"/>
          <w:szCs w:val="32"/>
          <w:lang w:eastAsia="zh-CN"/>
        </w:rPr>
        <w:t>六</w:t>
      </w:r>
      <w:r>
        <w:rPr>
          <w:rFonts w:hint="eastAsia"/>
          <w:szCs w:val="32"/>
        </w:rPr>
        <w:t>个月内再次申请发行公司债券；不存在重大变化的，知名成熟发行人可以在符合《公司债券发行与交易管理办法》等规定的前提下，简化编制公司债券发行申请文件。</w:t>
      </w:r>
    </w:p>
    <w:p>
      <w:pPr>
        <w:spacing w:line="560" w:lineRule="exact"/>
        <w:ind w:firstLine="643"/>
        <w:rPr>
          <w:rFonts w:hint="eastAsia"/>
          <w:szCs w:val="32"/>
        </w:rPr>
      </w:pPr>
      <w:r>
        <w:rPr>
          <w:rFonts w:hint="eastAsia"/>
          <w:b/>
          <w:bCs/>
          <w:szCs w:val="32"/>
        </w:rPr>
        <w:t>第</w:t>
      </w:r>
      <w:r>
        <w:rPr>
          <w:rFonts w:hint="eastAsia"/>
          <w:b/>
          <w:bCs/>
          <w:szCs w:val="32"/>
          <w:lang w:eastAsia="zh-CN"/>
        </w:rPr>
        <w:t>十三</w:t>
      </w:r>
      <w:r>
        <w:rPr>
          <w:rFonts w:hint="eastAsia"/>
          <w:b/>
          <w:bCs/>
          <w:szCs w:val="32"/>
        </w:rPr>
        <w:t>条</w:t>
      </w:r>
      <w:r>
        <w:rPr>
          <w:szCs w:val="32"/>
        </w:rPr>
        <w:t xml:space="preserve"> </w:t>
      </w:r>
      <w:r>
        <w:rPr>
          <w:rFonts w:hint="eastAsia"/>
          <w:szCs w:val="32"/>
        </w:rPr>
        <w:t>知名成熟发行人</w:t>
      </w:r>
      <w:r>
        <w:rPr>
          <w:rFonts w:hint="eastAsia"/>
          <w:szCs w:val="32"/>
          <w:lang w:eastAsia="zh-CN"/>
        </w:rPr>
        <w:t>出现下列情形，</w:t>
      </w:r>
      <w:r>
        <w:rPr>
          <w:rFonts w:hint="eastAsia"/>
          <w:szCs w:val="32"/>
        </w:rPr>
        <w:t>可能严重影响发行人偿债能力的，本所可以对其公司债券发行申请不再适用优化审核安排</w:t>
      </w:r>
      <w:r>
        <w:rPr>
          <w:rFonts w:hint="eastAsia"/>
          <w:szCs w:val="32"/>
          <w:lang w:eastAsia="zh-CN"/>
        </w:rPr>
        <w:t>：</w:t>
      </w:r>
    </w:p>
    <w:p>
      <w:pPr>
        <w:spacing w:line="560" w:lineRule="exact"/>
        <w:ind w:firstLine="643"/>
        <w:rPr>
          <w:rFonts w:hint="eastAsia"/>
          <w:szCs w:val="32"/>
          <w:lang w:eastAsia="zh-CN"/>
        </w:rPr>
      </w:pPr>
      <w:r>
        <w:rPr>
          <w:rFonts w:hint="eastAsia"/>
          <w:szCs w:val="32"/>
          <w:lang w:eastAsia="zh-CN"/>
        </w:rPr>
        <w:t>（一）</w:t>
      </w:r>
      <w:r>
        <w:rPr>
          <w:rFonts w:hint="eastAsia"/>
          <w:szCs w:val="32"/>
        </w:rPr>
        <w:t>不符合本指引第六条</w:t>
      </w:r>
      <w:r>
        <w:rPr>
          <w:rFonts w:hint="eastAsia"/>
          <w:szCs w:val="32"/>
          <w:lang w:eastAsia="zh-CN"/>
        </w:rPr>
        <w:t>、第七条</w:t>
      </w:r>
      <w:r>
        <w:rPr>
          <w:rFonts w:hint="eastAsia"/>
          <w:szCs w:val="32"/>
        </w:rPr>
        <w:t>规定条件</w:t>
      </w:r>
      <w:r>
        <w:rPr>
          <w:rFonts w:hint="eastAsia"/>
          <w:szCs w:val="32"/>
          <w:lang w:eastAsia="zh-CN"/>
        </w:rPr>
        <w:t>；</w:t>
      </w:r>
    </w:p>
    <w:p>
      <w:pPr>
        <w:spacing w:line="560" w:lineRule="exact"/>
        <w:ind w:firstLine="643"/>
        <w:rPr>
          <w:rFonts w:hint="eastAsia"/>
          <w:szCs w:val="32"/>
          <w:lang w:eastAsia="zh-CN"/>
        </w:rPr>
      </w:pPr>
      <w:r>
        <w:rPr>
          <w:rFonts w:hint="eastAsia"/>
          <w:szCs w:val="32"/>
          <w:lang w:eastAsia="zh-CN"/>
        </w:rPr>
        <w:t>（二）相关财务指标</w:t>
      </w:r>
      <w:r>
        <w:rPr>
          <w:rFonts w:hint="eastAsia"/>
          <w:szCs w:val="32"/>
        </w:rPr>
        <w:t>出现重大不利变化</w:t>
      </w:r>
      <w:r>
        <w:rPr>
          <w:rFonts w:hint="eastAsia"/>
          <w:szCs w:val="32"/>
          <w:lang w:eastAsia="zh-CN"/>
        </w:rPr>
        <w:t>；</w:t>
      </w:r>
    </w:p>
    <w:p>
      <w:pPr>
        <w:spacing w:line="560" w:lineRule="exact"/>
        <w:ind w:firstLine="643"/>
        <w:rPr>
          <w:rFonts w:hint="eastAsia"/>
          <w:szCs w:val="32"/>
        </w:rPr>
      </w:pPr>
      <w:r>
        <w:rPr>
          <w:rFonts w:hint="eastAsia"/>
          <w:szCs w:val="32"/>
        </w:rPr>
        <w:t>（三）融资过度且出现债务集中兑付压力；</w:t>
      </w:r>
    </w:p>
    <w:p>
      <w:pPr>
        <w:spacing w:line="560" w:lineRule="exact"/>
        <w:ind w:firstLine="643"/>
        <w:rPr>
          <w:rFonts w:hint="eastAsia"/>
          <w:szCs w:val="32"/>
        </w:rPr>
      </w:pPr>
      <w:r>
        <w:rPr>
          <w:rFonts w:hint="eastAsia"/>
          <w:szCs w:val="32"/>
        </w:rPr>
        <w:t>（四）行业地位发生重大不利变化；</w:t>
      </w:r>
    </w:p>
    <w:p>
      <w:pPr>
        <w:spacing w:line="560" w:lineRule="exact"/>
        <w:ind w:firstLine="643"/>
        <w:rPr>
          <w:rFonts w:hint="eastAsia"/>
          <w:szCs w:val="32"/>
        </w:rPr>
      </w:pPr>
      <w:r>
        <w:rPr>
          <w:rFonts w:hint="eastAsia"/>
          <w:szCs w:val="32"/>
        </w:rPr>
        <w:t>（五）债券、股票成交持续异常波动；</w:t>
      </w:r>
    </w:p>
    <w:p>
      <w:pPr>
        <w:spacing w:line="560" w:lineRule="exact"/>
        <w:ind w:firstLine="643"/>
        <w:rPr>
          <w:rFonts w:hint="eastAsia"/>
          <w:szCs w:val="32"/>
          <w:lang w:eastAsia="zh-CN"/>
        </w:rPr>
      </w:pPr>
      <w:r>
        <w:rPr>
          <w:rFonts w:hint="eastAsia"/>
          <w:szCs w:val="32"/>
        </w:rPr>
        <w:t>（六）公司及其所属企业集团、实际控制人出现重大负面舆情。</w:t>
      </w:r>
    </w:p>
    <w:p>
      <w:pPr>
        <w:spacing w:line="560" w:lineRule="exact"/>
        <w:ind w:firstLine="640"/>
        <w:rPr>
          <w:szCs w:val="32"/>
        </w:rPr>
      </w:pPr>
      <w:r>
        <w:rPr>
          <w:rFonts w:hint="eastAsia"/>
          <w:szCs w:val="32"/>
        </w:rPr>
        <w:t>发生前款规定情形的，发行人、主承销商应当及时向本所报告。前款规定情形消除后，本所可以对其公司债券发行申请重新适用优化审核安排。</w:t>
      </w:r>
    </w:p>
    <w:p>
      <w:pPr>
        <w:spacing w:line="600" w:lineRule="exact"/>
        <w:ind w:firstLine="640"/>
        <w:rPr>
          <w:szCs w:val="32"/>
        </w:rPr>
      </w:pPr>
    </w:p>
    <w:p>
      <w:pPr>
        <w:jc w:val="center"/>
        <w:outlineLvl w:val="0"/>
        <w:rPr>
          <w:rFonts w:eastAsia="黑体"/>
          <w:bCs/>
          <w:kern w:val="0"/>
          <w:szCs w:val="32"/>
        </w:rPr>
      </w:pPr>
      <w:r>
        <w:rPr>
          <w:rFonts w:hint="eastAsia" w:eastAsia="黑体"/>
          <w:bCs/>
          <w:kern w:val="0"/>
          <w:szCs w:val="32"/>
        </w:rPr>
        <w:t>第四章</w:t>
      </w:r>
      <w:r>
        <w:rPr>
          <w:rFonts w:eastAsia="黑体"/>
          <w:bCs/>
          <w:kern w:val="0"/>
          <w:szCs w:val="32"/>
        </w:rPr>
        <w:t xml:space="preserve"> </w:t>
      </w:r>
      <w:r>
        <w:rPr>
          <w:rFonts w:hint="eastAsia" w:eastAsia="黑体"/>
          <w:bCs/>
          <w:kern w:val="0"/>
          <w:szCs w:val="32"/>
        </w:rPr>
        <w:t>附则</w:t>
      </w:r>
    </w:p>
    <w:p>
      <w:pPr>
        <w:spacing w:line="560" w:lineRule="exact"/>
        <w:ind w:firstLine="643"/>
        <w:rPr>
          <w:szCs w:val="32"/>
        </w:rPr>
      </w:pPr>
      <w:r>
        <w:rPr>
          <w:rFonts w:hint="eastAsia"/>
          <w:b/>
          <w:bCs/>
          <w:szCs w:val="32"/>
        </w:rPr>
        <w:t>第</w:t>
      </w:r>
      <w:r>
        <w:rPr>
          <w:rFonts w:hint="eastAsia"/>
          <w:b/>
          <w:bCs/>
          <w:szCs w:val="32"/>
          <w:lang w:eastAsia="zh-CN"/>
        </w:rPr>
        <w:t>十四</w:t>
      </w:r>
      <w:r>
        <w:rPr>
          <w:rFonts w:hint="eastAsia"/>
          <w:b/>
          <w:bCs/>
          <w:szCs w:val="32"/>
        </w:rPr>
        <w:t>条</w:t>
      </w:r>
      <w:r>
        <w:rPr>
          <w:szCs w:val="32"/>
        </w:rPr>
        <w:t xml:space="preserve"> </w:t>
      </w:r>
      <w:r>
        <w:rPr>
          <w:rFonts w:hint="eastAsia"/>
          <w:szCs w:val="32"/>
        </w:rPr>
        <w:t>本指引由本所负责解释。</w:t>
      </w:r>
    </w:p>
    <w:p>
      <w:pPr>
        <w:spacing w:line="560" w:lineRule="exact"/>
        <w:ind w:firstLine="643"/>
        <w:rPr>
          <w:rFonts w:hint="eastAsia"/>
          <w:szCs w:val="32"/>
        </w:rPr>
      </w:pPr>
      <w:r>
        <w:rPr>
          <w:rFonts w:hint="eastAsia"/>
          <w:b/>
          <w:bCs/>
          <w:szCs w:val="32"/>
        </w:rPr>
        <w:t>第</w:t>
      </w:r>
      <w:r>
        <w:rPr>
          <w:rFonts w:hint="eastAsia"/>
          <w:b/>
          <w:bCs/>
          <w:szCs w:val="32"/>
          <w:lang w:eastAsia="zh-CN"/>
        </w:rPr>
        <w:t>十五</w:t>
      </w:r>
      <w:r>
        <w:rPr>
          <w:rFonts w:hint="eastAsia"/>
          <w:b/>
          <w:bCs/>
          <w:szCs w:val="32"/>
        </w:rPr>
        <w:t>条</w:t>
      </w:r>
      <w:r>
        <w:rPr>
          <w:b/>
          <w:bCs/>
          <w:szCs w:val="32"/>
        </w:rPr>
        <w:t xml:space="preserve"> </w:t>
      </w:r>
      <w:r>
        <w:rPr>
          <w:rFonts w:hint="eastAsia"/>
          <w:szCs w:val="32"/>
        </w:rPr>
        <w:t>本指引自发布之日起施行。本所于</w:t>
      </w:r>
      <w:r>
        <w:rPr>
          <w:rFonts w:hint="eastAsia"/>
          <w:szCs w:val="32"/>
          <w:lang w:val="en-US" w:eastAsia="zh-CN"/>
        </w:rPr>
        <w:t>2023年10月20日</w:t>
      </w:r>
      <w:r>
        <w:rPr>
          <w:rFonts w:hint="eastAsia"/>
          <w:szCs w:val="32"/>
        </w:rPr>
        <w:t>发布的《深圳证券交易所公司债券发行上市审核业务指引第3号——优化审核安排</w:t>
      </w:r>
      <w:r>
        <w:rPr>
          <w:rFonts w:hint="eastAsia"/>
          <w:szCs w:val="32"/>
          <w:lang w:eastAsia="zh-CN"/>
        </w:rPr>
        <w:t>（</w:t>
      </w:r>
      <w:r>
        <w:rPr>
          <w:rFonts w:hint="eastAsia"/>
          <w:szCs w:val="32"/>
          <w:lang w:val="en-US" w:eastAsia="zh-CN"/>
        </w:rPr>
        <w:t>2023年修订</w:t>
      </w:r>
      <w:r>
        <w:rPr>
          <w:rFonts w:hint="eastAsia"/>
          <w:szCs w:val="32"/>
          <w:lang w:eastAsia="zh-CN"/>
        </w:rPr>
        <w:t>）</w:t>
      </w:r>
      <w:r>
        <w:rPr>
          <w:rFonts w:hint="eastAsia"/>
          <w:szCs w:val="32"/>
        </w:rPr>
        <w:t>》（深证上〔2023〕986号）同时废止。</w:t>
      </w:r>
    </w:p>
    <w:p>
      <w:pPr>
        <w:spacing w:line="560" w:lineRule="exact"/>
        <w:ind w:firstLine="643"/>
        <w:rPr>
          <w:rFonts w:hint="eastAsia"/>
          <w:szCs w:val="32"/>
        </w:rPr>
      </w:pPr>
    </w:p>
    <w:p>
      <w:pPr>
        <w:spacing w:line="560" w:lineRule="exact"/>
        <w:ind w:firstLine="643"/>
        <w:rPr>
          <w:rFonts w:hint="eastAsia"/>
          <w:szCs w:val="32"/>
        </w:rPr>
      </w:pPr>
      <w:r>
        <w:rPr>
          <w:rFonts w:hint="eastAsia"/>
          <w:szCs w:val="32"/>
        </w:rPr>
        <w:t>附件</w:t>
      </w:r>
      <w:r>
        <w:rPr>
          <w:rFonts w:hint="eastAsia"/>
          <w:szCs w:val="32"/>
          <w:lang w:eastAsia="zh-CN"/>
        </w:rPr>
        <w:t>一：</w:t>
      </w:r>
      <w:r>
        <w:rPr>
          <w:rFonts w:hint="eastAsia"/>
          <w:szCs w:val="32"/>
        </w:rPr>
        <w:t>优化审核发行人财务指标要求</w:t>
      </w:r>
    </w:p>
    <w:p>
      <w:pPr>
        <w:numPr>
          <w:ilvl w:val="-1"/>
          <w:numId w:val="0"/>
        </w:numPr>
        <w:spacing w:line="560" w:lineRule="exact"/>
        <w:ind w:firstLine="640" w:firstLineChars="200"/>
        <w:rPr>
          <w:rFonts w:hint="eastAsia"/>
          <w:szCs w:val="32"/>
        </w:rPr>
      </w:pPr>
      <w:r>
        <w:rPr>
          <w:rFonts w:hint="eastAsia"/>
          <w:szCs w:val="32"/>
          <w:lang w:val="en-US" w:eastAsia="zh-CN"/>
        </w:rPr>
        <w:t>附件二：</w:t>
      </w:r>
      <w:r>
        <w:rPr>
          <w:rFonts w:hint="eastAsia"/>
          <w:szCs w:val="32"/>
        </w:rPr>
        <w:t>××公司关于确认适用优化审核安排的说明</w:t>
      </w:r>
    </w:p>
    <w:p>
      <w:pPr>
        <w:numPr>
          <w:ilvl w:val="0"/>
          <w:numId w:val="0"/>
        </w:numPr>
        <w:spacing w:line="560" w:lineRule="exact"/>
        <w:ind w:firstLine="1600" w:firstLineChars="500"/>
        <w:rPr>
          <w:rFonts w:hint="eastAsia"/>
          <w:szCs w:val="32"/>
        </w:rPr>
      </w:pPr>
      <w:r>
        <w:rPr>
          <w:rFonts w:hint="eastAsia"/>
          <w:szCs w:val="32"/>
        </w:rPr>
        <w:t>（</w:t>
      </w:r>
      <w:r>
        <w:rPr>
          <w:rFonts w:hint="eastAsia"/>
          <w:szCs w:val="32"/>
          <w:lang w:eastAsia="zh-CN"/>
        </w:rPr>
        <w:t>参考格式</w:t>
      </w:r>
      <w:r>
        <w:rPr>
          <w:rFonts w:hint="eastAsia"/>
          <w:szCs w:val="32"/>
        </w:rPr>
        <w:t>）</w:t>
      </w:r>
    </w:p>
    <w:p>
      <w:pPr>
        <w:widowControl/>
        <w:spacing w:line="560" w:lineRule="exact"/>
        <w:ind w:firstLine="1600" w:firstLineChars="500"/>
        <w:jc w:val="left"/>
        <w:rPr>
          <w:szCs w:val="32"/>
        </w:rPr>
        <w:sectPr>
          <w:footerReference r:id="rId3" w:type="default"/>
          <w:pgSz w:w="11907" w:h="16839"/>
          <w:pgMar w:top="2098" w:right="1474" w:bottom="1985" w:left="1588" w:header="851" w:footer="992" w:gutter="0"/>
          <w:cols w:space="720" w:num="1"/>
          <w:docGrid w:type="lines" w:linePitch="435" w:charSpace="0"/>
        </w:sectPr>
      </w:pPr>
    </w:p>
    <w:p>
      <w:pPr>
        <w:spacing w:line="560" w:lineRule="exact"/>
        <w:outlineLvl w:val="0"/>
        <w:rPr>
          <w:rFonts w:hint="eastAsia" w:ascii="黑体" w:hAnsi="黑体" w:eastAsia="黑体" w:cs="黑体"/>
          <w:b w:val="0"/>
          <w:bCs/>
          <w:szCs w:val="32"/>
          <w:lang w:val="en-US" w:eastAsia="zh-CN"/>
        </w:rPr>
      </w:pPr>
      <w:r>
        <w:rPr>
          <w:rFonts w:hint="eastAsia" w:ascii="黑体" w:hAnsi="黑体" w:eastAsia="黑体" w:cs="黑体"/>
          <w:b w:val="0"/>
          <w:bCs/>
          <w:szCs w:val="32"/>
        </w:rPr>
        <w:t>附</w:t>
      </w:r>
      <w:r>
        <w:rPr>
          <w:rFonts w:hint="eastAsia" w:ascii="黑体" w:hAnsi="黑体" w:eastAsia="黑体" w:cs="黑体"/>
          <w:b w:val="0"/>
          <w:bCs/>
          <w:szCs w:val="32"/>
          <w:lang w:eastAsia="zh-CN"/>
        </w:rPr>
        <w:t>件</w:t>
      </w:r>
      <w:r>
        <w:rPr>
          <w:rFonts w:hint="eastAsia" w:ascii="黑体" w:hAnsi="黑体" w:eastAsia="黑体" w:cs="黑体"/>
          <w:b w:val="0"/>
          <w:bCs/>
          <w:szCs w:val="32"/>
          <w:lang w:val="en-US" w:eastAsia="zh-CN"/>
        </w:rPr>
        <w:t>一</w:t>
      </w:r>
    </w:p>
    <w:p>
      <w:pPr>
        <w:spacing w:line="560" w:lineRule="exact"/>
        <w:outlineLvl w:val="9"/>
        <w:rPr>
          <w:rFonts w:hint="eastAsia" w:ascii="黑体" w:hAnsi="黑体" w:eastAsia="黑体" w:cs="黑体"/>
          <w:b w:val="0"/>
          <w:bCs/>
          <w:szCs w:val="32"/>
          <w:lang w:val="en-US" w:eastAsia="zh-CN"/>
        </w:rPr>
      </w:pPr>
    </w:p>
    <w:p>
      <w:pPr>
        <w:spacing w:line="560" w:lineRule="exact"/>
        <w:jc w:val="center"/>
        <w:outlineLvl w:val="0"/>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优化审核发行人财务指标要求</w:t>
      </w:r>
    </w:p>
    <w:p>
      <w:pPr>
        <w:spacing w:line="560" w:lineRule="exact"/>
        <w:jc w:val="center"/>
        <w:outlineLvl w:val="9"/>
        <w:rPr>
          <w:rFonts w:hint="eastAsia" w:ascii="方正小标宋简体" w:hAnsi="方正小标宋简体" w:eastAsia="方正小标宋简体" w:cs="方正小标宋简体"/>
          <w:bCs/>
          <w:sz w:val="44"/>
          <w:szCs w:val="44"/>
        </w:rPr>
      </w:pPr>
    </w:p>
    <w:tbl>
      <w:tblPr>
        <w:tblStyle w:val="16"/>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5"/>
        <w:gridCol w:w="1334"/>
        <w:gridCol w:w="1336"/>
        <w:gridCol w:w="1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4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eastAsia="宋体"/>
                <w:b/>
                <w:color w:val="000000"/>
                <w:sz w:val="21"/>
                <w:szCs w:val="21"/>
              </w:rPr>
            </w:pPr>
            <w:r>
              <w:rPr>
                <w:rFonts w:hint="eastAsia" w:eastAsia="宋体"/>
                <w:b/>
                <w:sz w:val="21"/>
                <w:szCs w:val="21"/>
              </w:rPr>
              <w:t>行业分类</w:t>
            </w:r>
          </w:p>
        </w:tc>
        <w:tc>
          <w:tcPr>
            <w:tcW w:w="13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eastAsia="宋体"/>
                <w:b/>
                <w:color w:val="000000"/>
                <w:sz w:val="21"/>
                <w:szCs w:val="21"/>
              </w:rPr>
            </w:pPr>
            <w:r>
              <w:rPr>
                <w:rFonts w:hint="eastAsia" w:eastAsia="宋体"/>
                <w:b/>
                <w:sz w:val="21"/>
                <w:szCs w:val="21"/>
              </w:rPr>
              <w:t>资产总额（亿元）</w:t>
            </w: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eastAsia="宋体"/>
                <w:b/>
                <w:color w:val="000000"/>
                <w:sz w:val="21"/>
                <w:szCs w:val="21"/>
              </w:rPr>
            </w:pPr>
            <w:r>
              <w:rPr>
                <w:rFonts w:hint="eastAsia" w:eastAsia="宋体"/>
                <w:b/>
                <w:sz w:val="21"/>
                <w:szCs w:val="21"/>
              </w:rPr>
              <w:t>资产负债率（</w:t>
            </w:r>
            <w:r>
              <w:rPr>
                <w:rFonts w:eastAsia="宋体"/>
                <w:b/>
                <w:sz w:val="21"/>
                <w:szCs w:val="21"/>
              </w:rPr>
              <w:t>%</w:t>
            </w:r>
            <w:r>
              <w:rPr>
                <w:rFonts w:hint="eastAsia" w:eastAsia="宋体"/>
                <w:b/>
                <w:sz w:val="21"/>
                <w:szCs w:val="21"/>
              </w:rPr>
              <w:t>）</w:t>
            </w:r>
          </w:p>
        </w:tc>
        <w:tc>
          <w:tcPr>
            <w:tcW w:w="162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eastAsia="宋体"/>
                <w:b/>
                <w:color w:val="000000"/>
                <w:sz w:val="21"/>
                <w:szCs w:val="21"/>
              </w:rPr>
            </w:pPr>
            <w:r>
              <w:rPr>
                <w:rFonts w:hint="eastAsia" w:eastAsia="宋体"/>
                <w:b/>
                <w:sz w:val="21"/>
                <w:szCs w:val="21"/>
              </w:rPr>
              <w:t>总资产报酬率（</w:t>
            </w:r>
            <w:r>
              <w:rPr>
                <w:rFonts w:eastAsia="宋体"/>
                <w:b/>
                <w:sz w:val="21"/>
                <w:szCs w:val="21"/>
              </w:rPr>
              <w:t>%</w:t>
            </w:r>
            <w:r>
              <w:rPr>
                <w:rFonts w:hint="eastAsia" w:eastAsia="宋体"/>
                <w:b/>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4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left"/>
              <w:rPr>
                <w:rFonts w:eastAsia="宋体"/>
                <w:color w:val="000000"/>
                <w:sz w:val="21"/>
                <w:szCs w:val="21"/>
              </w:rPr>
            </w:pPr>
            <w:r>
              <w:rPr>
                <w:rFonts w:hint="eastAsia" w:eastAsia="宋体"/>
                <w:sz w:val="21"/>
                <w:szCs w:val="21"/>
              </w:rPr>
              <w:t>批发和零售业，居民服务、修理和其他服务业，租赁和商务服务业，住宿和餐饮业，农林牧渔业，教育</w:t>
            </w:r>
            <w:r>
              <w:rPr>
                <w:rFonts w:hint="eastAsia" w:eastAsia="宋体"/>
                <w:sz w:val="21"/>
                <w:szCs w:val="21"/>
                <w:lang w:eastAsia="zh-CN"/>
              </w:rPr>
              <w:t>，</w:t>
            </w:r>
            <w:r>
              <w:rPr>
                <w:rFonts w:hint="eastAsia" w:eastAsia="宋体"/>
                <w:sz w:val="21"/>
                <w:szCs w:val="21"/>
              </w:rPr>
              <w:t>卫生和社会工作</w:t>
            </w:r>
            <w:r>
              <w:rPr>
                <w:rFonts w:hint="eastAsia" w:eastAsia="宋体"/>
                <w:sz w:val="21"/>
                <w:szCs w:val="21"/>
                <w:lang w:eastAsia="zh-CN"/>
              </w:rPr>
              <w:t>，</w:t>
            </w:r>
            <w:r>
              <w:rPr>
                <w:rFonts w:hint="eastAsia" w:eastAsia="宋体"/>
                <w:sz w:val="21"/>
                <w:szCs w:val="21"/>
              </w:rPr>
              <w:t>文化、体育和娱乐业</w:t>
            </w:r>
          </w:p>
        </w:tc>
        <w:tc>
          <w:tcPr>
            <w:tcW w:w="13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412" w:firstLineChars="200"/>
              <w:jc w:val="center"/>
              <w:rPr>
                <w:rFonts w:eastAsia="宋体"/>
                <w:color w:val="000000"/>
                <w:sz w:val="21"/>
                <w:szCs w:val="21"/>
              </w:rPr>
            </w:pPr>
            <w:r>
              <w:rPr>
                <w:rFonts w:hint="eastAsia" w:eastAsia="宋体"/>
                <w:sz w:val="21"/>
                <w:szCs w:val="21"/>
              </w:rPr>
              <w:t>＞</w:t>
            </w:r>
            <w:r>
              <w:rPr>
                <w:rFonts w:eastAsia="宋体"/>
                <w:sz w:val="21"/>
                <w:szCs w:val="21"/>
              </w:rPr>
              <w:t>800</w:t>
            </w: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412" w:firstLineChars="200"/>
              <w:jc w:val="center"/>
              <w:rPr>
                <w:rFonts w:eastAsia="宋体"/>
                <w:color w:val="000000"/>
                <w:sz w:val="21"/>
                <w:szCs w:val="21"/>
              </w:rPr>
            </w:pPr>
            <w:r>
              <w:rPr>
                <w:rFonts w:hint="eastAsia" w:eastAsia="宋体"/>
                <w:sz w:val="21"/>
                <w:szCs w:val="21"/>
              </w:rPr>
              <w:t>＜</w:t>
            </w:r>
            <w:r>
              <w:rPr>
                <w:rFonts w:eastAsia="宋体"/>
                <w:sz w:val="21"/>
                <w:szCs w:val="21"/>
              </w:rPr>
              <w:t>75</w:t>
            </w:r>
          </w:p>
        </w:tc>
        <w:tc>
          <w:tcPr>
            <w:tcW w:w="162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412" w:firstLineChars="200"/>
              <w:jc w:val="center"/>
              <w:rPr>
                <w:rFonts w:hint="default" w:eastAsia="宋体"/>
                <w:color w:val="000000"/>
                <w:sz w:val="21"/>
                <w:szCs w:val="21"/>
                <w:lang w:val="en-US" w:eastAsia="zh-CN"/>
              </w:rPr>
            </w:pPr>
            <w:r>
              <w:rPr>
                <w:rFonts w:hint="eastAsia" w:eastAsia="宋体"/>
                <w:sz w:val="21"/>
                <w:szCs w:val="21"/>
              </w:rPr>
              <w:t>＞</w:t>
            </w:r>
            <w:r>
              <w:rPr>
                <w:rFonts w:hint="eastAsia" w:eastAsia="宋体"/>
                <w:sz w:val="21"/>
                <w:szCs w:val="21"/>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4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left"/>
              <w:rPr>
                <w:rFonts w:eastAsia="宋体"/>
                <w:color w:val="000000"/>
                <w:sz w:val="21"/>
                <w:szCs w:val="21"/>
              </w:rPr>
            </w:pPr>
            <w:r>
              <w:rPr>
                <w:rFonts w:hint="eastAsia" w:eastAsia="宋体"/>
                <w:sz w:val="21"/>
                <w:szCs w:val="21"/>
              </w:rPr>
              <w:t>电力、热力、燃气及水生产和供应业，交通运输、仓储和邮政业，信息传输、软件和信息技术服务业</w:t>
            </w:r>
          </w:p>
        </w:tc>
        <w:tc>
          <w:tcPr>
            <w:tcW w:w="13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412" w:firstLineChars="200"/>
              <w:jc w:val="center"/>
              <w:rPr>
                <w:rFonts w:eastAsia="宋体"/>
                <w:color w:val="000000"/>
                <w:sz w:val="21"/>
                <w:szCs w:val="21"/>
              </w:rPr>
            </w:pPr>
            <w:r>
              <w:rPr>
                <w:rFonts w:hint="eastAsia" w:eastAsia="宋体"/>
                <w:sz w:val="21"/>
                <w:szCs w:val="21"/>
              </w:rPr>
              <w:t>＞</w:t>
            </w:r>
            <w:r>
              <w:rPr>
                <w:rFonts w:eastAsia="宋体"/>
                <w:sz w:val="21"/>
                <w:szCs w:val="21"/>
              </w:rPr>
              <w:t>1000</w:t>
            </w: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412" w:firstLineChars="200"/>
              <w:jc w:val="center"/>
              <w:rPr>
                <w:rFonts w:eastAsia="宋体"/>
                <w:color w:val="000000"/>
                <w:sz w:val="21"/>
                <w:szCs w:val="21"/>
              </w:rPr>
            </w:pPr>
            <w:r>
              <w:rPr>
                <w:rFonts w:hint="eastAsia" w:eastAsia="宋体"/>
                <w:sz w:val="21"/>
                <w:szCs w:val="21"/>
              </w:rPr>
              <w:t>＜</w:t>
            </w:r>
            <w:r>
              <w:rPr>
                <w:rFonts w:eastAsia="宋体"/>
                <w:sz w:val="21"/>
                <w:szCs w:val="21"/>
              </w:rPr>
              <w:t>85</w:t>
            </w:r>
          </w:p>
        </w:tc>
        <w:tc>
          <w:tcPr>
            <w:tcW w:w="162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412" w:firstLineChars="200"/>
              <w:jc w:val="center"/>
              <w:rPr>
                <w:rFonts w:eastAsia="宋体"/>
                <w:color w:val="000000"/>
                <w:sz w:val="21"/>
                <w:szCs w:val="21"/>
              </w:rPr>
            </w:pPr>
            <w:r>
              <w:rPr>
                <w:rFonts w:hint="eastAsia" w:eastAsia="宋体"/>
                <w:sz w:val="21"/>
                <w:szCs w:val="21"/>
              </w:rPr>
              <w:t>＞</w:t>
            </w:r>
            <w:r>
              <w:rPr>
                <w:rFonts w:hint="eastAsia" w:eastAsia="宋体"/>
                <w:sz w:val="21"/>
                <w:szCs w:val="21"/>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4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left"/>
              <w:rPr>
                <w:rFonts w:eastAsia="宋体"/>
                <w:color w:val="000000"/>
                <w:sz w:val="21"/>
                <w:szCs w:val="21"/>
              </w:rPr>
            </w:pPr>
            <w:r>
              <w:rPr>
                <w:rFonts w:hint="eastAsia" w:eastAsia="宋体"/>
                <w:sz w:val="21"/>
                <w:szCs w:val="21"/>
              </w:rPr>
              <w:t>建筑业，水利、环境和公共设施管理业，综合</w:t>
            </w:r>
          </w:p>
        </w:tc>
        <w:tc>
          <w:tcPr>
            <w:tcW w:w="13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412" w:firstLineChars="200"/>
              <w:jc w:val="center"/>
              <w:rPr>
                <w:rFonts w:eastAsia="宋体"/>
                <w:color w:val="000000"/>
                <w:sz w:val="21"/>
                <w:szCs w:val="21"/>
              </w:rPr>
            </w:pPr>
            <w:r>
              <w:rPr>
                <w:rFonts w:hint="eastAsia" w:eastAsia="宋体"/>
                <w:sz w:val="21"/>
                <w:szCs w:val="21"/>
              </w:rPr>
              <w:t>＞</w:t>
            </w:r>
            <w:r>
              <w:rPr>
                <w:rFonts w:eastAsia="宋体"/>
                <w:sz w:val="21"/>
                <w:szCs w:val="21"/>
              </w:rPr>
              <w:t>1200</w:t>
            </w: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412" w:firstLineChars="200"/>
              <w:jc w:val="center"/>
              <w:rPr>
                <w:rFonts w:eastAsia="宋体"/>
                <w:color w:val="000000"/>
                <w:sz w:val="21"/>
                <w:szCs w:val="21"/>
              </w:rPr>
            </w:pPr>
            <w:r>
              <w:rPr>
                <w:rFonts w:hint="eastAsia" w:eastAsia="宋体"/>
                <w:sz w:val="21"/>
                <w:szCs w:val="21"/>
              </w:rPr>
              <w:t>＜</w:t>
            </w:r>
            <w:r>
              <w:rPr>
                <w:rFonts w:eastAsia="宋体"/>
                <w:sz w:val="21"/>
                <w:szCs w:val="21"/>
              </w:rPr>
              <w:t>85</w:t>
            </w:r>
          </w:p>
        </w:tc>
        <w:tc>
          <w:tcPr>
            <w:tcW w:w="162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412" w:firstLineChars="200"/>
              <w:jc w:val="center"/>
              <w:rPr>
                <w:rFonts w:eastAsia="宋体"/>
                <w:color w:val="000000"/>
                <w:sz w:val="21"/>
                <w:szCs w:val="21"/>
              </w:rPr>
            </w:pPr>
            <w:r>
              <w:rPr>
                <w:rFonts w:hint="eastAsia" w:eastAsia="宋体"/>
                <w:sz w:val="21"/>
                <w:szCs w:val="21"/>
              </w:rPr>
              <w:t>＞</w:t>
            </w:r>
            <w:r>
              <w:rPr>
                <w:rFonts w:hint="eastAsia" w:eastAsia="宋体"/>
                <w:sz w:val="21"/>
                <w:szCs w:val="21"/>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4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left"/>
              <w:rPr>
                <w:rFonts w:eastAsia="宋体"/>
                <w:color w:val="000000"/>
                <w:sz w:val="21"/>
                <w:szCs w:val="21"/>
              </w:rPr>
            </w:pPr>
            <w:r>
              <w:rPr>
                <w:rFonts w:hint="eastAsia" w:eastAsia="宋体"/>
                <w:sz w:val="21"/>
                <w:szCs w:val="21"/>
              </w:rPr>
              <w:t>制造业，采矿业，科学研究和技术服务业</w:t>
            </w:r>
          </w:p>
        </w:tc>
        <w:tc>
          <w:tcPr>
            <w:tcW w:w="13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412" w:firstLineChars="200"/>
              <w:jc w:val="center"/>
              <w:rPr>
                <w:rFonts w:eastAsia="宋体"/>
                <w:color w:val="000000"/>
                <w:sz w:val="21"/>
                <w:szCs w:val="21"/>
              </w:rPr>
            </w:pPr>
            <w:r>
              <w:rPr>
                <w:rFonts w:hint="eastAsia" w:eastAsia="宋体"/>
                <w:sz w:val="21"/>
                <w:szCs w:val="21"/>
              </w:rPr>
              <w:t>＞</w:t>
            </w:r>
            <w:r>
              <w:rPr>
                <w:rFonts w:eastAsia="宋体"/>
                <w:sz w:val="21"/>
                <w:szCs w:val="21"/>
              </w:rPr>
              <w:t>1000</w:t>
            </w: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412" w:firstLineChars="200"/>
              <w:jc w:val="center"/>
              <w:rPr>
                <w:rFonts w:eastAsia="宋体"/>
                <w:color w:val="000000"/>
                <w:sz w:val="21"/>
                <w:szCs w:val="21"/>
              </w:rPr>
            </w:pPr>
            <w:r>
              <w:rPr>
                <w:rFonts w:hint="eastAsia" w:eastAsia="宋体"/>
                <w:sz w:val="21"/>
                <w:szCs w:val="21"/>
              </w:rPr>
              <w:t>＜</w:t>
            </w:r>
            <w:r>
              <w:rPr>
                <w:rFonts w:eastAsia="宋体"/>
                <w:sz w:val="21"/>
                <w:szCs w:val="21"/>
              </w:rPr>
              <w:t>80</w:t>
            </w:r>
          </w:p>
        </w:tc>
        <w:tc>
          <w:tcPr>
            <w:tcW w:w="162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412" w:firstLineChars="200"/>
              <w:jc w:val="center"/>
              <w:rPr>
                <w:rFonts w:eastAsia="宋体"/>
                <w:color w:val="000000"/>
                <w:sz w:val="21"/>
                <w:szCs w:val="21"/>
              </w:rPr>
            </w:pPr>
            <w:r>
              <w:rPr>
                <w:rFonts w:hint="eastAsia" w:eastAsia="宋体"/>
                <w:sz w:val="21"/>
                <w:szCs w:val="21"/>
              </w:rPr>
              <w:t>＞</w:t>
            </w:r>
            <w:r>
              <w:rPr>
                <w:rFonts w:hint="eastAsia" w:eastAsia="宋体"/>
                <w:sz w:val="21"/>
                <w:szCs w:val="21"/>
                <w:lang w:val="en-US" w:eastAsia="zh-CN"/>
              </w:rPr>
              <w:t>2.5</w:t>
            </w:r>
          </w:p>
        </w:tc>
      </w:tr>
    </w:tbl>
    <w:p>
      <w:pPr>
        <w:adjustRightInd w:val="0"/>
        <w:snapToGrid w:val="0"/>
        <w:spacing w:line="360" w:lineRule="exact"/>
        <w:ind w:firstLine="412" w:firstLineChars="200"/>
        <w:rPr>
          <w:rFonts w:eastAsia="宋体"/>
          <w:color w:val="000000"/>
          <w:sz w:val="21"/>
          <w:szCs w:val="21"/>
        </w:rPr>
      </w:pPr>
      <w:r>
        <w:rPr>
          <w:rFonts w:hint="eastAsia" w:eastAsia="宋体"/>
          <w:b/>
          <w:bCs/>
          <w:sz w:val="21"/>
          <w:szCs w:val="21"/>
        </w:rPr>
        <w:t>注：</w:t>
      </w:r>
    </w:p>
    <w:p>
      <w:pPr>
        <w:adjustRightInd w:val="0"/>
        <w:snapToGrid w:val="0"/>
        <w:spacing w:line="360" w:lineRule="exact"/>
        <w:ind w:firstLine="412" w:firstLineChars="200"/>
        <w:rPr>
          <w:rFonts w:eastAsia="宋体"/>
          <w:sz w:val="21"/>
          <w:szCs w:val="21"/>
        </w:rPr>
      </w:pPr>
      <w:r>
        <w:rPr>
          <w:rFonts w:eastAsia="宋体"/>
          <w:sz w:val="21"/>
          <w:szCs w:val="21"/>
        </w:rPr>
        <w:t>1.</w:t>
      </w:r>
      <w:r>
        <w:rPr>
          <w:rFonts w:hint="eastAsia" w:eastAsia="宋体"/>
          <w:sz w:val="21"/>
          <w:szCs w:val="21"/>
        </w:rPr>
        <w:t>发行人应当参照《中国上市公司协会上市公司行业统计分类指引》确认所属行业。</w:t>
      </w:r>
    </w:p>
    <w:p>
      <w:pPr>
        <w:adjustRightInd w:val="0"/>
        <w:snapToGrid w:val="0"/>
        <w:spacing w:line="360" w:lineRule="exact"/>
        <w:ind w:firstLine="412" w:firstLineChars="200"/>
        <w:rPr>
          <w:rFonts w:eastAsia="宋体"/>
          <w:sz w:val="21"/>
          <w:szCs w:val="21"/>
        </w:rPr>
      </w:pPr>
      <w:r>
        <w:rPr>
          <w:rFonts w:eastAsia="宋体"/>
          <w:sz w:val="21"/>
          <w:szCs w:val="21"/>
        </w:rPr>
        <w:t>2.</w:t>
      </w:r>
      <w:r>
        <w:rPr>
          <w:rFonts w:hint="eastAsia" w:eastAsia="宋体"/>
          <w:sz w:val="21"/>
          <w:szCs w:val="21"/>
        </w:rPr>
        <w:t>资产总额、资产负债率、总资产报酬率应当按企业最近一年经审计的财务数据进行计算，或者按最近三年经审计的财务数据分别进行计算后取平均值，两者按孰优原则选择。其中，总资产报酬率（</w:t>
      </w:r>
      <w:r>
        <w:rPr>
          <w:rFonts w:eastAsia="宋体"/>
          <w:sz w:val="21"/>
          <w:szCs w:val="21"/>
        </w:rPr>
        <w:t>%</w:t>
      </w:r>
      <w:r>
        <w:rPr>
          <w:rFonts w:hint="eastAsia" w:eastAsia="宋体"/>
          <w:sz w:val="21"/>
          <w:szCs w:val="21"/>
        </w:rPr>
        <w:t>）</w:t>
      </w:r>
      <w:r>
        <w:rPr>
          <w:rFonts w:eastAsia="宋体"/>
          <w:sz w:val="21"/>
          <w:szCs w:val="21"/>
        </w:rPr>
        <w:t>=EBIT</w:t>
      </w:r>
      <w:r>
        <w:rPr>
          <w:rFonts w:hint="eastAsia" w:eastAsia="宋体"/>
          <w:sz w:val="21"/>
          <w:szCs w:val="21"/>
        </w:rPr>
        <w:t>（息税前盈余）</w:t>
      </w:r>
      <w:r>
        <w:rPr>
          <w:rFonts w:eastAsia="宋体"/>
          <w:sz w:val="21"/>
          <w:szCs w:val="21"/>
        </w:rPr>
        <w:t>/</w:t>
      </w:r>
      <w:r>
        <w:rPr>
          <w:rFonts w:hint="eastAsia" w:eastAsia="宋体"/>
          <w:sz w:val="21"/>
          <w:szCs w:val="21"/>
        </w:rPr>
        <w:t>总资产平均余额</w:t>
      </w:r>
      <w:r>
        <w:rPr>
          <w:rFonts w:eastAsia="宋体"/>
          <w:sz w:val="21"/>
          <w:szCs w:val="21"/>
        </w:rPr>
        <w:t>×100%</w:t>
      </w:r>
      <w:r>
        <w:rPr>
          <w:rFonts w:hint="eastAsia" w:eastAsia="宋体"/>
          <w:sz w:val="21"/>
          <w:szCs w:val="21"/>
        </w:rPr>
        <w:t>；</w:t>
      </w:r>
      <w:r>
        <w:rPr>
          <w:rFonts w:eastAsia="宋体"/>
          <w:sz w:val="21"/>
          <w:szCs w:val="21"/>
        </w:rPr>
        <w:t>EBIT=</w:t>
      </w:r>
      <w:r>
        <w:rPr>
          <w:rFonts w:hint="eastAsia" w:eastAsia="宋体"/>
          <w:sz w:val="21"/>
          <w:szCs w:val="21"/>
        </w:rPr>
        <w:t>利润总额</w:t>
      </w:r>
      <w:r>
        <w:rPr>
          <w:rFonts w:eastAsia="宋体"/>
          <w:sz w:val="21"/>
          <w:szCs w:val="21"/>
        </w:rPr>
        <w:t>+</w:t>
      </w:r>
      <w:r>
        <w:rPr>
          <w:rFonts w:hint="eastAsia" w:eastAsia="宋体"/>
          <w:sz w:val="21"/>
          <w:szCs w:val="21"/>
        </w:rPr>
        <w:t>费用化利息支出。</w:t>
      </w:r>
    </w:p>
    <w:p>
      <w:pPr>
        <w:adjustRightInd w:val="0"/>
        <w:snapToGrid w:val="0"/>
        <w:spacing w:line="360" w:lineRule="exact"/>
        <w:ind w:firstLine="412" w:firstLineChars="200"/>
        <w:rPr>
          <w:rFonts w:hint="eastAsia" w:eastAsia="宋体"/>
          <w:sz w:val="21"/>
          <w:szCs w:val="21"/>
          <w:lang w:eastAsia="zh-CN"/>
        </w:rPr>
      </w:pPr>
      <w:bookmarkStart w:id="0" w:name="_Hlk102592507"/>
      <w:r>
        <w:rPr>
          <w:rFonts w:eastAsia="宋体"/>
          <w:sz w:val="21"/>
          <w:szCs w:val="21"/>
        </w:rPr>
        <w:t>3.</w:t>
      </w:r>
      <w:r>
        <w:rPr>
          <w:rFonts w:hint="eastAsia" w:eastAsia="宋体"/>
          <w:sz w:val="21"/>
          <w:szCs w:val="21"/>
          <w:lang w:eastAsia="zh-CN"/>
        </w:rPr>
        <w:t>发行人符合下列条件之一的，经本所审慎确认后，资产负债率或者总资产报酬率其一符合上表中分行业经营财务指标要求即可，但总资产报酬率应当不低于1.5%：</w:t>
      </w:r>
    </w:p>
    <w:p>
      <w:pPr>
        <w:adjustRightInd w:val="0"/>
        <w:snapToGrid w:val="0"/>
        <w:spacing w:line="360" w:lineRule="exact"/>
        <w:ind w:firstLine="412" w:firstLineChars="200"/>
        <w:rPr>
          <w:rFonts w:eastAsia="宋体"/>
          <w:sz w:val="21"/>
          <w:szCs w:val="21"/>
        </w:rPr>
      </w:pPr>
      <w:r>
        <w:rPr>
          <w:rFonts w:hint="eastAsia" w:eastAsia="宋体"/>
          <w:sz w:val="21"/>
          <w:szCs w:val="21"/>
          <w:lang w:eastAsia="zh-CN"/>
        </w:rPr>
        <w:t>（</w:t>
      </w:r>
      <w:r>
        <w:rPr>
          <w:rFonts w:hint="eastAsia" w:eastAsia="宋体"/>
          <w:sz w:val="21"/>
          <w:szCs w:val="21"/>
          <w:lang w:val="en-US" w:eastAsia="zh-CN"/>
        </w:rPr>
        <w:t>1</w:t>
      </w:r>
      <w:r>
        <w:rPr>
          <w:rFonts w:hint="eastAsia" w:eastAsia="宋体"/>
          <w:sz w:val="21"/>
          <w:szCs w:val="21"/>
          <w:lang w:eastAsia="zh-CN"/>
        </w:rPr>
        <w:t>）</w:t>
      </w:r>
      <w:r>
        <w:rPr>
          <w:rFonts w:hint="eastAsia" w:eastAsia="宋体"/>
          <w:sz w:val="21"/>
          <w:szCs w:val="21"/>
        </w:rPr>
        <w:t>资产规模</w:t>
      </w:r>
      <w:r>
        <w:rPr>
          <w:rFonts w:hint="eastAsia" w:eastAsia="宋体"/>
          <w:sz w:val="21"/>
          <w:szCs w:val="21"/>
          <w:lang w:eastAsia="zh-CN"/>
        </w:rPr>
        <w:t>不少于</w:t>
      </w:r>
      <w:r>
        <w:rPr>
          <w:rFonts w:hint="eastAsia" w:eastAsia="宋体"/>
          <w:sz w:val="21"/>
          <w:szCs w:val="21"/>
          <w:lang w:val="en-US" w:eastAsia="zh-CN"/>
        </w:rPr>
        <w:t>2,500</w:t>
      </w:r>
      <w:r>
        <w:rPr>
          <w:rFonts w:hint="eastAsia" w:eastAsia="宋体"/>
          <w:sz w:val="21"/>
          <w:szCs w:val="21"/>
        </w:rPr>
        <w:t>亿元</w:t>
      </w:r>
      <w:r>
        <w:rPr>
          <w:rFonts w:hint="eastAsia" w:eastAsia="宋体"/>
          <w:sz w:val="21"/>
          <w:szCs w:val="21"/>
          <w:lang w:eastAsia="zh-CN"/>
        </w:rPr>
        <w:t>；</w:t>
      </w:r>
      <w:bookmarkEnd w:id="0"/>
    </w:p>
    <w:p>
      <w:pPr>
        <w:adjustRightInd w:val="0"/>
        <w:snapToGrid w:val="0"/>
        <w:spacing w:line="360" w:lineRule="exact"/>
        <w:ind w:firstLine="412" w:firstLineChars="200"/>
        <w:rPr>
          <w:rFonts w:hint="eastAsia" w:eastAsia="宋体"/>
          <w:sz w:val="21"/>
          <w:szCs w:val="21"/>
        </w:rPr>
      </w:pPr>
      <w:r>
        <w:rPr>
          <w:rFonts w:hint="eastAsia" w:eastAsia="宋体"/>
          <w:sz w:val="21"/>
          <w:szCs w:val="21"/>
          <w:lang w:eastAsia="zh-CN"/>
        </w:rPr>
        <w:t>（</w:t>
      </w:r>
      <w:r>
        <w:rPr>
          <w:rFonts w:hint="eastAsia" w:eastAsia="宋体"/>
          <w:sz w:val="21"/>
          <w:szCs w:val="21"/>
          <w:lang w:val="en-US" w:eastAsia="zh-CN"/>
        </w:rPr>
        <w:t>2</w:t>
      </w:r>
      <w:r>
        <w:rPr>
          <w:rFonts w:hint="eastAsia" w:eastAsia="宋体"/>
          <w:sz w:val="21"/>
          <w:szCs w:val="21"/>
          <w:lang w:eastAsia="zh-CN"/>
        </w:rPr>
        <w:t>）</w:t>
      </w:r>
      <w:r>
        <w:rPr>
          <w:rFonts w:hint="eastAsia" w:eastAsia="宋体"/>
          <w:sz w:val="21"/>
          <w:szCs w:val="21"/>
        </w:rPr>
        <w:t>由中国证监会派出机构或</w:t>
      </w:r>
      <w:r>
        <w:rPr>
          <w:rFonts w:hint="eastAsia" w:eastAsia="宋体"/>
          <w:sz w:val="21"/>
          <w:szCs w:val="21"/>
          <w:lang w:eastAsia="zh-CN"/>
        </w:rPr>
        <w:t>者</w:t>
      </w:r>
      <w:r>
        <w:rPr>
          <w:rFonts w:hint="eastAsia" w:eastAsia="宋体"/>
          <w:sz w:val="21"/>
          <w:szCs w:val="21"/>
        </w:rPr>
        <w:t>省级政府主管部门推荐并经本所认可，且资产总额满足分行业经营财务指标要求的企业。</w:t>
      </w:r>
    </w:p>
    <w:p>
      <w:pPr>
        <w:spacing w:line="560" w:lineRule="exact"/>
        <w:ind w:firstLine="0" w:firstLineChars="0"/>
        <w:outlineLvl w:val="0"/>
        <w:rPr>
          <w:rFonts w:hint="eastAsia"/>
          <w:b w:val="0"/>
          <w:bCs/>
          <w:szCs w:val="32"/>
          <w:lang w:val="en-US" w:eastAsia="zh-CN"/>
        </w:rPr>
      </w:pPr>
      <w:r>
        <w:rPr>
          <w:rFonts w:hint="eastAsia" w:eastAsia="宋体"/>
          <w:sz w:val="21"/>
          <w:szCs w:val="21"/>
        </w:rPr>
        <w:br w:type="page"/>
      </w:r>
      <w:r>
        <w:rPr>
          <w:rFonts w:hint="eastAsia" w:ascii="黑体" w:hAnsi="黑体" w:eastAsia="黑体" w:cs="黑体"/>
          <w:b w:val="0"/>
          <w:bCs/>
          <w:szCs w:val="32"/>
        </w:rPr>
        <w:t>附</w:t>
      </w:r>
      <w:r>
        <w:rPr>
          <w:rFonts w:hint="eastAsia" w:ascii="黑体" w:hAnsi="黑体" w:eastAsia="黑体" w:cs="黑体"/>
          <w:b w:val="0"/>
          <w:bCs/>
          <w:szCs w:val="32"/>
          <w:lang w:eastAsia="zh-CN"/>
        </w:rPr>
        <w:t>件</w:t>
      </w:r>
      <w:r>
        <w:rPr>
          <w:rFonts w:hint="eastAsia" w:ascii="黑体" w:hAnsi="黑体" w:eastAsia="黑体" w:cs="黑体"/>
          <w:b w:val="0"/>
          <w:bCs/>
          <w:szCs w:val="32"/>
          <w:lang w:val="en-US" w:eastAsia="zh-CN"/>
        </w:rPr>
        <w:t>二</w:t>
      </w:r>
    </w:p>
    <w:p>
      <w:pPr>
        <w:spacing w:line="560" w:lineRule="exact"/>
        <w:ind w:firstLine="0" w:firstLineChars="0"/>
        <w:outlineLvl w:val="9"/>
        <w:rPr>
          <w:rFonts w:hint="eastAsia"/>
          <w:b w:val="0"/>
          <w:bCs/>
          <w:szCs w:val="32"/>
          <w:lang w:val="en-US" w:eastAsia="zh-CN"/>
        </w:rPr>
      </w:pPr>
    </w:p>
    <w:p>
      <w:pPr>
        <w:spacing w:line="560" w:lineRule="exact"/>
        <w:ind w:firstLine="0" w:firstLineChars="0"/>
        <w:jc w:val="center"/>
        <w:outlineLvl w:val="0"/>
        <w:rPr>
          <w:rFonts w:hint="eastAsia"/>
          <w:b w:val="0"/>
          <w:bCs/>
          <w:sz w:val="44"/>
          <w:szCs w:val="44"/>
          <w:lang w:eastAsia="zh-CN"/>
        </w:rPr>
      </w:pPr>
      <w:r>
        <w:rPr>
          <w:rFonts w:hint="eastAsia" w:ascii="方正小标宋简体" w:hAnsi="方正小标宋简体" w:eastAsia="方正小标宋简体" w:cs="方正小标宋简体"/>
          <w:b w:val="0"/>
          <w:bCs/>
          <w:sz w:val="44"/>
          <w:szCs w:val="44"/>
        </w:rPr>
        <w:t>××公司关于确认适用优化审核安排的说明（参考格式</w:t>
      </w:r>
      <w:r>
        <w:rPr>
          <w:rFonts w:hint="eastAsia" w:ascii="方正小标宋简体" w:hAnsi="方正小标宋简体" w:eastAsia="方正小标宋简体" w:cs="方正小标宋简体"/>
          <w:b w:val="0"/>
          <w:bCs/>
          <w:sz w:val="44"/>
          <w:szCs w:val="44"/>
          <w:lang w:eastAsia="zh-CN"/>
        </w:rPr>
        <w:t>）</w:t>
      </w:r>
    </w:p>
    <w:p>
      <w:pPr>
        <w:adjustRightInd w:val="0"/>
        <w:snapToGrid w:val="0"/>
        <w:spacing w:line="540" w:lineRule="exact"/>
        <w:ind w:firstLine="0" w:firstLineChars="0"/>
        <w:jc w:val="center"/>
        <w:rPr>
          <w:rFonts w:ascii="方正大标宋简体" w:eastAsia="方正大标宋简体"/>
          <w:color w:val="000000"/>
          <w:sz w:val="42"/>
          <w:szCs w:val="42"/>
        </w:rPr>
      </w:pPr>
    </w:p>
    <w:p>
      <w:pPr>
        <w:adjustRightInd w:val="0"/>
        <w:snapToGrid w:val="0"/>
        <w:spacing w:line="560" w:lineRule="exact"/>
        <w:ind w:firstLine="0" w:firstLineChars="0"/>
        <w:rPr>
          <w:rFonts w:hint="eastAsia" w:ascii="仿宋" w:hAnsi="仿宋" w:eastAsia="仿宋" w:cs="仿宋"/>
          <w:bCs/>
          <w:color w:val="000000"/>
          <w:sz w:val="32"/>
          <w:szCs w:val="32"/>
        </w:rPr>
      </w:pPr>
      <w:r>
        <w:rPr>
          <w:rFonts w:hint="eastAsia" w:ascii="仿宋" w:hAnsi="仿宋" w:eastAsia="仿宋" w:cs="仿宋"/>
          <w:bCs/>
          <w:color w:val="000000"/>
          <w:sz w:val="32"/>
          <w:szCs w:val="32"/>
        </w:rPr>
        <w:t>深圳证券交易所：</w:t>
      </w:r>
    </w:p>
    <w:p>
      <w:pPr>
        <w:adjustRightInd w:val="0"/>
        <w:snapToGrid w:val="0"/>
        <w:spacing w:line="560" w:lineRule="exact"/>
        <w:ind w:firstLine="632"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根据《深圳证券交易所公司债券发行上市审核业务指引第3号——优化审核安排》规定，我公司符合深圳证券交易所公司债券优化审核安排的适用条件，现来函说明。</w:t>
      </w:r>
    </w:p>
    <w:p>
      <w:pPr>
        <w:adjustRightInd w:val="0"/>
        <w:snapToGrid w:val="0"/>
        <w:spacing w:line="560" w:lineRule="exact"/>
        <w:ind w:firstLine="632" w:firstLineChars="200"/>
        <w:rPr>
          <w:rFonts w:hint="eastAsia" w:ascii="黑体" w:hAnsi="黑体" w:eastAsia="黑体"/>
          <w:b w:val="0"/>
          <w:bCs/>
          <w:color w:val="000000"/>
          <w:sz w:val="32"/>
          <w:szCs w:val="32"/>
        </w:rPr>
      </w:pPr>
      <w:r>
        <w:rPr>
          <w:rFonts w:hint="eastAsia" w:ascii="黑体" w:hAnsi="黑体" w:eastAsia="黑体"/>
          <w:b w:val="0"/>
          <w:bCs/>
          <w:color w:val="000000"/>
          <w:sz w:val="32"/>
          <w:szCs w:val="32"/>
        </w:rPr>
        <w:t>一、公司基本情况</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1"/>
        <w:gridCol w:w="6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1673"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r>
              <w:rPr>
                <w:rFonts w:hint="eastAsia" w:ascii="仿宋" w:hAnsi="仿宋" w:eastAsia="仿宋" w:cs="仿宋"/>
                <w:color w:val="000000"/>
                <w:sz w:val="21"/>
                <w:szCs w:val="21"/>
              </w:rPr>
              <w:t>中文名称</w:t>
            </w:r>
          </w:p>
        </w:tc>
        <w:tc>
          <w:tcPr>
            <w:tcW w:w="3327"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1673"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r>
              <w:rPr>
                <w:rFonts w:hint="eastAsia" w:ascii="仿宋" w:hAnsi="仿宋" w:eastAsia="仿宋" w:cs="仿宋"/>
                <w:color w:val="000000"/>
                <w:sz w:val="21"/>
                <w:szCs w:val="21"/>
              </w:rPr>
              <w:t>法定代表人</w:t>
            </w:r>
          </w:p>
        </w:tc>
        <w:tc>
          <w:tcPr>
            <w:tcW w:w="3327"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1673"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r>
              <w:rPr>
                <w:rFonts w:hint="eastAsia" w:ascii="仿宋" w:hAnsi="仿宋" w:eastAsia="仿宋" w:cs="仿宋"/>
                <w:color w:val="000000"/>
                <w:sz w:val="21"/>
                <w:szCs w:val="21"/>
              </w:rPr>
              <w:t>注册资本</w:t>
            </w:r>
          </w:p>
        </w:tc>
        <w:tc>
          <w:tcPr>
            <w:tcW w:w="3327"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1673"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r>
              <w:rPr>
                <w:rFonts w:hint="eastAsia" w:ascii="仿宋" w:hAnsi="仿宋" w:eastAsia="仿宋" w:cs="仿宋"/>
                <w:color w:val="000000"/>
                <w:sz w:val="21"/>
                <w:szCs w:val="21"/>
              </w:rPr>
              <w:t>成立日期</w:t>
            </w:r>
          </w:p>
        </w:tc>
        <w:tc>
          <w:tcPr>
            <w:tcW w:w="3327"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1673"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统一社会信用代码</w:t>
            </w:r>
          </w:p>
        </w:tc>
        <w:tc>
          <w:tcPr>
            <w:tcW w:w="3327"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1673"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r>
              <w:rPr>
                <w:rFonts w:hint="eastAsia" w:ascii="仿宋" w:hAnsi="仿宋" w:eastAsia="仿宋" w:cs="仿宋"/>
                <w:color w:val="000000"/>
                <w:sz w:val="21"/>
                <w:szCs w:val="21"/>
              </w:rPr>
              <w:t>住所</w:t>
            </w:r>
          </w:p>
        </w:tc>
        <w:tc>
          <w:tcPr>
            <w:tcW w:w="3327"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1673"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r>
              <w:rPr>
                <w:rFonts w:hint="eastAsia" w:ascii="仿宋" w:hAnsi="仿宋" w:eastAsia="仿宋" w:cs="仿宋"/>
                <w:color w:val="000000"/>
                <w:sz w:val="21"/>
                <w:szCs w:val="21"/>
              </w:rPr>
              <w:t>所属行业</w:t>
            </w:r>
          </w:p>
        </w:tc>
        <w:tc>
          <w:tcPr>
            <w:tcW w:w="3327"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参照《中国上市公司协会上市公司行业统计分类指引》确认所属行业</w:t>
            </w:r>
            <w:r>
              <w:rPr>
                <w:rFonts w:hint="eastAsia" w:ascii="仿宋" w:hAnsi="仿宋" w:eastAsia="仿宋" w:cs="仿宋"/>
                <w:color w:val="00000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1673"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控股股东</w:t>
            </w:r>
          </w:p>
        </w:tc>
        <w:tc>
          <w:tcPr>
            <w:tcW w:w="3327"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1673"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r>
              <w:rPr>
                <w:rFonts w:hint="eastAsia" w:ascii="仿宋" w:hAnsi="仿宋" w:eastAsia="仿宋" w:cs="仿宋"/>
                <w:color w:val="000000"/>
                <w:sz w:val="21"/>
                <w:szCs w:val="21"/>
              </w:rPr>
              <w:t>实际控制人</w:t>
            </w:r>
          </w:p>
        </w:tc>
        <w:tc>
          <w:tcPr>
            <w:tcW w:w="3327"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1673"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r>
              <w:rPr>
                <w:rFonts w:hint="eastAsia" w:ascii="仿宋" w:hAnsi="仿宋" w:eastAsia="仿宋" w:cs="仿宋"/>
                <w:color w:val="000000"/>
                <w:sz w:val="21"/>
                <w:szCs w:val="21"/>
              </w:rPr>
              <w:t>主营业务概述</w:t>
            </w:r>
          </w:p>
        </w:tc>
        <w:tc>
          <w:tcPr>
            <w:tcW w:w="3327"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1673"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r>
              <w:rPr>
                <w:rFonts w:hint="eastAsia" w:ascii="仿宋" w:hAnsi="仿宋" w:eastAsia="仿宋" w:cs="仿宋"/>
                <w:color w:val="000000"/>
                <w:sz w:val="21"/>
                <w:szCs w:val="21"/>
              </w:rPr>
              <w:t>融资业务联系人及联系方式</w:t>
            </w:r>
          </w:p>
        </w:tc>
        <w:tc>
          <w:tcPr>
            <w:tcW w:w="3327"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1673"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r>
              <w:rPr>
                <w:rFonts w:hint="eastAsia" w:ascii="仿宋" w:hAnsi="仿宋" w:cs="仿宋"/>
                <w:color w:val="000000"/>
                <w:sz w:val="21"/>
                <w:szCs w:val="21"/>
              </w:rPr>
              <w:t>在其他交易场所取得优质发行人或类似资质的情况</w:t>
            </w:r>
          </w:p>
        </w:tc>
        <w:tc>
          <w:tcPr>
            <w:tcW w:w="3327"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1673"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r>
              <w:rPr>
                <w:rFonts w:hint="eastAsia" w:ascii="仿宋" w:hAnsi="仿宋" w:cs="仿宋"/>
                <w:color w:val="000000"/>
                <w:sz w:val="21"/>
                <w:szCs w:val="21"/>
              </w:rPr>
              <w:t>所属集团体系内其他企业申请知名成熟发行人情况</w:t>
            </w:r>
          </w:p>
        </w:tc>
        <w:tc>
          <w:tcPr>
            <w:tcW w:w="3327" w:type="pct"/>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r>
    </w:tbl>
    <w:p>
      <w:pPr>
        <w:adjustRightInd w:val="0"/>
        <w:snapToGrid w:val="0"/>
        <w:spacing w:line="560" w:lineRule="exact"/>
        <w:ind w:firstLine="632" w:firstLineChars="200"/>
        <w:rPr>
          <w:rFonts w:hint="eastAsia" w:ascii="黑体" w:hAnsi="黑体" w:eastAsia="黑体"/>
          <w:b w:val="0"/>
          <w:bCs/>
          <w:color w:val="000000"/>
          <w:sz w:val="32"/>
          <w:szCs w:val="32"/>
        </w:rPr>
      </w:pPr>
      <w:r>
        <w:rPr>
          <w:rFonts w:hint="eastAsia" w:ascii="黑体" w:hAnsi="黑体" w:eastAsia="黑体"/>
          <w:b w:val="0"/>
          <w:bCs/>
          <w:color w:val="000000"/>
          <w:sz w:val="32"/>
          <w:szCs w:val="32"/>
        </w:rPr>
        <w:t>二、公司主要财务数据和财务指标</w:t>
      </w:r>
    </w:p>
    <w:tbl>
      <w:tblPr>
        <w:tblStyle w:val="16"/>
        <w:tblW w:w="48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5"/>
        <w:gridCol w:w="1401"/>
        <w:gridCol w:w="1401"/>
        <w:gridCol w:w="1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tblHeader/>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财务数据及指标</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center"/>
              <w:rPr>
                <w:rFonts w:hint="eastAsia" w:ascii="仿宋" w:hAnsi="仿宋" w:eastAsia="仿宋" w:cs="仿宋"/>
                <w:b/>
                <w:color w:val="000000"/>
                <w:sz w:val="21"/>
                <w:szCs w:val="21"/>
                <w:lang w:eastAsia="zh-CN"/>
              </w:rPr>
            </w:pPr>
            <w:r>
              <w:rPr>
                <w:rFonts w:hint="eastAsia" w:ascii="仿宋" w:hAnsi="仿宋" w:eastAsia="仿宋" w:cs="仿宋"/>
                <w:b/>
                <w:color w:val="000000"/>
                <w:sz w:val="21"/>
                <w:szCs w:val="21"/>
              </w:rPr>
              <w:t>XX年</w:t>
            </w:r>
            <w:r>
              <w:rPr>
                <w:rFonts w:hint="eastAsia" w:ascii="仿宋" w:hAnsi="仿宋" w:cs="仿宋"/>
                <w:b/>
                <w:color w:val="000000"/>
                <w:sz w:val="21"/>
                <w:szCs w:val="21"/>
                <w:lang w:eastAsia="zh-CN"/>
              </w:rPr>
              <w:t>（</w:t>
            </w:r>
            <w:r>
              <w:rPr>
                <w:rFonts w:hint="eastAsia" w:ascii="仿宋" w:hAnsi="仿宋" w:eastAsia="仿宋" w:cs="仿宋"/>
                <w:b/>
                <w:color w:val="000000"/>
                <w:sz w:val="21"/>
                <w:szCs w:val="21"/>
              </w:rPr>
              <w:t>末</w:t>
            </w:r>
            <w:r>
              <w:rPr>
                <w:rFonts w:hint="eastAsia" w:ascii="仿宋" w:hAnsi="仿宋" w:cs="仿宋"/>
                <w:b/>
                <w:color w:val="000000"/>
                <w:sz w:val="21"/>
                <w:szCs w:val="21"/>
                <w:lang w:eastAsia="zh-CN"/>
              </w:rPr>
              <w:t>）</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240" w:lineRule="auto"/>
              <w:ind w:firstLine="0" w:firstLineChars="0"/>
              <w:jc w:val="center"/>
              <w:rPr>
                <w:rFonts w:hint="eastAsia" w:ascii="仿宋" w:hAnsi="仿宋" w:eastAsia="仿宋" w:cs="仿宋"/>
                <w:b/>
                <w:color w:val="000000"/>
                <w:sz w:val="21"/>
                <w:szCs w:val="21"/>
                <w:lang w:eastAsia="zh-CN"/>
              </w:rPr>
            </w:pPr>
            <w:r>
              <w:rPr>
                <w:rFonts w:hint="eastAsia" w:ascii="仿宋" w:hAnsi="仿宋" w:eastAsia="仿宋" w:cs="仿宋"/>
                <w:b/>
                <w:color w:val="000000"/>
                <w:sz w:val="21"/>
                <w:szCs w:val="21"/>
              </w:rPr>
              <w:t>XX年</w:t>
            </w:r>
            <w:r>
              <w:rPr>
                <w:rFonts w:hint="eastAsia" w:ascii="仿宋" w:hAnsi="仿宋" w:cs="仿宋"/>
                <w:b/>
                <w:color w:val="000000"/>
                <w:sz w:val="21"/>
                <w:szCs w:val="21"/>
                <w:lang w:eastAsia="zh-CN"/>
              </w:rPr>
              <w:t>（</w:t>
            </w:r>
            <w:r>
              <w:rPr>
                <w:rFonts w:hint="eastAsia" w:ascii="仿宋" w:hAnsi="仿宋" w:eastAsia="仿宋" w:cs="仿宋"/>
                <w:b/>
                <w:color w:val="000000"/>
                <w:sz w:val="21"/>
                <w:szCs w:val="21"/>
              </w:rPr>
              <w:t>末</w:t>
            </w:r>
            <w:r>
              <w:rPr>
                <w:rFonts w:hint="eastAsia" w:ascii="仿宋" w:hAnsi="仿宋" w:cs="仿宋"/>
                <w:b/>
                <w:color w:val="000000"/>
                <w:sz w:val="21"/>
                <w:szCs w:val="21"/>
                <w:lang w:eastAsia="zh-CN"/>
              </w:rPr>
              <w:t>）</w:t>
            </w: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tabs>
                <w:tab w:val="center" w:pos="4153"/>
                <w:tab w:val="right" w:pos="8306"/>
              </w:tabs>
              <w:adjustRightInd w:val="0"/>
              <w:snapToGrid w:val="0"/>
              <w:spacing w:line="240" w:lineRule="auto"/>
              <w:ind w:firstLine="0" w:firstLineChars="0"/>
              <w:jc w:val="center"/>
              <w:rPr>
                <w:rFonts w:hint="eastAsia" w:ascii="仿宋" w:hAnsi="仿宋" w:eastAsia="仿宋" w:cs="仿宋"/>
                <w:b/>
                <w:color w:val="000000"/>
                <w:sz w:val="21"/>
                <w:szCs w:val="21"/>
                <w:lang w:eastAsia="zh-CN"/>
              </w:rPr>
            </w:pPr>
            <w:r>
              <w:rPr>
                <w:rFonts w:hint="eastAsia" w:ascii="仿宋" w:hAnsi="仿宋" w:eastAsia="仿宋" w:cs="仿宋"/>
                <w:b/>
                <w:color w:val="000000"/>
                <w:sz w:val="21"/>
                <w:szCs w:val="21"/>
              </w:rPr>
              <w:t>XX年</w:t>
            </w:r>
            <w:r>
              <w:rPr>
                <w:rFonts w:hint="eastAsia" w:ascii="仿宋" w:hAnsi="仿宋" w:cs="仿宋"/>
                <w:b/>
                <w:color w:val="000000"/>
                <w:sz w:val="21"/>
                <w:szCs w:val="21"/>
                <w:lang w:eastAsia="zh-CN"/>
              </w:rPr>
              <w:t>（</w:t>
            </w:r>
            <w:r>
              <w:rPr>
                <w:rFonts w:hint="eastAsia" w:ascii="仿宋" w:hAnsi="仿宋" w:eastAsia="仿宋" w:cs="仿宋"/>
                <w:b/>
                <w:color w:val="000000"/>
                <w:sz w:val="21"/>
                <w:szCs w:val="21"/>
              </w:rPr>
              <w:t>末</w:t>
            </w:r>
            <w:r>
              <w:rPr>
                <w:rFonts w:hint="eastAsia" w:ascii="仿宋" w:hAnsi="仿宋" w:cs="仿宋"/>
                <w:b/>
                <w:color w:val="00000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总资产（亿元）</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总负债（亿元）</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全部债务（亿元）</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所有者权益（亿元）</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营业总收入（亿元）</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利润总额（亿元）</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净利润（亿元）</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扣除非经常性损益后净利润（亿元）</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归属于母公司所有者的净利润（亿元）</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经营活动产生现金流量净额（亿元）</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投资活动产生现金流量净额（亿元）</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筹资活动产生现金流量净额（亿元）</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流动比率（倍）</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速动比率（倍）</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资产负债率（%）</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债务资本比率（%）</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营业毛利率（%）</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平均总资产报酬率（%）</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加权平均净资产收益率（%）</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扣除非经常性损益后加权平均净资产收益率（%）</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EBITDA（亿元）</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EBITDA全部债务比</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9"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EBITDA利息倍数</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应收账款周转率（次）</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2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存货周转率（次）</w:t>
            </w: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1"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c>
          <w:tcPr>
            <w:tcW w:w="793"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240" w:lineRule="auto"/>
              <w:ind w:firstLine="0" w:firstLineChars="0"/>
              <w:jc w:val="right"/>
              <w:rPr>
                <w:rFonts w:hint="eastAsia" w:ascii="仿宋" w:hAnsi="仿宋" w:eastAsia="仿宋" w:cs="仿宋"/>
                <w:color w:val="000000"/>
                <w:sz w:val="21"/>
                <w:szCs w:val="21"/>
              </w:rPr>
            </w:pPr>
          </w:p>
        </w:tc>
      </w:tr>
    </w:tbl>
    <w:p>
      <w:pPr>
        <w:adjustRightInd w:val="0"/>
        <w:snapToGrid w:val="0"/>
        <w:spacing w:line="560" w:lineRule="exact"/>
        <w:ind w:firstLine="632" w:firstLineChars="200"/>
        <w:rPr>
          <w:rFonts w:hint="eastAsia" w:ascii="黑体" w:hAnsi="黑体" w:eastAsia="黑体"/>
          <w:b w:val="0"/>
          <w:bCs/>
          <w:color w:val="000000"/>
          <w:sz w:val="32"/>
          <w:szCs w:val="32"/>
        </w:rPr>
      </w:pPr>
      <w:r>
        <w:rPr>
          <w:rFonts w:hint="eastAsia" w:ascii="黑体" w:hAnsi="黑体" w:eastAsia="黑体"/>
          <w:b w:val="0"/>
          <w:bCs/>
          <w:color w:val="000000"/>
          <w:sz w:val="32"/>
          <w:szCs w:val="32"/>
        </w:rPr>
        <w:t>三、公司主营业务</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最近三年，公司主营业务收入构成情况如下：</w:t>
      </w:r>
    </w:p>
    <w:p>
      <w:pPr>
        <w:adjustRightInd w:val="0"/>
        <w:snapToGrid w:val="0"/>
        <w:spacing w:line="240" w:lineRule="auto"/>
        <w:ind w:firstLine="0" w:firstLineChars="0"/>
        <w:jc w:val="right"/>
        <w:textAlignment w:val="baseline"/>
        <w:rPr>
          <w:rFonts w:hint="eastAsia" w:ascii="仿宋" w:hAnsi="仿宋" w:eastAsia="仿宋" w:cs="仿宋"/>
          <w:color w:val="000000"/>
          <w:sz w:val="21"/>
          <w:szCs w:val="21"/>
        </w:rPr>
      </w:pPr>
      <w:r>
        <w:rPr>
          <w:rFonts w:hint="eastAsia" w:ascii="仿宋" w:hAnsi="仿宋" w:eastAsia="仿宋" w:cs="仿宋"/>
          <w:color w:val="000000"/>
          <w:sz w:val="21"/>
          <w:szCs w:val="21"/>
        </w:rPr>
        <w:t>单位：亿元、%</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7"/>
        <w:gridCol w:w="1265"/>
        <w:gridCol w:w="1266"/>
        <w:gridCol w:w="1265"/>
        <w:gridCol w:w="1265"/>
        <w:gridCol w:w="1265"/>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Header/>
          <w:jc w:val="center"/>
        </w:trPr>
        <w:tc>
          <w:tcPr>
            <w:tcW w:w="810" w:type="pct"/>
            <w:vMerge w:val="restart"/>
            <w:noWrap w:val="0"/>
            <w:vAlign w:val="center"/>
          </w:tcPr>
          <w:p>
            <w:pPr>
              <w:adjustRightInd w:val="0"/>
              <w:snapToGrid w:val="0"/>
              <w:spacing w:line="360" w:lineRule="exact"/>
              <w:ind w:firstLine="0" w:firstLineChars="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业务板块</w:t>
            </w:r>
          </w:p>
        </w:tc>
        <w:tc>
          <w:tcPr>
            <w:tcW w:w="1397" w:type="pct"/>
            <w:gridSpan w:val="2"/>
            <w:noWrap w:val="0"/>
            <w:vAlign w:val="center"/>
          </w:tcPr>
          <w:p>
            <w:pPr>
              <w:adjustRightInd w:val="0"/>
              <w:snapToGrid w:val="0"/>
              <w:spacing w:line="360" w:lineRule="exact"/>
              <w:ind w:firstLine="0" w:firstLineChars="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20XX年</w:t>
            </w:r>
          </w:p>
        </w:tc>
        <w:tc>
          <w:tcPr>
            <w:tcW w:w="1396" w:type="pct"/>
            <w:gridSpan w:val="2"/>
            <w:noWrap w:val="0"/>
            <w:vAlign w:val="center"/>
          </w:tcPr>
          <w:p>
            <w:pPr>
              <w:adjustRightInd w:val="0"/>
              <w:snapToGrid w:val="0"/>
              <w:spacing w:line="360" w:lineRule="exact"/>
              <w:ind w:firstLine="0" w:firstLineChars="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20XX年</w:t>
            </w:r>
          </w:p>
        </w:tc>
        <w:tc>
          <w:tcPr>
            <w:tcW w:w="1397" w:type="pct"/>
            <w:gridSpan w:val="2"/>
            <w:noWrap w:val="0"/>
            <w:vAlign w:val="center"/>
          </w:tcPr>
          <w:p>
            <w:pPr>
              <w:adjustRightInd w:val="0"/>
              <w:snapToGrid w:val="0"/>
              <w:spacing w:line="360" w:lineRule="exact"/>
              <w:ind w:firstLine="0" w:firstLineChars="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20XX年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Header/>
          <w:jc w:val="center"/>
        </w:trPr>
        <w:tc>
          <w:tcPr>
            <w:tcW w:w="810" w:type="pct"/>
            <w:vMerge w:val="continue"/>
            <w:noWrap w:val="0"/>
            <w:vAlign w:val="center"/>
          </w:tcPr>
          <w:p>
            <w:pPr>
              <w:adjustRightInd w:val="0"/>
              <w:snapToGrid w:val="0"/>
              <w:spacing w:line="360" w:lineRule="exact"/>
              <w:ind w:firstLine="181" w:firstLineChars="0"/>
              <w:jc w:val="center"/>
              <w:rPr>
                <w:rFonts w:hint="eastAsia" w:ascii="仿宋" w:hAnsi="仿宋" w:eastAsia="仿宋" w:cs="仿宋"/>
                <w:b/>
                <w:bCs/>
                <w:color w:val="000000"/>
                <w:sz w:val="21"/>
                <w:szCs w:val="21"/>
              </w:rPr>
            </w:pPr>
          </w:p>
        </w:tc>
        <w:tc>
          <w:tcPr>
            <w:tcW w:w="698" w:type="pct"/>
            <w:noWrap w:val="0"/>
            <w:vAlign w:val="center"/>
          </w:tcPr>
          <w:p>
            <w:pPr>
              <w:adjustRightInd w:val="0"/>
              <w:snapToGrid w:val="0"/>
              <w:spacing w:line="360" w:lineRule="exact"/>
              <w:ind w:firstLine="0" w:firstLineChars="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金额</w:t>
            </w:r>
          </w:p>
        </w:tc>
        <w:tc>
          <w:tcPr>
            <w:tcW w:w="699" w:type="pct"/>
            <w:noWrap w:val="0"/>
            <w:vAlign w:val="center"/>
          </w:tcPr>
          <w:p>
            <w:pPr>
              <w:adjustRightInd w:val="0"/>
              <w:snapToGrid w:val="0"/>
              <w:spacing w:line="360" w:lineRule="exact"/>
              <w:ind w:firstLine="0" w:firstLineChars="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占比</w:t>
            </w:r>
          </w:p>
        </w:tc>
        <w:tc>
          <w:tcPr>
            <w:tcW w:w="698" w:type="pct"/>
            <w:noWrap w:val="0"/>
            <w:vAlign w:val="center"/>
          </w:tcPr>
          <w:p>
            <w:pPr>
              <w:adjustRightInd w:val="0"/>
              <w:snapToGrid w:val="0"/>
              <w:spacing w:line="360" w:lineRule="exact"/>
              <w:ind w:firstLine="0" w:firstLineChars="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金额</w:t>
            </w:r>
          </w:p>
        </w:tc>
        <w:tc>
          <w:tcPr>
            <w:tcW w:w="698" w:type="pct"/>
            <w:noWrap w:val="0"/>
            <w:vAlign w:val="center"/>
          </w:tcPr>
          <w:p>
            <w:pPr>
              <w:adjustRightInd w:val="0"/>
              <w:snapToGrid w:val="0"/>
              <w:spacing w:line="360" w:lineRule="exact"/>
              <w:ind w:firstLine="0" w:firstLineChars="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占比</w:t>
            </w:r>
          </w:p>
        </w:tc>
        <w:tc>
          <w:tcPr>
            <w:tcW w:w="698" w:type="pct"/>
            <w:noWrap w:val="0"/>
            <w:vAlign w:val="center"/>
          </w:tcPr>
          <w:p>
            <w:pPr>
              <w:adjustRightInd w:val="0"/>
              <w:snapToGrid w:val="0"/>
              <w:spacing w:line="360" w:lineRule="exact"/>
              <w:ind w:firstLine="0" w:firstLineChars="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金额</w:t>
            </w:r>
          </w:p>
        </w:tc>
        <w:tc>
          <w:tcPr>
            <w:tcW w:w="699" w:type="pct"/>
            <w:noWrap w:val="0"/>
            <w:vAlign w:val="center"/>
          </w:tcPr>
          <w:p>
            <w:pPr>
              <w:adjustRightInd w:val="0"/>
              <w:snapToGrid w:val="0"/>
              <w:spacing w:line="360" w:lineRule="exact"/>
              <w:ind w:firstLine="0" w:firstLineChars="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810" w:type="pct"/>
            <w:noWrap w:val="0"/>
            <w:vAlign w:val="center"/>
          </w:tcPr>
          <w:p>
            <w:pPr>
              <w:adjustRightInd w:val="0"/>
              <w:snapToGrid w:val="0"/>
              <w:spacing w:line="360" w:lineRule="exact"/>
              <w:ind w:firstLine="0" w:firstLineChars="0"/>
              <w:jc w:val="center"/>
              <w:textAlignment w:val="center"/>
              <w:rPr>
                <w:rFonts w:hint="eastAsia" w:ascii="仿宋" w:hAnsi="仿宋" w:eastAsia="仿宋" w:cs="仿宋"/>
                <w:color w:val="000000"/>
                <w:sz w:val="21"/>
                <w:szCs w:val="21"/>
              </w:rPr>
            </w:pPr>
          </w:p>
        </w:tc>
        <w:tc>
          <w:tcPr>
            <w:tcW w:w="698"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9"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8"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8"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8"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9"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810" w:type="pct"/>
            <w:noWrap w:val="0"/>
            <w:vAlign w:val="center"/>
          </w:tcPr>
          <w:p>
            <w:pPr>
              <w:adjustRightInd w:val="0"/>
              <w:snapToGrid w:val="0"/>
              <w:spacing w:line="360" w:lineRule="exact"/>
              <w:ind w:firstLine="0" w:firstLineChars="0"/>
              <w:jc w:val="center"/>
              <w:textAlignment w:val="center"/>
              <w:rPr>
                <w:rFonts w:hint="eastAsia" w:ascii="仿宋" w:hAnsi="仿宋" w:eastAsia="仿宋" w:cs="仿宋"/>
                <w:color w:val="000000"/>
                <w:sz w:val="21"/>
                <w:szCs w:val="21"/>
              </w:rPr>
            </w:pPr>
          </w:p>
        </w:tc>
        <w:tc>
          <w:tcPr>
            <w:tcW w:w="698"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9"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8"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8"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8"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9"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810" w:type="pct"/>
            <w:noWrap w:val="0"/>
            <w:vAlign w:val="center"/>
          </w:tcPr>
          <w:p>
            <w:pPr>
              <w:adjustRightInd w:val="0"/>
              <w:snapToGrid w:val="0"/>
              <w:spacing w:line="360" w:lineRule="exact"/>
              <w:ind w:firstLine="0" w:firstLineChars="0"/>
              <w:jc w:val="center"/>
              <w:textAlignment w:val="center"/>
              <w:rPr>
                <w:rFonts w:hint="eastAsia" w:ascii="仿宋" w:hAnsi="仿宋" w:eastAsia="仿宋" w:cs="仿宋"/>
                <w:color w:val="000000"/>
                <w:sz w:val="21"/>
                <w:szCs w:val="21"/>
              </w:rPr>
            </w:pPr>
          </w:p>
        </w:tc>
        <w:tc>
          <w:tcPr>
            <w:tcW w:w="698"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9"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8"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8"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8"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9"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810" w:type="pct"/>
            <w:noWrap w:val="0"/>
            <w:vAlign w:val="center"/>
          </w:tcPr>
          <w:p>
            <w:pPr>
              <w:adjustRightInd w:val="0"/>
              <w:snapToGrid w:val="0"/>
              <w:spacing w:line="360" w:lineRule="exact"/>
              <w:ind w:firstLine="0" w:firstLineChars="0"/>
              <w:jc w:val="center"/>
              <w:textAlignment w:val="center"/>
              <w:rPr>
                <w:rFonts w:hint="eastAsia" w:ascii="仿宋" w:hAnsi="仿宋" w:eastAsia="仿宋" w:cs="仿宋"/>
                <w:color w:val="000000"/>
                <w:sz w:val="21"/>
                <w:szCs w:val="21"/>
              </w:rPr>
            </w:pPr>
          </w:p>
        </w:tc>
        <w:tc>
          <w:tcPr>
            <w:tcW w:w="698"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9"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8"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8"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8"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c>
          <w:tcPr>
            <w:tcW w:w="699" w:type="pct"/>
            <w:noWrap w:val="0"/>
            <w:vAlign w:val="center"/>
          </w:tcPr>
          <w:p>
            <w:pPr>
              <w:adjustRightInd w:val="0"/>
              <w:snapToGrid w:val="0"/>
              <w:spacing w:line="360" w:lineRule="exact"/>
              <w:ind w:firstLine="0" w:firstLineChars="0"/>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810" w:type="pct"/>
            <w:noWrap w:val="0"/>
            <w:vAlign w:val="center"/>
          </w:tcPr>
          <w:p>
            <w:pPr>
              <w:adjustRightInd w:val="0"/>
              <w:snapToGrid w:val="0"/>
              <w:spacing w:line="360" w:lineRule="exact"/>
              <w:ind w:firstLine="103" w:firstLineChars="50"/>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合计</w:t>
            </w:r>
          </w:p>
        </w:tc>
        <w:tc>
          <w:tcPr>
            <w:tcW w:w="698" w:type="pct"/>
            <w:noWrap w:val="0"/>
            <w:vAlign w:val="center"/>
          </w:tcPr>
          <w:p>
            <w:pPr>
              <w:adjustRightInd w:val="0"/>
              <w:snapToGrid w:val="0"/>
              <w:spacing w:line="360" w:lineRule="exact"/>
              <w:ind w:firstLine="0" w:firstLineChars="0"/>
              <w:jc w:val="right"/>
              <w:rPr>
                <w:rFonts w:hint="eastAsia" w:ascii="仿宋" w:hAnsi="仿宋" w:eastAsia="仿宋" w:cs="仿宋"/>
                <w:b/>
                <w:color w:val="000000"/>
                <w:sz w:val="21"/>
                <w:szCs w:val="21"/>
              </w:rPr>
            </w:pPr>
          </w:p>
        </w:tc>
        <w:tc>
          <w:tcPr>
            <w:tcW w:w="699" w:type="pct"/>
            <w:noWrap w:val="0"/>
            <w:vAlign w:val="center"/>
          </w:tcPr>
          <w:p>
            <w:pPr>
              <w:adjustRightInd w:val="0"/>
              <w:snapToGrid w:val="0"/>
              <w:spacing w:line="360" w:lineRule="exact"/>
              <w:ind w:firstLine="0" w:firstLineChars="0"/>
              <w:jc w:val="right"/>
              <w:rPr>
                <w:rFonts w:hint="eastAsia" w:ascii="仿宋" w:hAnsi="仿宋" w:eastAsia="仿宋" w:cs="仿宋"/>
                <w:b/>
                <w:bCs/>
                <w:color w:val="000000"/>
                <w:sz w:val="21"/>
                <w:szCs w:val="21"/>
              </w:rPr>
            </w:pPr>
          </w:p>
        </w:tc>
        <w:tc>
          <w:tcPr>
            <w:tcW w:w="698" w:type="pct"/>
            <w:noWrap w:val="0"/>
            <w:vAlign w:val="center"/>
          </w:tcPr>
          <w:p>
            <w:pPr>
              <w:adjustRightInd w:val="0"/>
              <w:snapToGrid w:val="0"/>
              <w:spacing w:line="360" w:lineRule="exact"/>
              <w:ind w:firstLine="0" w:firstLineChars="0"/>
              <w:jc w:val="right"/>
              <w:rPr>
                <w:rFonts w:hint="eastAsia" w:ascii="仿宋" w:hAnsi="仿宋" w:eastAsia="仿宋" w:cs="仿宋"/>
                <w:b/>
                <w:color w:val="000000"/>
                <w:sz w:val="21"/>
                <w:szCs w:val="21"/>
              </w:rPr>
            </w:pPr>
          </w:p>
        </w:tc>
        <w:tc>
          <w:tcPr>
            <w:tcW w:w="698" w:type="pct"/>
            <w:noWrap w:val="0"/>
            <w:vAlign w:val="center"/>
          </w:tcPr>
          <w:p>
            <w:pPr>
              <w:adjustRightInd w:val="0"/>
              <w:snapToGrid w:val="0"/>
              <w:spacing w:line="360" w:lineRule="exact"/>
              <w:ind w:firstLine="0" w:firstLineChars="0"/>
              <w:jc w:val="right"/>
              <w:rPr>
                <w:rFonts w:hint="eastAsia" w:ascii="仿宋" w:hAnsi="仿宋" w:eastAsia="仿宋" w:cs="仿宋"/>
                <w:b/>
                <w:bCs/>
                <w:color w:val="000000"/>
                <w:sz w:val="21"/>
                <w:szCs w:val="21"/>
              </w:rPr>
            </w:pPr>
          </w:p>
        </w:tc>
        <w:tc>
          <w:tcPr>
            <w:tcW w:w="698" w:type="pct"/>
            <w:noWrap w:val="0"/>
            <w:vAlign w:val="center"/>
          </w:tcPr>
          <w:p>
            <w:pPr>
              <w:adjustRightInd w:val="0"/>
              <w:snapToGrid w:val="0"/>
              <w:spacing w:line="360" w:lineRule="exact"/>
              <w:ind w:firstLine="0" w:firstLineChars="0"/>
              <w:jc w:val="right"/>
              <w:rPr>
                <w:rFonts w:hint="eastAsia" w:ascii="仿宋" w:hAnsi="仿宋" w:eastAsia="仿宋" w:cs="仿宋"/>
                <w:b/>
                <w:color w:val="000000"/>
                <w:sz w:val="21"/>
                <w:szCs w:val="21"/>
              </w:rPr>
            </w:pPr>
          </w:p>
        </w:tc>
        <w:tc>
          <w:tcPr>
            <w:tcW w:w="699" w:type="pct"/>
            <w:noWrap w:val="0"/>
            <w:vAlign w:val="center"/>
          </w:tcPr>
          <w:p>
            <w:pPr>
              <w:adjustRightInd w:val="0"/>
              <w:snapToGrid w:val="0"/>
              <w:spacing w:line="360" w:lineRule="exact"/>
              <w:ind w:firstLine="0" w:firstLineChars="0"/>
              <w:jc w:val="right"/>
              <w:rPr>
                <w:rFonts w:hint="eastAsia" w:ascii="仿宋" w:hAnsi="仿宋" w:eastAsia="仿宋" w:cs="仿宋"/>
                <w:b/>
                <w:bCs/>
                <w:color w:val="000000"/>
                <w:sz w:val="21"/>
                <w:szCs w:val="21"/>
              </w:rPr>
            </w:pP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 w:hAnsi="仿宋" w:eastAsia="仿宋" w:cs="仿宋"/>
          <w:sz w:val="32"/>
          <w:szCs w:val="32"/>
        </w:rPr>
      </w:pPr>
      <w:r>
        <w:rPr>
          <w:rFonts w:hint="eastAsia" w:ascii="仿宋" w:hAnsi="仿宋" w:eastAsia="仿宋" w:cs="仿宋"/>
          <w:sz w:val="32"/>
          <w:szCs w:val="32"/>
        </w:rPr>
        <w:t>最近三年，公司主营业务</w:t>
      </w:r>
      <w:r>
        <w:rPr>
          <w:rFonts w:hint="eastAsia" w:ascii="仿宋" w:hAnsi="仿宋" w:eastAsia="仿宋" w:cs="仿宋"/>
          <w:sz w:val="32"/>
          <w:szCs w:val="32"/>
          <w:lang w:eastAsia="zh-CN"/>
        </w:rPr>
        <w:t>毛利润</w:t>
      </w:r>
      <w:r>
        <w:rPr>
          <w:rFonts w:hint="eastAsia" w:ascii="仿宋" w:hAnsi="仿宋" w:eastAsia="仿宋" w:cs="仿宋"/>
          <w:sz w:val="32"/>
          <w:szCs w:val="32"/>
        </w:rPr>
        <w:t>构成情况如下：</w:t>
      </w:r>
    </w:p>
    <w:p>
      <w:pPr>
        <w:adjustRightInd w:val="0"/>
        <w:snapToGrid w:val="0"/>
        <w:spacing w:line="240" w:lineRule="auto"/>
        <w:ind w:firstLine="0" w:firstLineChars="0"/>
        <w:jc w:val="right"/>
        <w:textAlignment w:val="baseline"/>
        <w:rPr>
          <w:rFonts w:hint="eastAsia" w:ascii="仿宋" w:hAnsi="仿宋" w:eastAsia="仿宋" w:cs="仿宋"/>
          <w:sz w:val="21"/>
          <w:szCs w:val="21"/>
        </w:rPr>
      </w:pPr>
      <w:r>
        <w:rPr>
          <w:rFonts w:hint="eastAsia" w:ascii="仿宋" w:hAnsi="仿宋" w:eastAsia="仿宋" w:cs="仿宋"/>
          <w:sz w:val="21"/>
          <w:szCs w:val="21"/>
        </w:rPr>
        <w:t>单位：亿元、%</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7"/>
        <w:gridCol w:w="1265"/>
        <w:gridCol w:w="1266"/>
        <w:gridCol w:w="1265"/>
        <w:gridCol w:w="1265"/>
        <w:gridCol w:w="1265"/>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Header/>
          <w:jc w:val="center"/>
        </w:trPr>
        <w:tc>
          <w:tcPr>
            <w:tcW w:w="810" w:type="pct"/>
            <w:vMerge w:val="restart"/>
            <w:noWrap w:val="0"/>
            <w:vAlign w:val="center"/>
          </w:tcPr>
          <w:p>
            <w:pPr>
              <w:adjustRightInd/>
              <w:snapToGrid/>
              <w:spacing w:line="360" w:lineRule="exact"/>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业务板块</w:t>
            </w:r>
          </w:p>
        </w:tc>
        <w:tc>
          <w:tcPr>
            <w:tcW w:w="1397" w:type="pct"/>
            <w:gridSpan w:val="2"/>
            <w:noWrap w:val="0"/>
            <w:vAlign w:val="center"/>
          </w:tcPr>
          <w:p>
            <w:pPr>
              <w:adjustRightInd/>
              <w:snapToGrid/>
              <w:spacing w:line="360" w:lineRule="exact"/>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20XX年</w:t>
            </w:r>
          </w:p>
        </w:tc>
        <w:tc>
          <w:tcPr>
            <w:tcW w:w="1396" w:type="pct"/>
            <w:gridSpan w:val="2"/>
            <w:noWrap w:val="0"/>
            <w:vAlign w:val="center"/>
          </w:tcPr>
          <w:p>
            <w:pPr>
              <w:adjustRightInd/>
              <w:snapToGrid/>
              <w:spacing w:line="360" w:lineRule="exact"/>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20XX年</w:t>
            </w:r>
          </w:p>
        </w:tc>
        <w:tc>
          <w:tcPr>
            <w:tcW w:w="1397" w:type="pct"/>
            <w:gridSpan w:val="2"/>
            <w:noWrap w:val="0"/>
            <w:vAlign w:val="center"/>
          </w:tcPr>
          <w:p>
            <w:pPr>
              <w:adjustRightInd/>
              <w:snapToGrid/>
              <w:spacing w:line="360" w:lineRule="exact"/>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20XX年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Header/>
          <w:jc w:val="center"/>
        </w:trPr>
        <w:tc>
          <w:tcPr>
            <w:tcW w:w="810" w:type="pct"/>
            <w:vMerge w:val="continue"/>
            <w:noWrap w:val="0"/>
            <w:vAlign w:val="center"/>
          </w:tcPr>
          <w:p>
            <w:pPr>
              <w:adjustRightInd/>
              <w:snapToGrid/>
              <w:spacing w:line="360" w:lineRule="exact"/>
              <w:ind w:firstLine="181" w:firstLineChars="0"/>
              <w:jc w:val="center"/>
              <w:rPr>
                <w:rFonts w:hint="eastAsia" w:ascii="仿宋" w:hAnsi="仿宋" w:eastAsia="仿宋" w:cs="仿宋"/>
                <w:b/>
                <w:bCs/>
                <w:sz w:val="21"/>
                <w:szCs w:val="21"/>
              </w:rPr>
            </w:pPr>
          </w:p>
        </w:tc>
        <w:tc>
          <w:tcPr>
            <w:tcW w:w="698" w:type="pct"/>
            <w:noWrap w:val="0"/>
            <w:vAlign w:val="center"/>
          </w:tcPr>
          <w:p>
            <w:pPr>
              <w:adjustRightInd/>
              <w:snapToGrid/>
              <w:spacing w:line="360" w:lineRule="exact"/>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金额</w:t>
            </w:r>
          </w:p>
        </w:tc>
        <w:tc>
          <w:tcPr>
            <w:tcW w:w="699" w:type="pct"/>
            <w:noWrap w:val="0"/>
            <w:vAlign w:val="center"/>
          </w:tcPr>
          <w:p>
            <w:pPr>
              <w:adjustRightInd/>
              <w:snapToGrid/>
              <w:spacing w:line="360" w:lineRule="exact"/>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占比</w:t>
            </w:r>
          </w:p>
        </w:tc>
        <w:tc>
          <w:tcPr>
            <w:tcW w:w="698" w:type="pct"/>
            <w:noWrap w:val="0"/>
            <w:vAlign w:val="center"/>
          </w:tcPr>
          <w:p>
            <w:pPr>
              <w:adjustRightInd/>
              <w:snapToGrid/>
              <w:spacing w:line="360" w:lineRule="exact"/>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金额</w:t>
            </w:r>
          </w:p>
        </w:tc>
        <w:tc>
          <w:tcPr>
            <w:tcW w:w="698" w:type="pct"/>
            <w:noWrap w:val="0"/>
            <w:vAlign w:val="center"/>
          </w:tcPr>
          <w:p>
            <w:pPr>
              <w:adjustRightInd/>
              <w:snapToGrid/>
              <w:spacing w:line="360" w:lineRule="exact"/>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占比</w:t>
            </w:r>
          </w:p>
        </w:tc>
        <w:tc>
          <w:tcPr>
            <w:tcW w:w="698" w:type="pct"/>
            <w:noWrap w:val="0"/>
            <w:vAlign w:val="center"/>
          </w:tcPr>
          <w:p>
            <w:pPr>
              <w:adjustRightInd/>
              <w:snapToGrid/>
              <w:spacing w:line="360" w:lineRule="exact"/>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金额</w:t>
            </w:r>
          </w:p>
        </w:tc>
        <w:tc>
          <w:tcPr>
            <w:tcW w:w="699" w:type="pct"/>
            <w:noWrap w:val="0"/>
            <w:vAlign w:val="center"/>
          </w:tcPr>
          <w:p>
            <w:pPr>
              <w:adjustRightInd/>
              <w:snapToGrid/>
              <w:spacing w:line="360" w:lineRule="exact"/>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810" w:type="pct"/>
            <w:noWrap w:val="0"/>
            <w:vAlign w:val="center"/>
          </w:tcPr>
          <w:p>
            <w:pPr>
              <w:adjustRightInd/>
              <w:snapToGrid/>
              <w:spacing w:line="360" w:lineRule="exact"/>
              <w:ind w:firstLine="0" w:firstLineChars="0"/>
              <w:jc w:val="center"/>
              <w:textAlignment w:val="center"/>
              <w:rPr>
                <w:rFonts w:hint="eastAsia" w:ascii="仿宋" w:hAnsi="仿宋" w:eastAsia="仿宋" w:cs="仿宋"/>
                <w:sz w:val="21"/>
                <w:szCs w:val="21"/>
              </w:rPr>
            </w:pPr>
          </w:p>
        </w:tc>
        <w:tc>
          <w:tcPr>
            <w:tcW w:w="698"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9"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8"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8"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8"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9" w:type="pct"/>
            <w:noWrap w:val="0"/>
            <w:vAlign w:val="center"/>
          </w:tcPr>
          <w:p>
            <w:pPr>
              <w:adjustRightInd/>
              <w:snapToGrid/>
              <w:spacing w:line="360" w:lineRule="exact"/>
              <w:ind w:firstLine="0" w:firstLineChars="0"/>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810" w:type="pct"/>
            <w:noWrap w:val="0"/>
            <w:vAlign w:val="center"/>
          </w:tcPr>
          <w:p>
            <w:pPr>
              <w:adjustRightInd/>
              <w:snapToGrid/>
              <w:spacing w:line="360" w:lineRule="exact"/>
              <w:ind w:firstLine="0" w:firstLineChars="0"/>
              <w:jc w:val="center"/>
              <w:textAlignment w:val="center"/>
              <w:rPr>
                <w:rFonts w:hint="eastAsia" w:ascii="仿宋" w:hAnsi="仿宋" w:eastAsia="仿宋" w:cs="仿宋"/>
                <w:sz w:val="21"/>
                <w:szCs w:val="21"/>
              </w:rPr>
            </w:pPr>
          </w:p>
        </w:tc>
        <w:tc>
          <w:tcPr>
            <w:tcW w:w="698"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9"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8"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8"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8"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9" w:type="pct"/>
            <w:noWrap w:val="0"/>
            <w:vAlign w:val="center"/>
          </w:tcPr>
          <w:p>
            <w:pPr>
              <w:adjustRightInd/>
              <w:snapToGrid/>
              <w:spacing w:line="360" w:lineRule="exact"/>
              <w:ind w:firstLine="0" w:firstLineChars="0"/>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810" w:type="pct"/>
            <w:noWrap w:val="0"/>
            <w:vAlign w:val="center"/>
          </w:tcPr>
          <w:p>
            <w:pPr>
              <w:adjustRightInd/>
              <w:snapToGrid/>
              <w:spacing w:line="360" w:lineRule="exact"/>
              <w:ind w:firstLine="0" w:firstLineChars="0"/>
              <w:jc w:val="center"/>
              <w:textAlignment w:val="center"/>
              <w:rPr>
                <w:rFonts w:hint="eastAsia" w:ascii="仿宋" w:hAnsi="仿宋" w:eastAsia="仿宋" w:cs="仿宋"/>
                <w:sz w:val="21"/>
                <w:szCs w:val="21"/>
              </w:rPr>
            </w:pPr>
          </w:p>
        </w:tc>
        <w:tc>
          <w:tcPr>
            <w:tcW w:w="698"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9"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8"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8"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8"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9" w:type="pct"/>
            <w:noWrap w:val="0"/>
            <w:vAlign w:val="center"/>
          </w:tcPr>
          <w:p>
            <w:pPr>
              <w:adjustRightInd/>
              <w:snapToGrid/>
              <w:spacing w:line="360" w:lineRule="exact"/>
              <w:ind w:firstLine="0" w:firstLineChars="0"/>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810" w:type="pct"/>
            <w:noWrap w:val="0"/>
            <w:vAlign w:val="center"/>
          </w:tcPr>
          <w:p>
            <w:pPr>
              <w:adjustRightInd/>
              <w:snapToGrid/>
              <w:spacing w:line="360" w:lineRule="exact"/>
              <w:ind w:firstLine="0" w:firstLineChars="0"/>
              <w:jc w:val="center"/>
              <w:textAlignment w:val="center"/>
              <w:rPr>
                <w:rFonts w:hint="eastAsia" w:ascii="仿宋" w:hAnsi="仿宋" w:eastAsia="仿宋" w:cs="仿宋"/>
                <w:sz w:val="21"/>
                <w:szCs w:val="21"/>
              </w:rPr>
            </w:pPr>
          </w:p>
        </w:tc>
        <w:tc>
          <w:tcPr>
            <w:tcW w:w="698"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9"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8"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8"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8" w:type="pct"/>
            <w:noWrap w:val="0"/>
            <w:vAlign w:val="center"/>
          </w:tcPr>
          <w:p>
            <w:pPr>
              <w:adjustRightInd/>
              <w:snapToGrid/>
              <w:spacing w:line="360" w:lineRule="exact"/>
              <w:ind w:firstLine="0" w:firstLineChars="0"/>
              <w:rPr>
                <w:rFonts w:hint="eastAsia" w:ascii="仿宋" w:hAnsi="仿宋" w:eastAsia="仿宋" w:cs="仿宋"/>
                <w:sz w:val="21"/>
                <w:szCs w:val="21"/>
              </w:rPr>
            </w:pPr>
          </w:p>
        </w:tc>
        <w:tc>
          <w:tcPr>
            <w:tcW w:w="699" w:type="pct"/>
            <w:noWrap w:val="0"/>
            <w:vAlign w:val="center"/>
          </w:tcPr>
          <w:p>
            <w:pPr>
              <w:adjustRightInd/>
              <w:snapToGrid/>
              <w:spacing w:line="360" w:lineRule="exact"/>
              <w:ind w:firstLine="0" w:firstLineChars="0"/>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810" w:type="pct"/>
            <w:noWrap w:val="0"/>
            <w:vAlign w:val="center"/>
          </w:tcPr>
          <w:p>
            <w:pPr>
              <w:adjustRightInd/>
              <w:snapToGrid/>
              <w:spacing w:line="360" w:lineRule="exact"/>
              <w:ind w:firstLine="103" w:firstLineChars="50"/>
              <w:jc w:val="center"/>
              <w:rPr>
                <w:rFonts w:hint="eastAsia" w:ascii="仿宋" w:hAnsi="仿宋" w:eastAsia="仿宋" w:cs="仿宋"/>
                <w:b/>
                <w:bCs/>
                <w:sz w:val="21"/>
                <w:szCs w:val="21"/>
              </w:rPr>
            </w:pPr>
            <w:r>
              <w:rPr>
                <w:rFonts w:hint="eastAsia" w:ascii="仿宋" w:hAnsi="仿宋" w:eastAsia="仿宋" w:cs="仿宋"/>
                <w:b/>
                <w:bCs/>
                <w:sz w:val="21"/>
                <w:szCs w:val="21"/>
              </w:rPr>
              <w:t>合计</w:t>
            </w:r>
          </w:p>
        </w:tc>
        <w:tc>
          <w:tcPr>
            <w:tcW w:w="698" w:type="pct"/>
            <w:noWrap w:val="0"/>
            <w:vAlign w:val="center"/>
          </w:tcPr>
          <w:p>
            <w:pPr>
              <w:adjustRightInd/>
              <w:snapToGrid/>
              <w:spacing w:line="360" w:lineRule="exact"/>
              <w:ind w:firstLine="0" w:firstLineChars="0"/>
              <w:jc w:val="right"/>
              <w:rPr>
                <w:rFonts w:hint="eastAsia" w:ascii="仿宋" w:hAnsi="仿宋" w:eastAsia="仿宋" w:cs="仿宋"/>
                <w:b/>
                <w:sz w:val="21"/>
                <w:szCs w:val="21"/>
              </w:rPr>
            </w:pPr>
          </w:p>
        </w:tc>
        <w:tc>
          <w:tcPr>
            <w:tcW w:w="699" w:type="pct"/>
            <w:noWrap w:val="0"/>
            <w:vAlign w:val="center"/>
          </w:tcPr>
          <w:p>
            <w:pPr>
              <w:adjustRightInd/>
              <w:snapToGrid/>
              <w:spacing w:line="360" w:lineRule="exact"/>
              <w:ind w:firstLine="0" w:firstLineChars="0"/>
              <w:jc w:val="right"/>
              <w:rPr>
                <w:rFonts w:hint="eastAsia" w:ascii="仿宋" w:hAnsi="仿宋" w:eastAsia="仿宋" w:cs="仿宋"/>
                <w:b/>
                <w:bCs/>
                <w:sz w:val="21"/>
                <w:szCs w:val="21"/>
              </w:rPr>
            </w:pPr>
          </w:p>
        </w:tc>
        <w:tc>
          <w:tcPr>
            <w:tcW w:w="698" w:type="pct"/>
            <w:noWrap w:val="0"/>
            <w:vAlign w:val="center"/>
          </w:tcPr>
          <w:p>
            <w:pPr>
              <w:adjustRightInd/>
              <w:snapToGrid/>
              <w:spacing w:line="360" w:lineRule="exact"/>
              <w:ind w:firstLine="0" w:firstLineChars="0"/>
              <w:jc w:val="right"/>
              <w:rPr>
                <w:rFonts w:hint="eastAsia" w:ascii="仿宋" w:hAnsi="仿宋" w:eastAsia="仿宋" w:cs="仿宋"/>
                <w:b/>
                <w:sz w:val="21"/>
                <w:szCs w:val="21"/>
              </w:rPr>
            </w:pPr>
          </w:p>
        </w:tc>
        <w:tc>
          <w:tcPr>
            <w:tcW w:w="698" w:type="pct"/>
            <w:noWrap w:val="0"/>
            <w:vAlign w:val="center"/>
          </w:tcPr>
          <w:p>
            <w:pPr>
              <w:adjustRightInd/>
              <w:snapToGrid/>
              <w:spacing w:line="360" w:lineRule="exact"/>
              <w:ind w:firstLine="0" w:firstLineChars="0"/>
              <w:jc w:val="right"/>
              <w:rPr>
                <w:rFonts w:hint="eastAsia" w:ascii="仿宋" w:hAnsi="仿宋" w:eastAsia="仿宋" w:cs="仿宋"/>
                <w:b/>
                <w:bCs/>
                <w:sz w:val="21"/>
                <w:szCs w:val="21"/>
              </w:rPr>
            </w:pPr>
          </w:p>
        </w:tc>
        <w:tc>
          <w:tcPr>
            <w:tcW w:w="698" w:type="pct"/>
            <w:noWrap w:val="0"/>
            <w:vAlign w:val="center"/>
          </w:tcPr>
          <w:p>
            <w:pPr>
              <w:adjustRightInd/>
              <w:snapToGrid/>
              <w:spacing w:line="360" w:lineRule="exact"/>
              <w:ind w:firstLine="0" w:firstLineChars="0"/>
              <w:jc w:val="right"/>
              <w:rPr>
                <w:rFonts w:hint="eastAsia" w:ascii="仿宋" w:hAnsi="仿宋" w:eastAsia="仿宋" w:cs="仿宋"/>
                <w:b/>
                <w:sz w:val="21"/>
                <w:szCs w:val="21"/>
              </w:rPr>
            </w:pPr>
          </w:p>
        </w:tc>
        <w:tc>
          <w:tcPr>
            <w:tcW w:w="699" w:type="pct"/>
            <w:noWrap w:val="0"/>
            <w:vAlign w:val="center"/>
          </w:tcPr>
          <w:p>
            <w:pPr>
              <w:adjustRightInd/>
              <w:snapToGrid/>
              <w:spacing w:line="360" w:lineRule="exact"/>
              <w:ind w:firstLine="0" w:firstLineChars="0"/>
              <w:jc w:val="right"/>
              <w:rPr>
                <w:rFonts w:hint="eastAsia" w:ascii="仿宋" w:hAnsi="仿宋" w:eastAsia="仿宋" w:cs="仿宋"/>
                <w:b/>
                <w:bCs/>
                <w:sz w:val="21"/>
                <w:szCs w:val="21"/>
              </w:rPr>
            </w:pP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Fonts w:hint="eastAsia" w:ascii="仿宋" w:hAnsi="仿宋" w:eastAsia="仿宋" w:cs="仿宋"/>
          <w:b w:val="0"/>
          <w:color w:val="000000"/>
          <w:sz w:val="32"/>
          <w:szCs w:val="32"/>
        </w:rPr>
      </w:pPr>
      <w:r>
        <w:rPr>
          <w:rFonts w:hint="eastAsia" w:ascii="仿宋" w:hAnsi="仿宋" w:eastAsia="仿宋" w:cs="仿宋"/>
          <w:bCs w:val="0"/>
          <w:color w:val="000000"/>
          <w:sz w:val="32"/>
          <w:szCs w:val="32"/>
        </w:rPr>
        <w:t>就发行人主营业务板块经营运行情况进行简要分析说明，投资控股型发行人经营成果主要来自子公司的，应当结合母公司资产受限、资金拆借、有息债务、对核心子公司控制力、股权质押、子公司分红政策、报告期内实际分红等情况披露投资控股型架构对发行人盈利能力、偿债能力的影响。</w:t>
      </w:r>
    </w:p>
    <w:p>
      <w:pPr>
        <w:numPr>
          <w:ilvl w:val="-1"/>
          <w:numId w:val="0"/>
        </w:numPr>
        <w:adjustRightInd w:val="0"/>
        <w:snapToGrid w:val="0"/>
        <w:spacing w:line="560" w:lineRule="exact"/>
        <w:ind w:firstLine="632" w:firstLineChars="200"/>
        <w:rPr>
          <w:rFonts w:hint="eastAsia" w:ascii="黑体" w:hAnsi="黑体" w:eastAsia="黑体"/>
          <w:b w:val="0"/>
          <w:bCs/>
          <w:color w:val="000000"/>
          <w:sz w:val="32"/>
          <w:szCs w:val="32"/>
        </w:rPr>
      </w:pPr>
      <w:r>
        <w:rPr>
          <w:rFonts w:hint="eastAsia" w:ascii="黑体" w:hAnsi="黑体" w:eastAsia="黑体"/>
          <w:b w:val="0"/>
          <w:bCs/>
          <w:color w:val="000000"/>
          <w:sz w:val="32"/>
          <w:szCs w:val="32"/>
          <w:lang w:eastAsia="zh-CN"/>
        </w:rPr>
        <w:t>四、</w:t>
      </w:r>
      <w:r>
        <w:rPr>
          <w:rFonts w:hint="eastAsia" w:ascii="黑体" w:hAnsi="黑体" w:eastAsia="黑体"/>
          <w:b w:val="0"/>
          <w:bCs/>
          <w:color w:val="000000"/>
          <w:sz w:val="32"/>
          <w:szCs w:val="32"/>
        </w:rPr>
        <w:t>重点关注问题</w:t>
      </w:r>
    </w:p>
    <w:tbl>
      <w:tblPr>
        <w:tblStyle w:val="16"/>
        <w:tblW w:w="9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4111"/>
        <w:gridCol w:w="1133"/>
        <w:gridCol w:w="3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blHeader/>
          <w:jc w:val="center"/>
        </w:trPr>
        <w:tc>
          <w:tcPr>
            <w:tcW w:w="722" w:type="dxa"/>
            <w:noWrap w:val="0"/>
            <w:vAlign w:val="center"/>
          </w:tcPr>
          <w:p>
            <w:pPr>
              <w:widowControl w:val="0"/>
              <w:adjustRightInd w:val="0"/>
              <w:snapToGrid w:val="0"/>
              <w:spacing w:line="240" w:lineRule="auto"/>
              <w:jc w:val="center"/>
              <w:outlineLvl w:val="0"/>
              <w:rPr>
                <w:rFonts w:hint="eastAsia" w:ascii="仿宋" w:hAnsi="仿宋" w:eastAsia="仿宋" w:cs="仿宋"/>
                <w:b/>
                <w:bCs/>
                <w:color w:val="000000"/>
                <w:kern w:val="2"/>
                <w:sz w:val="21"/>
                <w:szCs w:val="30"/>
                <w:lang w:val="en-US" w:eastAsia="zh-CN" w:bidi="ar-SA"/>
              </w:rPr>
            </w:pPr>
            <w:r>
              <w:rPr>
                <w:rFonts w:hint="eastAsia" w:ascii="仿宋" w:hAnsi="仿宋" w:eastAsia="仿宋" w:cs="仿宋"/>
                <w:b/>
                <w:bCs/>
                <w:color w:val="000000"/>
                <w:kern w:val="2"/>
                <w:sz w:val="21"/>
                <w:szCs w:val="30"/>
                <w:lang w:val="en-US" w:eastAsia="zh-CN" w:bidi="ar-SA"/>
              </w:rPr>
              <w:t>序号</w:t>
            </w:r>
          </w:p>
        </w:tc>
        <w:tc>
          <w:tcPr>
            <w:tcW w:w="4111" w:type="dxa"/>
            <w:noWrap w:val="0"/>
            <w:vAlign w:val="center"/>
          </w:tcPr>
          <w:p>
            <w:pPr>
              <w:widowControl w:val="0"/>
              <w:adjustRightInd w:val="0"/>
              <w:snapToGrid w:val="0"/>
              <w:spacing w:line="240" w:lineRule="auto"/>
              <w:jc w:val="center"/>
              <w:outlineLvl w:val="0"/>
              <w:rPr>
                <w:rFonts w:hint="eastAsia" w:ascii="仿宋" w:hAnsi="仿宋" w:eastAsia="仿宋" w:cs="仿宋"/>
                <w:bCs/>
                <w:color w:val="000000"/>
                <w:kern w:val="2"/>
                <w:sz w:val="21"/>
                <w:szCs w:val="21"/>
                <w:lang w:val="en-US" w:eastAsia="zh-CN" w:bidi="ar-SA"/>
              </w:rPr>
            </w:pPr>
            <w:r>
              <w:rPr>
                <w:rFonts w:hint="eastAsia" w:ascii="仿宋" w:hAnsi="仿宋" w:eastAsia="仿宋" w:cs="仿宋"/>
                <w:b/>
                <w:bCs w:val="0"/>
                <w:color w:val="000000"/>
                <w:kern w:val="2"/>
                <w:sz w:val="21"/>
                <w:szCs w:val="21"/>
                <w:lang w:val="en-US" w:eastAsia="zh-CN" w:bidi="ar-SA"/>
              </w:rPr>
              <w:t>审核重点关注事项</w:t>
            </w:r>
          </w:p>
        </w:tc>
        <w:tc>
          <w:tcPr>
            <w:tcW w:w="1133" w:type="dxa"/>
            <w:noWrap w:val="0"/>
            <w:vAlign w:val="center"/>
          </w:tcPr>
          <w:p>
            <w:pPr>
              <w:widowControl w:val="0"/>
              <w:adjustRightInd w:val="0"/>
              <w:snapToGrid w:val="0"/>
              <w:spacing w:line="240" w:lineRule="auto"/>
              <w:jc w:val="center"/>
              <w:outlineLvl w:val="0"/>
              <w:rPr>
                <w:rFonts w:hint="eastAsia" w:ascii="仿宋" w:hAnsi="仿宋" w:eastAsia="仿宋" w:cs="仿宋"/>
                <w:b/>
                <w:bCs/>
                <w:color w:val="000000"/>
                <w:kern w:val="2"/>
                <w:sz w:val="21"/>
                <w:szCs w:val="30"/>
                <w:lang w:val="en-US" w:eastAsia="zh-CN" w:bidi="ar-SA"/>
              </w:rPr>
            </w:pPr>
            <w:r>
              <w:rPr>
                <w:rFonts w:hint="eastAsia" w:ascii="仿宋" w:hAnsi="仿宋" w:eastAsia="仿宋" w:cs="仿宋"/>
                <w:b/>
                <w:bCs/>
                <w:color w:val="000000"/>
                <w:kern w:val="2"/>
                <w:sz w:val="21"/>
                <w:szCs w:val="30"/>
                <w:lang w:val="en-US" w:eastAsia="zh-CN" w:bidi="ar-SA"/>
              </w:rPr>
              <w:t>是否存在该情形</w:t>
            </w:r>
          </w:p>
        </w:tc>
        <w:tc>
          <w:tcPr>
            <w:tcW w:w="3451" w:type="dxa"/>
            <w:noWrap w:val="0"/>
            <w:vAlign w:val="center"/>
          </w:tcPr>
          <w:p>
            <w:pPr>
              <w:widowControl w:val="0"/>
              <w:adjustRightInd w:val="0"/>
              <w:snapToGrid w:val="0"/>
              <w:spacing w:line="240" w:lineRule="auto"/>
              <w:jc w:val="center"/>
              <w:outlineLvl w:val="0"/>
              <w:rPr>
                <w:rFonts w:hint="eastAsia" w:ascii="仿宋" w:hAnsi="仿宋" w:eastAsia="仿宋" w:cs="仿宋"/>
                <w:b/>
                <w:bCs/>
                <w:color w:val="000000"/>
                <w:kern w:val="2"/>
                <w:sz w:val="21"/>
                <w:szCs w:val="30"/>
                <w:lang w:val="en-US" w:eastAsia="zh-CN" w:bidi="ar-SA"/>
              </w:rPr>
            </w:pPr>
            <w:r>
              <w:rPr>
                <w:rFonts w:hint="eastAsia" w:ascii="仿宋" w:hAnsi="仿宋" w:eastAsia="仿宋" w:cs="仿宋"/>
                <w:b/>
                <w:bCs/>
                <w:color w:val="000000"/>
                <w:kern w:val="2"/>
                <w:sz w:val="21"/>
                <w:szCs w:val="30"/>
                <w:lang w:val="en-US" w:eastAsia="zh-CN" w:bidi="ar-SA"/>
              </w:rPr>
              <w:t>相关情况简要说明</w:t>
            </w:r>
          </w:p>
          <w:p>
            <w:pPr>
              <w:widowControl w:val="0"/>
              <w:adjustRightInd w:val="0"/>
              <w:snapToGrid w:val="0"/>
              <w:spacing w:line="240" w:lineRule="auto"/>
              <w:jc w:val="center"/>
              <w:outlineLvl w:val="0"/>
              <w:rPr>
                <w:rFonts w:hint="eastAsia" w:ascii="仿宋" w:hAnsi="仿宋" w:eastAsia="仿宋" w:cs="仿宋"/>
                <w:b/>
                <w:bCs/>
                <w:color w:val="000000"/>
                <w:kern w:val="2"/>
                <w:sz w:val="21"/>
                <w:szCs w:val="30"/>
                <w:lang w:val="en-US" w:eastAsia="zh-CN" w:bidi="ar-SA"/>
              </w:rPr>
            </w:pPr>
            <w:r>
              <w:rPr>
                <w:rFonts w:hint="eastAsia" w:ascii="仿宋" w:hAnsi="仿宋" w:eastAsia="仿宋" w:cs="仿宋"/>
                <w:b/>
                <w:bCs/>
                <w:color w:val="000000"/>
                <w:kern w:val="2"/>
                <w:sz w:val="21"/>
                <w:szCs w:val="30"/>
                <w:lang w:val="en-US" w:eastAsia="zh-CN" w:bidi="ar-SA"/>
              </w:rPr>
              <w:t>（如存在该情形）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2" w:type="dxa"/>
            <w:noWrap w:val="0"/>
            <w:vAlign w:val="center"/>
          </w:tcPr>
          <w:p>
            <w:pPr>
              <w:widowControl w:val="0"/>
              <w:adjustRightInd w:val="0"/>
              <w:snapToGrid w:val="0"/>
              <w:spacing w:line="240" w:lineRule="auto"/>
              <w:jc w:val="center"/>
              <w:outlineLvl w:val="0"/>
              <w:rPr>
                <w:rFonts w:hint="eastAsia" w:ascii="仿宋" w:hAnsi="仿宋" w:eastAsia="仿宋" w:cs="仿宋"/>
                <w:b w:val="0"/>
                <w:bCs w:val="0"/>
                <w:color w:val="000000"/>
                <w:kern w:val="2"/>
                <w:sz w:val="21"/>
                <w:szCs w:val="30"/>
                <w:lang w:val="en-US" w:eastAsia="zh-CN" w:bidi="ar-SA"/>
              </w:rPr>
            </w:pPr>
            <w:r>
              <w:rPr>
                <w:rFonts w:hint="eastAsia" w:ascii="仿宋" w:hAnsi="仿宋" w:eastAsia="仿宋" w:cs="仿宋"/>
                <w:b w:val="0"/>
                <w:bCs w:val="0"/>
                <w:color w:val="000000"/>
                <w:kern w:val="2"/>
                <w:sz w:val="21"/>
                <w:szCs w:val="30"/>
                <w:lang w:val="en-US" w:eastAsia="zh-CN" w:bidi="ar-SA"/>
              </w:rPr>
              <w:t>1</w:t>
            </w:r>
          </w:p>
        </w:tc>
        <w:tc>
          <w:tcPr>
            <w:tcW w:w="4111" w:type="dxa"/>
            <w:noWrap w:val="0"/>
            <w:vAlign w:val="center"/>
          </w:tcPr>
          <w:p>
            <w:pPr>
              <w:widowControl w:val="0"/>
              <w:adjustRightInd w:val="0"/>
              <w:snapToGrid w:val="0"/>
              <w:spacing w:line="240" w:lineRule="auto"/>
              <w:jc w:val="left"/>
              <w:outlineLvl w:val="0"/>
              <w:rPr>
                <w:rFonts w:hint="eastAsia" w:ascii="仿宋" w:hAnsi="仿宋" w:eastAsia="仿宋" w:cs="仿宋"/>
                <w:bCs/>
                <w:color w:val="000000"/>
                <w:kern w:val="2"/>
                <w:sz w:val="21"/>
                <w:szCs w:val="21"/>
                <w:lang w:val="en-US" w:eastAsia="zh-CN" w:bidi="ar-SA"/>
              </w:rPr>
            </w:pPr>
            <w:r>
              <w:rPr>
                <w:rFonts w:hint="eastAsia" w:ascii="仿宋" w:hAnsi="仿宋" w:eastAsia="仿宋" w:cs="仿宋"/>
                <w:bCs/>
                <w:color w:val="000000"/>
                <w:kern w:val="2"/>
                <w:sz w:val="21"/>
                <w:szCs w:val="21"/>
                <w:lang w:val="en-US" w:eastAsia="zh-CN" w:bidi="ar-SA"/>
              </w:rPr>
              <w:t>发行人非经营性往来占款和资金拆借余额超过最近一年末经审计总资产10%。</w:t>
            </w:r>
          </w:p>
        </w:tc>
        <w:tc>
          <w:tcPr>
            <w:tcW w:w="1133" w:type="dxa"/>
            <w:noWrap w:val="0"/>
            <w:vAlign w:val="center"/>
          </w:tcPr>
          <w:p>
            <w:pPr>
              <w:widowControl w:val="0"/>
              <w:adjustRightInd w:val="0"/>
              <w:snapToGrid w:val="0"/>
              <w:spacing w:line="240" w:lineRule="auto"/>
              <w:jc w:val="center"/>
              <w:outlineLvl w:val="0"/>
              <w:rPr>
                <w:rFonts w:hint="eastAsia" w:ascii="仿宋" w:hAnsi="仿宋" w:eastAsia="仿宋" w:cs="仿宋"/>
                <w:b/>
                <w:bCs/>
                <w:color w:val="000000"/>
                <w:kern w:val="2"/>
                <w:sz w:val="21"/>
                <w:szCs w:val="30"/>
                <w:lang w:val="en-US" w:eastAsia="zh-CN" w:bidi="ar-SA"/>
              </w:rPr>
            </w:pPr>
          </w:p>
        </w:tc>
        <w:tc>
          <w:tcPr>
            <w:tcW w:w="3451" w:type="dxa"/>
            <w:noWrap w:val="0"/>
            <w:vAlign w:val="center"/>
          </w:tcPr>
          <w:p>
            <w:pPr>
              <w:widowControl w:val="0"/>
              <w:adjustRightInd w:val="0"/>
              <w:snapToGrid w:val="0"/>
              <w:spacing w:line="240" w:lineRule="auto"/>
              <w:jc w:val="center"/>
              <w:outlineLvl w:val="0"/>
              <w:rPr>
                <w:rFonts w:hint="eastAsia" w:ascii="仿宋" w:hAnsi="仿宋" w:eastAsia="仿宋" w:cs="仿宋"/>
                <w:b/>
                <w:bCs/>
                <w:color w:val="000000"/>
                <w:kern w:val="2"/>
                <w:sz w:val="21"/>
                <w:szCs w:val="3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2" w:type="dxa"/>
            <w:noWrap w:val="0"/>
            <w:vAlign w:val="center"/>
          </w:tcPr>
          <w:p>
            <w:pPr>
              <w:widowControl w:val="0"/>
              <w:adjustRightInd w:val="0"/>
              <w:snapToGrid w:val="0"/>
              <w:spacing w:line="240" w:lineRule="auto"/>
              <w:jc w:val="center"/>
              <w:outlineLvl w:val="0"/>
              <w:rPr>
                <w:rFonts w:hint="eastAsia" w:ascii="仿宋" w:hAnsi="仿宋" w:eastAsia="仿宋" w:cs="仿宋"/>
                <w:b w:val="0"/>
                <w:bCs w:val="0"/>
                <w:color w:val="000000"/>
                <w:kern w:val="2"/>
                <w:sz w:val="21"/>
                <w:szCs w:val="30"/>
                <w:lang w:val="en-US" w:eastAsia="zh-CN" w:bidi="ar-SA"/>
              </w:rPr>
            </w:pPr>
            <w:r>
              <w:rPr>
                <w:rFonts w:hint="eastAsia" w:ascii="仿宋" w:hAnsi="仿宋" w:eastAsia="仿宋" w:cs="仿宋"/>
                <w:b w:val="0"/>
                <w:bCs w:val="0"/>
                <w:color w:val="000000"/>
                <w:kern w:val="2"/>
                <w:sz w:val="21"/>
                <w:szCs w:val="30"/>
                <w:lang w:val="en-US" w:eastAsia="zh-CN" w:bidi="ar-SA"/>
              </w:rPr>
              <w:t>2</w:t>
            </w:r>
          </w:p>
        </w:tc>
        <w:tc>
          <w:tcPr>
            <w:tcW w:w="4111" w:type="dxa"/>
            <w:noWrap w:val="0"/>
            <w:vAlign w:val="center"/>
          </w:tcPr>
          <w:p>
            <w:pPr>
              <w:widowControl w:val="0"/>
              <w:adjustRightInd w:val="0"/>
              <w:snapToGrid w:val="0"/>
              <w:spacing w:line="240" w:lineRule="auto"/>
              <w:jc w:val="left"/>
              <w:outlineLvl w:val="0"/>
              <w:rPr>
                <w:rFonts w:hint="eastAsia" w:ascii="仿宋" w:hAnsi="仿宋" w:eastAsia="仿宋" w:cs="仿宋"/>
                <w:b/>
                <w:bCs/>
                <w:color w:val="000000"/>
                <w:kern w:val="2"/>
                <w:sz w:val="21"/>
                <w:szCs w:val="30"/>
                <w:lang w:val="en-US" w:eastAsia="zh-CN" w:bidi="ar-SA"/>
              </w:rPr>
            </w:pPr>
            <w:r>
              <w:rPr>
                <w:rFonts w:hint="eastAsia" w:ascii="仿宋" w:hAnsi="仿宋" w:eastAsia="仿宋" w:cs="仿宋"/>
                <w:bCs/>
                <w:color w:val="000000"/>
                <w:kern w:val="2"/>
                <w:sz w:val="21"/>
                <w:szCs w:val="21"/>
                <w:lang w:val="en-US" w:eastAsia="zh-CN" w:bidi="ar-SA"/>
              </w:rPr>
              <w:t>发行人非公开发行公司债券余额占最近一期末净资产比例达到40%。</w:t>
            </w:r>
          </w:p>
        </w:tc>
        <w:tc>
          <w:tcPr>
            <w:tcW w:w="1133" w:type="dxa"/>
            <w:noWrap w:val="0"/>
            <w:vAlign w:val="center"/>
          </w:tcPr>
          <w:p>
            <w:pPr>
              <w:widowControl w:val="0"/>
              <w:adjustRightInd w:val="0"/>
              <w:snapToGrid w:val="0"/>
              <w:spacing w:line="240" w:lineRule="auto"/>
              <w:jc w:val="center"/>
              <w:outlineLvl w:val="0"/>
              <w:rPr>
                <w:rFonts w:hint="eastAsia" w:ascii="仿宋" w:hAnsi="仿宋" w:eastAsia="仿宋" w:cs="仿宋"/>
                <w:b/>
                <w:bCs/>
                <w:color w:val="000000"/>
                <w:kern w:val="2"/>
                <w:sz w:val="21"/>
                <w:szCs w:val="30"/>
                <w:lang w:val="en-US" w:eastAsia="zh-CN" w:bidi="ar-SA"/>
              </w:rPr>
            </w:pPr>
          </w:p>
        </w:tc>
        <w:tc>
          <w:tcPr>
            <w:tcW w:w="3451" w:type="dxa"/>
            <w:noWrap w:val="0"/>
            <w:vAlign w:val="center"/>
          </w:tcPr>
          <w:p>
            <w:pPr>
              <w:widowControl w:val="0"/>
              <w:adjustRightInd w:val="0"/>
              <w:snapToGrid w:val="0"/>
              <w:spacing w:line="240" w:lineRule="auto"/>
              <w:jc w:val="center"/>
              <w:outlineLvl w:val="0"/>
              <w:rPr>
                <w:rFonts w:hint="eastAsia" w:ascii="仿宋" w:hAnsi="仿宋" w:eastAsia="仿宋" w:cs="仿宋"/>
                <w:b/>
                <w:bCs/>
                <w:color w:val="000000"/>
                <w:kern w:val="2"/>
                <w:sz w:val="21"/>
                <w:szCs w:val="3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2" w:type="dxa"/>
            <w:noWrap w:val="0"/>
            <w:vAlign w:val="center"/>
          </w:tcPr>
          <w:p>
            <w:pPr>
              <w:widowControl w:val="0"/>
              <w:adjustRightInd w:val="0"/>
              <w:snapToGrid w:val="0"/>
              <w:spacing w:line="240" w:lineRule="auto"/>
              <w:jc w:val="center"/>
              <w:outlineLvl w:val="0"/>
              <w:rPr>
                <w:rFonts w:hint="eastAsia" w:ascii="仿宋" w:hAnsi="仿宋" w:eastAsia="仿宋" w:cs="仿宋"/>
                <w:b w:val="0"/>
                <w:bCs w:val="0"/>
                <w:color w:val="000000"/>
                <w:kern w:val="2"/>
                <w:sz w:val="21"/>
                <w:szCs w:val="30"/>
                <w:lang w:val="en-US" w:eastAsia="zh-CN" w:bidi="ar-SA"/>
              </w:rPr>
            </w:pPr>
            <w:r>
              <w:rPr>
                <w:rFonts w:hint="eastAsia" w:ascii="仿宋" w:hAnsi="仿宋" w:eastAsia="仿宋" w:cs="仿宋"/>
                <w:b w:val="0"/>
                <w:bCs w:val="0"/>
                <w:color w:val="000000"/>
                <w:kern w:val="2"/>
                <w:sz w:val="21"/>
                <w:szCs w:val="30"/>
                <w:lang w:val="en-US" w:eastAsia="zh-CN" w:bidi="ar-SA"/>
              </w:rPr>
              <w:t>3</w:t>
            </w:r>
          </w:p>
        </w:tc>
        <w:tc>
          <w:tcPr>
            <w:tcW w:w="4111" w:type="dxa"/>
            <w:noWrap w:val="0"/>
            <w:vAlign w:val="center"/>
          </w:tcPr>
          <w:p>
            <w:pPr>
              <w:widowControl w:val="0"/>
              <w:adjustRightInd w:val="0"/>
              <w:snapToGrid w:val="0"/>
              <w:spacing w:line="240" w:lineRule="auto"/>
              <w:jc w:val="left"/>
              <w:outlineLvl w:val="0"/>
              <w:rPr>
                <w:rFonts w:hint="eastAsia" w:ascii="仿宋" w:hAnsi="仿宋" w:eastAsia="仿宋" w:cs="仿宋"/>
                <w:bCs/>
                <w:color w:val="000000"/>
                <w:kern w:val="2"/>
                <w:sz w:val="21"/>
                <w:szCs w:val="30"/>
                <w:lang w:val="en-US" w:eastAsia="zh-CN" w:bidi="ar-SA"/>
              </w:rPr>
            </w:pPr>
            <w:r>
              <w:rPr>
                <w:rFonts w:hint="eastAsia" w:ascii="仿宋" w:hAnsi="仿宋" w:eastAsia="仿宋" w:cs="仿宋"/>
                <w:bCs/>
                <w:color w:val="000000"/>
                <w:kern w:val="2"/>
                <w:sz w:val="21"/>
                <w:szCs w:val="30"/>
                <w:lang w:val="en-US" w:eastAsia="zh-CN" w:bidi="ar-SA"/>
              </w:rPr>
              <w:t>发行人债务结构不均衡：</w:t>
            </w:r>
          </w:p>
          <w:p>
            <w:pPr>
              <w:widowControl w:val="0"/>
              <w:adjustRightInd w:val="0"/>
              <w:snapToGrid w:val="0"/>
              <w:spacing w:line="240" w:lineRule="auto"/>
              <w:jc w:val="left"/>
              <w:outlineLvl w:val="0"/>
              <w:rPr>
                <w:rFonts w:hint="eastAsia" w:ascii="仿宋" w:hAnsi="仿宋" w:eastAsia="仿宋" w:cs="仿宋"/>
                <w:bCs/>
                <w:color w:val="000000"/>
                <w:kern w:val="2"/>
                <w:sz w:val="21"/>
                <w:szCs w:val="30"/>
                <w:lang w:val="en-US" w:eastAsia="zh-CN" w:bidi="ar-SA"/>
              </w:rPr>
            </w:pPr>
            <w:r>
              <w:rPr>
                <w:rFonts w:hint="eastAsia" w:ascii="仿宋" w:hAnsi="仿宋" w:eastAsia="仿宋" w:cs="仿宋"/>
                <w:bCs/>
                <w:color w:val="000000"/>
                <w:kern w:val="2"/>
                <w:sz w:val="21"/>
                <w:szCs w:val="30"/>
                <w:lang w:val="en-US" w:eastAsia="zh-CN" w:bidi="ar-SA"/>
              </w:rPr>
              <w:t>（1）银行借款余额低于有息债务总额的30%；</w:t>
            </w:r>
          </w:p>
          <w:p>
            <w:pPr>
              <w:widowControl w:val="0"/>
              <w:adjustRightInd w:val="0"/>
              <w:snapToGrid w:val="0"/>
              <w:spacing w:line="240" w:lineRule="auto"/>
              <w:jc w:val="left"/>
              <w:outlineLvl w:val="0"/>
              <w:rPr>
                <w:rFonts w:hint="eastAsia" w:ascii="仿宋" w:hAnsi="仿宋" w:eastAsia="仿宋" w:cs="仿宋"/>
                <w:bCs/>
                <w:color w:val="000000"/>
                <w:kern w:val="2"/>
                <w:sz w:val="21"/>
                <w:szCs w:val="21"/>
                <w:lang w:val="en-US" w:eastAsia="zh-CN" w:bidi="ar-SA"/>
              </w:rPr>
            </w:pPr>
            <w:r>
              <w:rPr>
                <w:rFonts w:hint="eastAsia" w:ascii="仿宋" w:hAnsi="仿宋" w:eastAsia="仿宋" w:cs="仿宋"/>
                <w:bCs/>
                <w:color w:val="000000"/>
                <w:kern w:val="2"/>
                <w:sz w:val="21"/>
                <w:szCs w:val="30"/>
                <w:lang w:val="en-US" w:eastAsia="zh-CN" w:bidi="ar-SA"/>
              </w:rPr>
              <w:t>（2）银行借款与公司债券外其他公司信用类债券余额之和低于有息债务总额的50%。</w:t>
            </w:r>
          </w:p>
        </w:tc>
        <w:tc>
          <w:tcPr>
            <w:tcW w:w="1133" w:type="dxa"/>
            <w:noWrap w:val="0"/>
            <w:vAlign w:val="center"/>
          </w:tcPr>
          <w:p>
            <w:pPr>
              <w:widowControl w:val="0"/>
              <w:adjustRightInd w:val="0"/>
              <w:snapToGrid w:val="0"/>
              <w:spacing w:line="240" w:lineRule="auto"/>
              <w:jc w:val="center"/>
              <w:outlineLvl w:val="0"/>
              <w:rPr>
                <w:rFonts w:hint="eastAsia" w:ascii="仿宋" w:hAnsi="仿宋" w:eastAsia="仿宋" w:cs="仿宋"/>
                <w:b/>
                <w:bCs/>
                <w:color w:val="000000"/>
                <w:kern w:val="2"/>
                <w:sz w:val="21"/>
                <w:szCs w:val="30"/>
                <w:lang w:val="en-US" w:eastAsia="zh-CN" w:bidi="ar-SA"/>
              </w:rPr>
            </w:pPr>
          </w:p>
        </w:tc>
        <w:tc>
          <w:tcPr>
            <w:tcW w:w="3451" w:type="dxa"/>
            <w:noWrap w:val="0"/>
            <w:vAlign w:val="center"/>
          </w:tcPr>
          <w:p>
            <w:pPr>
              <w:widowControl w:val="0"/>
              <w:adjustRightInd w:val="0"/>
              <w:snapToGrid w:val="0"/>
              <w:spacing w:line="240" w:lineRule="auto"/>
              <w:jc w:val="center"/>
              <w:outlineLvl w:val="0"/>
              <w:rPr>
                <w:rFonts w:hint="eastAsia" w:ascii="仿宋" w:hAnsi="仿宋" w:eastAsia="仿宋" w:cs="仿宋"/>
                <w:b/>
                <w:bCs/>
                <w:color w:val="000000"/>
                <w:kern w:val="2"/>
                <w:sz w:val="21"/>
                <w:szCs w:val="3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2" w:type="dxa"/>
            <w:noWrap w:val="0"/>
            <w:vAlign w:val="center"/>
          </w:tcPr>
          <w:p>
            <w:pPr>
              <w:widowControl w:val="0"/>
              <w:adjustRightInd w:val="0"/>
              <w:snapToGrid w:val="0"/>
              <w:spacing w:line="240" w:lineRule="auto"/>
              <w:jc w:val="center"/>
              <w:outlineLvl w:val="0"/>
              <w:rPr>
                <w:rFonts w:hint="eastAsia" w:ascii="仿宋" w:hAnsi="仿宋" w:eastAsia="仿宋" w:cs="仿宋"/>
                <w:b w:val="0"/>
                <w:bCs w:val="0"/>
                <w:color w:val="000000"/>
                <w:kern w:val="2"/>
                <w:sz w:val="21"/>
                <w:szCs w:val="30"/>
                <w:lang w:val="en-US" w:eastAsia="zh-CN" w:bidi="ar-SA"/>
              </w:rPr>
            </w:pPr>
            <w:r>
              <w:rPr>
                <w:rFonts w:hint="eastAsia" w:ascii="仿宋" w:hAnsi="仿宋" w:eastAsia="仿宋" w:cs="仿宋"/>
                <w:b w:val="0"/>
                <w:bCs w:val="0"/>
                <w:color w:val="000000"/>
                <w:kern w:val="2"/>
                <w:sz w:val="21"/>
                <w:szCs w:val="30"/>
                <w:lang w:val="en-US" w:eastAsia="zh-CN" w:bidi="ar-SA"/>
              </w:rPr>
              <w:t>4</w:t>
            </w:r>
          </w:p>
        </w:tc>
        <w:tc>
          <w:tcPr>
            <w:tcW w:w="4111" w:type="dxa"/>
            <w:noWrap w:val="0"/>
            <w:vAlign w:val="center"/>
          </w:tcPr>
          <w:p>
            <w:pPr>
              <w:widowControl w:val="0"/>
              <w:adjustRightInd w:val="0"/>
              <w:snapToGrid w:val="0"/>
              <w:spacing w:line="240" w:lineRule="auto"/>
              <w:jc w:val="left"/>
              <w:outlineLvl w:val="0"/>
              <w:rPr>
                <w:rFonts w:hint="eastAsia" w:ascii="仿宋" w:hAnsi="仿宋" w:eastAsia="仿宋" w:cs="仿宋"/>
                <w:bCs/>
                <w:color w:val="000000"/>
                <w:kern w:val="2"/>
                <w:sz w:val="21"/>
                <w:szCs w:val="30"/>
                <w:lang w:val="en-US" w:eastAsia="zh-CN" w:bidi="ar-SA"/>
              </w:rPr>
            </w:pPr>
            <w:r>
              <w:rPr>
                <w:rFonts w:hint="eastAsia" w:ascii="仿宋" w:hAnsi="仿宋" w:eastAsia="仿宋" w:cs="仿宋"/>
                <w:bCs/>
                <w:color w:val="000000"/>
                <w:kern w:val="2"/>
                <w:sz w:val="21"/>
                <w:szCs w:val="30"/>
                <w:lang w:val="en-US" w:eastAsia="zh-CN" w:bidi="ar-SA"/>
              </w:rPr>
              <w:t>发行人存在过度融资情形：</w:t>
            </w:r>
          </w:p>
          <w:p>
            <w:pPr>
              <w:widowControl w:val="0"/>
              <w:adjustRightInd w:val="0"/>
              <w:snapToGrid w:val="0"/>
              <w:spacing w:line="240" w:lineRule="auto"/>
              <w:jc w:val="left"/>
              <w:outlineLvl w:val="0"/>
              <w:rPr>
                <w:rFonts w:hint="eastAsia" w:ascii="仿宋" w:hAnsi="仿宋" w:eastAsia="仿宋" w:cs="仿宋"/>
                <w:bCs/>
                <w:color w:val="000000"/>
                <w:kern w:val="2"/>
                <w:sz w:val="21"/>
                <w:szCs w:val="30"/>
                <w:lang w:val="en-US" w:eastAsia="zh-CN" w:bidi="ar-SA"/>
              </w:rPr>
            </w:pPr>
            <w:r>
              <w:rPr>
                <w:rFonts w:hint="eastAsia" w:ascii="仿宋" w:hAnsi="仿宋" w:eastAsia="仿宋" w:cs="仿宋"/>
                <w:bCs/>
                <w:color w:val="000000"/>
                <w:kern w:val="2"/>
                <w:sz w:val="21"/>
                <w:szCs w:val="30"/>
                <w:lang w:val="en-US" w:eastAsia="zh-CN" w:bidi="ar-SA"/>
              </w:rPr>
              <w:t>（1）报告期内有息负债余额年均增长率超过30%、最近一年末资产负债率超过行业平均水平且速动比率小于1；</w:t>
            </w:r>
          </w:p>
          <w:p>
            <w:pPr>
              <w:widowControl w:val="0"/>
              <w:adjustRightInd w:val="0"/>
              <w:snapToGrid w:val="0"/>
              <w:spacing w:line="240" w:lineRule="auto"/>
              <w:jc w:val="left"/>
              <w:outlineLvl w:val="0"/>
              <w:rPr>
                <w:rFonts w:hint="eastAsia" w:ascii="仿宋" w:hAnsi="仿宋" w:eastAsia="仿宋" w:cs="仿宋"/>
                <w:bCs/>
                <w:color w:val="000000"/>
                <w:kern w:val="2"/>
                <w:sz w:val="21"/>
                <w:szCs w:val="30"/>
                <w:lang w:val="en-US" w:eastAsia="zh-CN" w:bidi="ar-SA"/>
              </w:rPr>
            </w:pPr>
            <w:r>
              <w:rPr>
                <w:rFonts w:hint="eastAsia" w:ascii="仿宋" w:hAnsi="仿宋" w:eastAsia="仿宋" w:cs="仿宋"/>
                <w:bCs/>
                <w:color w:val="000000"/>
                <w:kern w:val="2"/>
                <w:sz w:val="21"/>
                <w:szCs w:val="30"/>
                <w:lang w:val="en-US" w:eastAsia="zh-CN" w:bidi="ar-SA"/>
              </w:rPr>
              <w:t>（2）最近一年末资产负债率、有息负债与净资产比例均超出行业平均水平的30%。</w:t>
            </w:r>
          </w:p>
        </w:tc>
        <w:tc>
          <w:tcPr>
            <w:tcW w:w="1133" w:type="dxa"/>
            <w:noWrap w:val="0"/>
            <w:vAlign w:val="center"/>
          </w:tcPr>
          <w:p>
            <w:pPr>
              <w:widowControl w:val="0"/>
              <w:adjustRightInd w:val="0"/>
              <w:snapToGrid w:val="0"/>
              <w:spacing w:line="240" w:lineRule="auto"/>
              <w:jc w:val="center"/>
              <w:outlineLvl w:val="0"/>
              <w:rPr>
                <w:rFonts w:hint="eastAsia" w:ascii="仿宋" w:hAnsi="仿宋" w:eastAsia="仿宋" w:cs="仿宋"/>
                <w:b/>
                <w:bCs/>
                <w:color w:val="000000"/>
                <w:kern w:val="2"/>
                <w:sz w:val="21"/>
                <w:szCs w:val="30"/>
                <w:lang w:val="en-US" w:eastAsia="zh-CN" w:bidi="ar-SA"/>
              </w:rPr>
            </w:pPr>
          </w:p>
        </w:tc>
        <w:tc>
          <w:tcPr>
            <w:tcW w:w="3451" w:type="dxa"/>
            <w:noWrap w:val="0"/>
            <w:vAlign w:val="center"/>
          </w:tcPr>
          <w:p>
            <w:pPr>
              <w:widowControl w:val="0"/>
              <w:adjustRightInd w:val="0"/>
              <w:snapToGrid w:val="0"/>
              <w:spacing w:line="240" w:lineRule="auto"/>
              <w:jc w:val="center"/>
              <w:outlineLvl w:val="0"/>
              <w:rPr>
                <w:rFonts w:hint="eastAsia" w:ascii="仿宋" w:hAnsi="仿宋" w:eastAsia="仿宋" w:cs="仿宋"/>
                <w:b/>
                <w:bCs/>
                <w:color w:val="000000"/>
                <w:kern w:val="2"/>
                <w:sz w:val="21"/>
                <w:szCs w:val="30"/>
                <w:lang w:val="en-US" w:eastAsia="zh-CN" w:bidi="ar-SA"/>
              </w:rPr>
            </w:pPr>
          </w:p>
        </w:tc>
      </w:tr>
    </w:tbl>
    <w:p>
      <w:pPr>
        <w:adjustRightInd w:val="0"/>
        <w:snapToGrid w:val="0"/>
        <w:spacing w:line="560" w:lineRule="exact"/>
        <w:ind w:firstLine="632" w:firstLineChars="200"/>
        <w:rPr>
          <w:rFonts w:hint="eastAsia" w:ascii="黑体" w:hAnsi="黑体" w:eastAsia="黑体"/>
          <w:b w:val="0"/>
          <w:bCs/>
          <w:color w:val="000000"/>
          <w:sz w:val="32"/>
          <w:szCs w:val="32"/>
          <w:lang w:eastAsia="zh-CN"/>
        </w:rPr>
      </w:pPr>
      <w:r>
        <w:rPr>
          <w:rFonts w:hint="eastAsia" w:ascii="黑体" w:hAnsi="黑体" w:eastAsia="黑体"/>
          <w:b w:val="0"/>
          <w:bCs/>
          <w:color w:val="000000"/>
          <w:sz w:val="32"/>
          <w:szCs w:val="32"/>
          <w:lang w:eastAsia="zh-CN"/>
        </w:rPr>
        <w:t>五、存续公司债券和批文情况</w:t>
      </w:r>
    </w:p>
    <w:p>
      <w:pPr>
        <w:adjustRightInd w:val="0"/>
        <w:snapToGrid w:val="0"/>
        <w:spacing w:line="560" w:lineRule="exact"/>
        <w:ind w:left="0" w:leftChars="0" w:firstLine="632" w:firstLineChars="200"/>
        <w:jc w:val="left"/>
        <w:rPr>
          <w:rFonts w:hint="eastAsia" w:ascii="楷体" w:hAnsi="楷体" w:eastAsia="楷体" w:cs="楷体"/>
          <w:b w:val="0"/>
          <w:bCs w:val="0"/>
          <w:sz w:val="32"/>
          <w:szCs w:val="32"/>
        </w:rPr>
      </w:pPr>
      <w:r>
        <w:rPr>
          <w:rFonts w:hint="eastAsia" w:ascii="楷体" w:hAnsi="楷体" w:eastAsia="楷体" w:cs="楷体"/>
          <w:b w:val="0"/>
          <w:bCs w:val="0"/>
          <w:sz w:val="32"/>
          <w:szCs w:val="32"/>
        </w:rPr>
        <w:t>（一）存续公司债券情况</w:t>
      </w:r>
    </w:p>
    <w:p>
      <w:pPr>
        <w:adjustRightInd w:val="0"/>
        <w:snapToGrid w:val="0"/>
        <w:spacing w:line="560" w:lineRule="exact"/>
        <w:ind w:firstLine="632"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截至本</w:t>
      </w:r>
      <w:r>
        <w:rPr>
          <w:rFonts w:hint="eastAsia" w:ascii="仿宋" w:hAnsi="仿宋" w:cs="仿宋"/>
          <w:color w:val="000000"/>
          <w:sz w:val="32"/>
          <w:szCs w:val="32"/>
          <w:lang w:eastAsia="zh-CN"/>
        </w:rPr>
        <w:t>说明书</w:t>
      </w:r>
      <w:r>
        <w:rPr>
          <w:rFonts w:hint="eastAsia" w:ascii="仿宋" w:hAnsi="仿宋" w:eastAsia="仿宋" w:cs="仿宋"/>
          <w:color w:val="000000"/>
          <w:sz w:val="32"/>
          <w:szCs w:val="32"/>
        </w:rPr>
        <w:t>出具日，发行人及</w:t>
      </w:r>
      <w:r>
        <w:rPr>
          <w:rFonts w:hint="eastAsia" w:ascii="仿宋" w:hAnsi="仿宋" w:cs="仿宋"/>
          <w:color w:val="000000"/>
          <w:sz w:val="32"/>
          <w:szCs w:val="32"/>
          <w:lang w:eastAsia="zh-CN"/>
        </w:rPr>
        <w:t>其合并范围内</w:t>
      </w:r>
      <w:r>
        <w:rPr>
          <w:rFonts w:hint="eastAsia" w:ascii="仿宋" w:hAnsi="仿宋" w:eastAsia="仿宋" w:cs="仿宋"/>
          <w:color w:val="000000"/>
          <w:sz w:val="32"/>
          <w:szCs w:val="32"/>
        </w:rPr>
        <w:t>子公司存续公司债券规模为</w:t>
      </w:r>
      <w:r>
        <w:rPr>
          <w:rFonts w:hint="eastAsia" w:ascii="仿宋" w:hAnsi="仿宋" w:cs="仿宋"/>
          <w:color w:val="000000"/>
          <w:sz w:val="32"/>
          <w:szCs w:val="32"/>
          <w:lang w:val="en-US" w:eastAsia="zh-CN"/>
        </w:rPr>
        <w:t>XX</w:t>
      </w:r>
      <w:r>
        <w:rPr>
          <w:rFonts w:hint="eastAsia" w:ascii="仿宋" w:hAnsi="仿宋" w:eastAsia="仿宋" w:cs="仿宋"/>
          <w:color w:val="000000"/>
          <w:sz w:val="32"/>
          <w:szCs w:val="32"/>
        </w:rPr>
        <w:t>亿元，具体情况如下：</w:t>
      </w:r>
    </w:p>
    <w:tbl>
      <w:tblPr>
        <w:tblStyle w:val="16"/>
        <w:tblW w:w="8786" w:type="dxa"/>
        <w:jc w:val="center"/>
        <w:tblBorders>
          <w:top w:val="single" w:color="010000" w:sz="4" w:space="0"/>
          <w:left w:val="single" w:color="010000" w:sz="4" w:space="0"/>
          <w:bottom w:val="single" w:color="010000" w:sz="4" w:space="0"/>
          <w:right w:val="single" w:color="010000" w:sz="4" w:space="0"/>
          <w:insideH w:val="single" w:color="010000" w:sz="4" w:space="0"/>
          <w:insideV w:val="single" w:color="010000" w:sz="4" w:space="0"/>
        </w:tblBorders>
        <w:tblLayout w:type="fixed"/>
        <w:tblCellMar>
          <w:top w:w="0" w:type="dxa"/>
          <w:left w:w="108" w:type="dxa"/>
          <w:bottom w:w="0" w:type="dxa"/>
          <w:right w:w="108" w:type="dxa"/>
        </w:tblCellMar>
      </w:tblPr>
      <w:tblGrid>
        <w:gridCol w:w="915"/>
        <w:gridCol w:w="1134"/>
        <w:gridCol w:w="640"/>
        <w:gridCol w:w="770"/>
        <w:gridCol w:w="778"/>
        <w:gridCol w:w="742"/>
        <w:gridCol w:w="758"/>
        <w:gridCol w:w="1053"/>
        <w:gridCol w:w="834"/>
        <w:gridCol w:w="1162"/>
      </w:tblGrid>
      <w:tr>
        <w:tblPrEx>
          <w:tblBorders>
            <w:top w:val="single" w:color="010000" w:sz="4" w:space="0"/>
            <w:left w:val="single" w:color="010000" w:sz="4" w:space="0"/>
            <w:bottom w:val="single" w:color="010000" w:sz="4" w:space="0"/>
            <w:right w:val="single" w:color="010000" w:sz="4" w:space="0"/>
            <w:insideH w:val="single" w:color="010000" w:sz="4" w:space="0"/>
            <w:insideV w:val="single" w:color="010000" w:sz="4" w:space="0"/>
          </w:tblBorders>
          <w:tblCellMar>
            <w:top w:w="0" w:type="dxa"/>
            <w:left w:w="108" w:type="dxa"/>
            <w:bottom w:w="0" w:type="dxa"/>
            <w:right w:w="108" w:type="dxa"/>
          </w:tblCellMar>
        </w:tblPrEx>
        <w:trPr>
          <w:cantSplit/>
          <w:trHeight w:val="1229" w:hRule="atLeast"/>
          <w:tblHeader/>
          <w:jc w:val="center"/>
        </w:trPr>
        <w:tc>
          <w:tcPr>
            <w:tcW w:w="520" w:type="pct"/>
            <w:noWrap/>
            <w:vAlign w:val="center"/>
          </w:tcPr>
          <w:p>
            <w:pPr>
              <w:keepNext/>
              <w:adjustRightInd w:val="0"/>
              <w:snapToGrid w:val="0"/>
              <w:spacing w:line="36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645" w:type="pct"/>
            <w:noWrap/>
            <w:vAlign w:val="center"/>
          </w:tcPr>
          <w:p>
            <w:pPr>
              <w:keepNext/>
              <w:adjustRightInd w:val="0"/>
              <w:snapToGrid w:val="0"/>
              <w:spacing w:line="36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债券简称</w:t>
            </w:r>
          </w:p>
        </w:tc>
        <w:tc>
          <w:tcPr>
            <w:tcW w:w="364" w:type="pct"/>
            <w:noWrap/>
            <w:vAlign w:val="center"/>
          </w:tcPr>
          <w:p>
            <w:pPr>
              <w:keepNext/>
              <w:adjustRightInd w:val="0"/>
              <w:snapToGrid w:val="0"/>
              <w:spacing w:line="36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发行方式</w:t>
            </w:r>
          </w:p>
        </w:tc>
        <w:tc>
          <w:tcPr>
            <w:tcW w:w="438" w:type="pct"/>
            <w:noWrap/>
            <w:vAlign w:val="center"/>
          </w:tcPr>
          <w:p>
            <w:pPr>
              <w:keepNext/>
              <w:adjustRightInd w:val="0"/>
              <w:snapToGrid w:val="0"/>
              <w:spacing w:line="36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起息日期</w:t>
            </w:r>
          </w:p>
        </w:tc>
        <w:tc>
          <w:tcPr>
            <w:tcW w:w="442" w:type="pct"/>
            <w:noWrap/>
            <w:vAlign w:val="center"/>
          </w:tcPr>
          <w:p>
            <w:pPr>
              <w:keepNext/>
              <w:adjustRightInd w:val="0"/>
              <w:snapToGrid w:val="0"/>
              <w:spacing w:line="36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回售日期</w:t>
            </w:r>
          </w:p>
        </w:tc>
        <w:tc>
          <w:tcPr>
            <w:tcW w:w="422" w:type="pct"/>
            <w:noWrap/>
            <w:vAlign w:val="center"/>
          </w:tcPr>
          <w:p>
            <w:pPr>
              <w:keepNext/>
              <w:adjustRightInd w:val="0"/>
              <w:snapToGrid w:val="0"/>
              <w:spacing w:line="36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到期日期</w:t>
            </w:r>
          </w:p>
        </w:tc>
        <w:tc>
          <w:tcPr>
            <w:tcW w:w="431" w:type="pct"/>
            <w:noWrap/>
            <w:vAlign w:val="center"/>
          </w:tcPr>
          <w:p>
            <w:pPr>
              <w:keepNext/>
              <w:adjustRightInd w:val="0"/>
              <w:snapToGrid w:val="0"/>
              <w:spacing w:line="36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债券期限（年）</w:t>
            </w:r>
          </w:p>
        </w:tc>
        <w:tc>
          <w:tcPr>
            <w:tcW w:w="599" w:type="pct"/>
            <w:noWrap/>
            <w:vAlign w:val="center"/>
          </w:tcPr>
          <w:p>
            <w:pPr>
              <w:keepNext/>
              <w:adjustRightInd w:val="0"/>
              <w:snapToGrid w:val="0"/>
              <w:spacing w:line="36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发行规模（亿元）</w:t>
            </w:r>
          </w:p>
        </w:tc>
        <w:tc>
          <w:tcPr>
            <w:tcW w:w="474" w:type="pct"/>
            <w:noWrap/>
            <w:vAlign w:val="center"/>
          </w:tcPr>
          <w:p>
            <w:pPr>
              <w:keepNext/>
              <w:adjustRightInd w:val="0"/>
              <w:snapToGrid w:val="0"/>
              <w:spacing w:line="36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发行利率（%）</w:t>
            </w:r>
          </w:p>
        </w:tc>
        <w:tc>
          <w:tcPr>
            <w:tcW w:w="661" w:type="pct"/>
            <w:noWrap/>
            <w:vAlign w:val="center"/>
          </w:tcPr>
          <w:p>
            <w:pPr>
              <w:keepNext/>
              <w:adjustRightInd w:val="0"/>
              <w:snapToGrid w:val="0"/>
              <w:spacing w:line="36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债券余额（亿元）</w:t>
            </w:r>
          </w:p>
        </w:tc>
      </w:tr>
      <w:tr>
        <w:tblPrEx>
          <w:tblBorders>
            <w:top w:val="single" w:color="010000" w:sz="4" w:space="0"/>
            <w:left w:val="single" w:color="010000" w:sz="4" w:space="0"/>
            <w:bottom w:val="single" w:color="010000" w:sz="4" w:space="0"/>
            <w:right w:val="single" w:color="010000" w:sz="4" w:space="0"/>
            <w:insideH w:val="single" w:color="010000" w:sz="4" w:space="0"/>
            <w:insideV w:val="single" w:color="010000" w:sz="4" w:space="0"/>
          </w:tblBorders>
        </w:tblPrEx>
        <w:trPr>
          <w:cantSplit/>
          <w:trHeight w:val="90" w:hRule="atLeast"/>
          <w:jc w:val="center"/>
        </w:trPr>
        <w:tc>
          <w:tcPr>
            <w:tcW w:w="520" w:type="pct"/>
            <w:vAlign w:val="center"/>
          </w:tcPr>
          <w:p>
            <w:pPr>
              <w:adjustRightInd w:val="0"/>
              <w:snapToGrid w:val="0"/>
              <w:spacing w:line="360" w:lineRule="exact"/>
              <w:jc w:val="center"/>
              <w:rPr>
                <w:rFonts w:hint="eastAsia" w:ascii="宋体" w:hAnsi="宋体" w:eastAsia="宋体" w:cs="宋体"/>
                <w:color w:val="000000"/>
                <w:sz w:val="21"/>
                <w:szCs w:val="21"/>
              </w:rPr>
            </w:pPr>
          </w:p>
        </w:tc>
        <w:tc>
          <w:tcPr>
            <w:tcW w:w="645" w:type="pct"/>
            <w:noWrap/>
            <w:vAlign w:val="center"/>
          </w:tcPr>
          <w:p>
            <w:pPr>
              <w:adjustRightInd w:val="0"/>
              <w:snapToGrid w:val="0"/>
              <w:spacing w:line="360" w:lineRule="exact"/>
              <w:jc w:val="center"/>
              <w:rPr>
                <w:rFonts w:hint="eastAsia" w:ascii="宋体" w:hAnsi="宋体" w:eastAsia="宋体" w:cs="宋体"/>
                <w:color w:val="000000"/>
                <w:sz w:val="21"/>
                <w:szCs w:val="21"/>
              </w:rPr>
            </w:pPr>
          </w:p>
        </w:tc>
        <w:tc>
          <w:tcPr>
            <w:tcW w:w="364" w:type="pct"/>
            <w:noWrap/>
            <w:vAlign w:val="center"/>
          </w:tcPr>
          <w:p>
            <w:pPr>
              <w:adjustRightInd w:val="0"/>
              <w:snapToGrid w:val="0"/>
              <w:spacing w:line="360" w:lineRule="exact"/>
              <w:jc w:val="center"/>
              <w:rPr>
                <w:rFonts w:hint="eastAsia" w:ascii="宋体" w:hAnsi="宋体" w:eastAsia="宋体" w:cs="宋体"/>
                <w:color w:val="000000"/>
                <w:sz w:val="21"/>
                <w:szCs w:val="21"/>
              </w:rPr>
            </w:pPr>
          </w:p>
        </w:tc>
        <w:tc>
          <w:tcPr>
            <w:tcW w:w="438" w:type="pct"/>
            <w:noWrap/>
            <w:vAlign w:val="center"/>
          </w:tcPr>
          <w:p>
            <w:pPr>
              <w:adjustRightInd w:val="0"/>
              <w:snapToGrid w:val="0"/>
              <w:spacing w:line="360" w:lineRule="exact"/>
              <w:jc w:val="center"/>
              <w:rPr>
                <w:rFonts w:hint="eastAsia" w:ascii="宋体" w:hAnsi="宋体" w:eastAsia="宋体" w:cs="宋体"/>
                <w:color w:val="000000"/>
                <w:sz w:val="21"/>
                <w:szCs w:val="21"/>
              </w:rPr>
            </w:pPr>
          </w:p>
        </w:tc>
        <w:tc>
          <w:tcPr>
            <w:tcW w:w="442" w:type="pct"/>
            <w:noWrap/>
            <w:vAlign w:val="center"/>
          </w:tcPr>
          <w:p>
            <w:pPr>
              <w:adjustRightInd w:val="0"/>
              <w:snapToGrid w:val="0"/>
              <w:spacing w:line="360" w:lineRule="exact"/>
              <w:jc w:val="center"/>
              <w:rPr>
                <w:rFonts w:hint="eastAsia" w:ascii="宋体" w:hAnsi="宋体" w:eastAsia="宋体" w:cs="宋体"/>
                <w:color w:val="000000"/>
                <w:sz w:val="21"/>
                <w:szCs w:val="21"/>
              </w:rPr>
            </w:pPr>
          </w:p>
        </w:tc>
        <w:tc>
          <w:tcPr>
            <w:tcW w:w="422" w:type="pct"/>
            <w:noWrap/>
            <w:vAlign w:val="center"/>
          </w:tcPr>
          <w:p>
            <w:pPr>
              <w:adjustRightInd w:val="0"/>
              <w:snapToGrid w:val="0"/>
              <w:spacing w:line="360" w:lineRule="exact"/>
              <w:jc w:val="center"/>
              <w:rPr>
                <w:rFonts w:hint="eastAsia" w:ascii="宋体" w:hAnsi="宋体" w:eastAsia="宋体" w:cs="宋体"/>
                <w:color w:val="000000"/>
                <w:sz w:val="21"/>
                <w:szCs w:val="21"/>
              </w:rPr>
            </w:pPr>
          </w:p>
        </w:tc>
        <w:tc>
          <w:tcPr>
            <w:tcW w:w="431" w:type="pct"/>
            <w:noWrap/>
            <w:vAlign w:val="center"/>
          </w:tcPr>
          <w:p>
            <w:pPr>
              <w:adjustRightInd w:val="0"/>
              <w:snapToGrid w:val="0"/>
              <w:spacing w:line="360" w:lineRule="exact"/>
              <w:jc w:val="center"/>
              <w:rPr>
                <w:rFonts w:hint="eastAsia" w:ascii="宋体" w:hAnsi="宋体" w:eastAsia="宋体" w:cs="宋体"/>
                <w:color w:val="000000"/>
                <w:sz w:val="21"/>
                <w:szCs w:val="21"/>
              </w:rPr>
            </w:pPr>
          </w:p>
        </w:tc>
        <w:tc>
          <w:tcPr>
            <w:tcW w:w="599" w:type="pct"/>
            <w:noWrap/>
            <w:vAlign w:val="center"/>
          </w:tcPr>
          <w:p>
            <w:pPr>
              <w:adjustRightInd w:val="0"/>
              <w:snapToGrid w:val="0"/>
              <w:spacing w:line="360" w:lineRule="exact"/>
              <w:jc w:val="center"/>
              <w:rPr>
                <w:rFonts w:hint="eastAsia" w:ascii="宋体" w:hAnsi="宋体" w:eastAsia="宋体" w:cs="宋体"/>
                <w:color w:val="000000"/>
                <w:sz w:val="21"/>
                <w:szCs w:val="21"/>
              </w:rPr>
            </w:pPr>
          </w:p>
        </w:tc>
        <w:tc>
          <w:tcPr>
            <w:tcW w:w="474" w:type="pct"/>
            <w:noWrap/>
            <w:vAlign w:val="center"/>
          </w:tcPr>
          <w:p>
            <w:pPr>
              <w:adjustRightInd w:val="0"/>
              <w:snapToGrid w:val="0"/>
              <w:spacing w:line="360" w:lineRule="exact"/>
              <w:jc w:val="center"/>
              <w:rPr>
                <w:rFonts w:hint="eastAsia" w:ascii="宋体" w:hAnsi="宋体" w:eastAsia="宋体" w:cs="宋体"/>
                <w:color w:val="000000"/>
                <w:sz w:val="21"/>
                <w:szCs w:val="21"/>
              </w:rPr>
            </w:pPr>
          </w:p>
        </w:tc>
        <w:tc>
          <w:tcPr>
            <w:tcW w:w="661" w:type="pct"/>
            <w:noWrap/>
            <w:vAlign w:val="center"/>
          </w:tcPr>
          <w:p>
            <w:pPr>
              <w:adjustRightInd w:val="0"/>
              <w:snapToGrid w:val="0"/>
              <w:spacing w:line="360" w:lineRule="exact"/>
              <w:jc w:val="center"/>
              <w:rPr>
                <w:rFonts w:hint="eastAsia" w:ascii="宋体" w:hAnsi="宋体" w:eastAsia="宋体" w:cs="宋体"/>
                <w:color w:val="000000"/>
                <w:sz w:val="21"/>
                <w:szCs w:val="21"/>
              </w:rPr>
            </w:pPr>
          </w:p>
        </w:tc>
      </w:tr>
    </w:tbl>
    <w:p>
      <w:pPr>
        <w:adjustRightInd w:val="0"/>
        <w:snapToGrid w:val="0"/>
        <w:spacing w:line="560" w:lineRule="exact"/>
        <w:ind w:left="0" w:leftChars="0" w:firstLine="632" w:firstLineChars="200"/>
        <w:jc w:val="left"/>
        <w:rPr>
          <w:rFonts w:hint="eastAsia" w:ascii="楷体" w:hAnsi="楷体" w:eastAsia="楷体" w:cs="楷体"/>
          <w:b w:val="0"/>
          <w:bCs w:val="0"/>
          <w:sz w:val="32"/>
          <w:szCs w:val="32"/>
        </w:rPr>
      </w:pPr>
      <w:r>
        <w:rPr>
          <w:rFonts w:hint="eastAsia" w:ascii="楷体" w:hAnsi="楷体" w:eastAsia="楷体" w:cs="楷体"/>
          <w:b w:val="0"/>
          <w:bCs w:val="0"/>
          <w:sz w:val="32"/>
          <w:szCs w:val="32"/>
        </w:rPr>
        <w:t>（二）批文情况</w:t>
      </w:r>
    </w:p>
    <w:p>
      <w:pPr>
        <w:adjustRightInd w:val="0"/>
        <w:snapToGrid w:val="0"/>
        <w:spacing w:line="560" w:lineRule="exact"/>
        <w:ind w:firstLine="632"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截至本</w:t>
      </w:r>
      <w:r>
        <w:rPr>
          <w:rFonts w:hint="eastAsia" w:ascii="仿宋" w:hAnsi="仿宋" w:cs="仿宋"/>
          <w:color w:val="000000"/>
          <w:sz w:val="32"/>
          <w:szCs w:val="32"/>
          <w:lang w:eastAsia="zh-CN"/>
        </w:rPr>
        <w:t>说明书</w:t>
      </w:r>
      <w:r>
        <w:rPr>
          <w:rFonts w:hint="eastAsia" w:ascii="仿宋" w:hAnsi="仿宋" w:eastAsia="仿宋" w:cs="仿宋"/>
          <w:color w:val="000000"/>
          <w:sz w:val="32"/>
          <w:szCs w:val="32"/>
        </w:rPr>
        <w:t>出具日，发行人及其合并范围内子公司已注册尚未发行的公司债券额度为</w:t>
      </w:r>
      <w:r>
        <w:rPr>
          <w:rFonts w:hint="eastAsia" w:ascii="仿宋" w:hAnsi="仿宋" w:cs="仿宋"/>
          <w:color w:val="000000"/>
          <w:sz w:val="32"/>
          <w:szCs w:val="32"/>
          <w:lang w:val="en-US" w:eastAsia="zh-CN"/>
        </w:rPr>
        <w:t>XX</w:t>
      </w:r>
      <w:r>
        <w:rPr>
          <w:rFonts w:hint="eastAsia" w:ascii="仿宋" w:hAnsi="仿宋" w:eastAsia="仿宋" w:cs="仿宋"/>
          <w:color w:val="000000"/>
          <w:sz w:val="32"/>
          <w:szCs w:val="32"/>
        </w:rPr>
        <w:t>亿元，具体情况如下：</w:t>
      </w:r>
    </w:p>
    <w:tbl>
      <w:tblPr>
        <w:tblStyle w:val="16"/>
        <w:tblW w:w="48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9"/>
        <w:gridCol w:w="947"/>
        <w:gridCol w:w="942"/>
        <w:gridCol w:w="844"/>
        <w:gridCol w:w="969"/>
        <w:gridCol w:w="2547"/>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6" w:hRule="atLeast"/>
          <w:jc w:val="center"/>
        </w:trPr>
        <w:tc>
          <w:tcPr>
            <w:tcW w:w="712" w:type="pct"/>
            <w:vAlign w:val="center"/>
          </w:tcPr>
          <w:p>
            <w:pPr>
              <w:adjustRightInd w:val="0"/>
              <w:snapToGrid w:val="0"/>
              <w:spacing w:line="36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主体名称</w:t>
            </w:r>
          </w:p>
        </w:tc>
        <w:tc>
          <w:tcPr>
            <w:tcW w:w="535" w:type="pct"/>
            <w:vAlign w:val="center"/>
          </w:tcPr>
          <w:p>
            <w:pPr>
              <w:adjustRightInd w:val="0"/>
              <w:snapToGrid w:val="0"/>
              <w:spacing w:line="36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获取批文场所</w:t>
            </w:r>
          </w:p>
        </w:tc>
        <w:tc>
          <w:tcPr>
            <w:tcW w:w="532" w:type="pct"/>
            <w:noWrap/>
            <w:vAlign w:val="center"/>
          </w:tcPr>
          <w:p>
            <w:pPr>
              <w:adjustRightInd w:val="0"/>
              <w:snapToGrid w:val="0"/>
              <w:spacing w:line="360" w:lineRule="exact"/>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债券产品类型</w:t>
            </w:r>
          </w:p>
        </w:tc>
        <w:tc>
          <w:tcPr>
            <w:tcW w:w="477" w:type="pct"/>
            <w:vAlign w:val="center"/>
          </w:tcPr>
          <w:p>
            <w:pPr>
              <w:adjustRightInd w:val="0"/>
              <w:snapToGrid w:val="0"/>
              <w:spacing w:line="36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批文额度（亿元）</w:t>
            </w:r>
          </w:p>
        </w:tc>
        <w:tc>
          <w:tcPr>
            <w:tcW w:w="548" w:type="pct"/>
            <w:vAlign w:val="center"/>
          </w:tcPr>
          <w:p>
            <w:pPr>
              <w:adjustRightInd w:val="0"/>
              <w:snapToGrid w:val="0"/>
              <w:spacing w:line="36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剩余未发行额度（亿元）</w:t>
            </w:r>
          </w:p>
        </w:tc>
        <w:tc>
          <w:tcPr>
            <w:tcW w:w="1440" w:type="pct"/>
            <w:vAlign w:val="center"/>
          </w:tcPr>
          <w:p>
            <w:pPr>
              <w:adjustRightInd w:val="0"/>
              <w:snapToGrid w:val="0"/>
              <w:spacing w:line="36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募集资金用途</w:t>
            </w:r>
          </w:p>
        </w:tc>
        <w:tc>
          <w:tcPr>
            <w:tcW w:w="753" w:type="pct"/>
            <w:noWrap/>
            <w:vAlign w:val="center"/>
          </w:tcPr>
          <w:p>
            <w:pPr>
              <w:adjustRightInd w:val="0"/>
              <w:snapToGrid w:val="0"/>
              <w:spacing w:line="36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批文到期日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 w:hRule="atLeast"/>
          <w:jc w:val="center"/>
        </w:trPr>
        <w:tc>
          <w:tcPr>
            <w:tcW w:w="712" w:type="pct"/>
            <w:noWrap/>
            <w:vAlign w:val="center"/>
          </w:tcPr>
          <w:p>
            <w:pPr>
              <w:adjustRightInd w:val="0"/>
              <w:snapToGrid w:val="0"/>
              <w:spacing w:line="360" w:lineRule="exact"/>
              <w:jc w:val="center"/>
              <w:rPr>
                <w:rFonts w:hint="eastAsia" w:ascii="宋体" w:hAnsi="宋体" w:eastAsia="宋体" w:cs="宋体"/>
                <w:color w:val="000000"/>
                <w:sz w:val="21"/>
                <w:szCs w:val="21"/>
              </w:rPr>
            </w:pPr>
          </w:p>
        </w:tc>
        <w:tc>
          <w:tcPr>
            <w:tcW w:w="535" w:type="pct"/>
            <w:vAlign w:val="center"/>
          </w:tcPr>
          <w:p>
            <w:pPr>
              <w:adjustRightInd w:val="0"/>
              <w:snapToGrid w:val="0"/>
              <w:spacing w:line="360" w:lineRule="exact"/>
              <w:jc w:val="center"/>
              <w:rPr>
                <w:rFonts w:hint="eastAsia" w:ascii="宋体" w:hAnsi="宋体" w:eastAsia="宋体" w:cs="宋体"/>
                <w:color w:val="000000"/>
                <w:sz w:val="21"/>
                <w:szCs w:val="21"/>
              </w:rPr>
            </w:pPr>
          </w:p>
        </w:tc>
        <w:tc>
          <w:tcPr>
            <w:tcW w:w="532" w:type="pct"/>
            <w:noWrap/>
            <w:vAlign w:val="center"/>
          </w:tcPr>
          <w:p>
            <w:pPr>
              <w:adjustRightInd w:val="0"/>
              <w:snapToGrid w:val="0"/>
              <w:spacing w:line="360" w:lineRule="exact"/>
              <w:jc w:val="center"/>
              <w:rPr>
                <w:rFonts w:hint="eastAsia" w:ascii="宋体" w:hAnsi="宋体" w:eastAsia="宋体" w:cs="宋体"/>
                <w:color w:val="000000"/>
                <w:sz w:val="21"/>
                <w:szCs w:val="21"/>
              </w:rPr>
            </w:pPr>
          </w:p>
        </w:tc>
        <w:tc>
          <w:tcPr>
            <w:tcW w:w="477" w:type="pct"/>
            <w:vAlign w:val="center"/>
          </w:tcPr>
          <w:p>
            <w:pPr>
              <w:adjustRightInd w:val="0"/>
              <w:snapToGrid w:val="0"/>
              <w:spacing w:line="360" w:lineRule="exact"/>
              <w:jc w:val="center"/>
              <w:rPr>
                <w:rFonts w:hint="eastAsia" w:ascii="宋体" w:hAnsi="宋体" w:eastAsia="宋体" w:cs="宋体"/>
                <w:color w:val="000000"/>
                <w:sz w:val="21"/>
                <w:szCs w:val="21"/>
              </w:rPr>
            </w:pPr>
          </w:p>
        </w:tc>
        <w:tc>
          <w:tcPr>
            <w:tcW w:w="548" w:type="pct"/>
            <w:vAlign w:val="center"/>
          </w:tcPr>
          <w:p>
            <w:pPr>
              <w:adjustRightInd w:val="0"/>
              <w:snapToGrid w:val="0"/>
              <w:spacing w:line="360" w:lineRule="exact"/>
              <w:jc w:val="center"/>
              <w:rPr>
                <w:rFonts w:hint="eastAsia" w:ascii="宋体" w:hAnsi="宋体" w:eastAsia="宋体" w:cs="宋体"/>
                <w:color w:val="000000"/>
                <w:sz w:val="21"/>
                <w:szCs w:val="21"/>
              </w:rPr>
            </w:pPr>
          </w:p>
        </w:tc>
        <w:tc>
          <w:tcPr>
            <w:tcW w:w="1440" w:type="pct"/>
            <w:vAlign w:val="center"/>
          </w:tcPr>
          <w:p>
            <w:pPr>
              <w:adjustRightInd w:val="0"/>
              <w:snapToGrid w:val="0"/>
              <w:spacing w:line="360" w:lineRule="exact"/>
              <w:rPr>
                <w:rFonts w:hint="eastAsia" w:ascii="宋体" w:hAnsi="宋体" w:eastAsia="宋体" w:cs="宋体"/>
                <w:color w:val="000000"/>
                <w:sz w:val="21"/>
                <w:szCs w:val="21"/>
              </w:rPr>
            </w:pPr>
          </w:p>
        </w:tc>
        <w:tc>
          <w:tcPr>
            <w:tcW w:w="753" w:type="pct"/>
            <w:noWrap/>
            <w:vAlign w:val="center"/>
          </w:tcPr>
          <w:p>
            <w:pPr>
              <w:adjustRightInd w:val="0"/>
              <w:snapToGrid w:val="0"/>
              <w:spacing w:line="360" w:lineRule="exact"/>
              <w:jc w:val="center"/>
              <w:rPr>
                <w:rFonts w:hint="eastAsia" w:ascii="宋体" w:hAnsi="宋体" w:eastAsia="宋体" w:cs="宋体"/>
                <w:color w:val="000000"/>
                <w:sz w:val="21"/>
                <w:szCs w:val="21"/>
              </w:rPr>
            </w:pPr>
          </w:p>
        </w:tc>
      </w:tr>
    </w:tbl>
    <w:p>
      <w:pPr>
        <w:adjustRightInd w:val="0"/>
        <w:snapToGrid w:val="0"/>
        <w:spacing w:line="560" w:lineRule="exact"/>
        <w:ind w:firstLine="632" w:firstLineChars="200"/>
        <w:rPr>
          <w:rFonts w:hint="eastAsia" w:ascii="黑体" w:hAnsi="黑体" w:eastAsia="黑体"/>
          <w:b w:val="0"/>
          <w:bCs/>
          <w:color w:val="000000"/>
          <w:sz w:val="32"/>
          <w:szCs w:val="32"/>
        </w:rPr>
      </w:pPr>
      <w:r>
        <w:rPr>
          <w:rFonts w:hint="eastAsia" w:ascii="黑体" w:hAnsi="黑体" w:eastAsia="黑体"/>
          <w:b w:val="0"/>
          <w:bCs/>
          <w:color w:val="000000"/>
          <w:sz w:val="32"/>
          <w:szCs w:val="32"/>
          <w:lang w:eastAsia="zh-CN"/>
        </w:rPr>
        <w:t>六</w:t>
      </w:r>
      <w:r>
        <w:rPr>
          <w:rFonts w:hint="eastAsia" w:ascii="黑体" w:hAnsi="黑体" w:eastAsia="黑体"/>
          <w:b w:val="0"/>
          <w:bCs/>
          <w:color w:val="000000"/>
          <w:sz w:val="32"/>
          <w:szCs w:val="32"/>
        </w:rPr>
        <w:t>、相关指标</w:t>
      </w:r>
    </w:p>
    <w:tbl>
      <w:tblPr>
        <w:tblStyle w:val="16"/>
        <w:tblW w:w="61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5762"/>
        <w:gridCol w:w="1283"/>
        <w:gridCol w:w="3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27" w:type="dxa"/>
            <w:noWrap w:val="0"/>
            <w:vAlign w:val="center"/>
          </w:tcPr>
          <w:p>
            <w:pPr>
              <w:adjustRightInd w:val="0"/>
              <w:snapToGrid w:val="0"/>
              <w:spacing w:line="240" w:lineRule="auto"/>
              <w:ind w:firstLine="0" w:firstLineChars="0"/>
              <w:jc w:val="center"/>
              <w:rPr>
                <w:rFonts w:hint="eastAsia" w:ascii="仿宋" w:hAnsi="仿宋" w:eastAsia="仿宋" w:cs="仿宋"/>
                <w:color w:val="000000"/>
                <w:sz w:val="21"/>
                <w:szCs w:val="21"/>
              </w:rPr>
            </w:pPr>
            <w:r>
              <w:rPr>
                <w:rFonts w:hint="eastAsia" w:ascii="仿宋" w:hAnsi="仿宋" w:eastAsia="仿宋" w:cs="仿宋"/>
                <w:b/>
                <w:bCs/>
                <w:color w:val="000000"/>
                <w:sz w:val="21"/>
                <w:szCs w:val="21"/>
              </w:rPr>
              <w:t>序号</w:t>
            </w:r>
          </w:p>
        </w:tc>
        <w:tc>
          <w:tcPr>
            <w:tcW w:w="5763" w:type="dxa"/>
            <w:noWrap w:val="0"/>
            <w:vAlign w:val="center"/>
          </w:tcPr>
          <w:p>
            <w:pPr>
              <w:adjustRightInd w:val="0"/>
              <w:snapToGrid w:val="0"/>
              <w:spacing w:line="240" w:lineRule="auto"/>
              <w:ind w:firstLine="0" w:firstLineChars="0"/>
              <w:jc w:val="center"/>
              <w:rPr>
                <w:rFonts w:hint="eastAsia" w:ascii="仿宋" w:hAnsi="仿宋" w:eastAsia="仿宋" w:cs="仿宋"/>
                <w:color w:val="000000"/>
                <w:sz w:val="21"/>
                <w:szCs w:val="21"/>
              </w:rPr>
            </w:pPr>
            <w:r>
              <w:rPr>
                <w:rFonts w:hint="eastAsia" w:ascii="仿宋" w:hAnsi="仿宋" w:eastAsia="仿宋" w:cs="仿宋"/>
                <w:b/>
                <w:bCs/>
                <w:color w:val="000000"/>
                <w:sz w:val="21"/>
                <w:szCs w:val="21"/>
              </w:rPr>
              <w:t>优化审核认定要求</w:t>
            </w:r>
          </w:p>
        </w:tc>
        <w:tc>
          <w:tcPr>
            <w:tcW w:w="1283" w:type="dxa"/>
            <w:noWrap w:val="0"/>
            <w:vAlign w:val="center"/>
          </w:tcPr>
          <w:p>
            <w:pPr>
              <w:adjustRightInd w:val="0"/>
              <w:snapToGrid w:val="0"/>
              <w:spacing w:line="240" w:lineRule="auto"/>
              <w:ind w:firstLine="0" w:firstLineChars="0"/>
              <w:jc w:val="center"/>
              <w:rPr>
                <w:rFonts w:hint="eastAsia" w:ascii="仿宋" w:hAnsi="仿宋" w:eastAsia="仿宋" w:cs="仿宋"/>
                <w:color w:val="000000"/>
                <w:sz w:val="21"/>
                <w:szCs w:val="21"/>
              </w:rPr>
            </w:pPr>
            <w:r>
              <w:rPr>
                <w:rFonts w:hint="eastAsia" w:ascii="仿宋" w:hAnsi="仿宋" w:eastAsia="仿宋" w:cs="仿宋"/>
                <w:b/>
                <w:bCs/>
                <w:color w:val="000000"/>
                <w:sz w:val="21"/>
                <w:szCs w:val="21"/>
              </w:rPr>
              <w:t>是否符合指引要求</w:t>
            </w:r>
          </w:p>
        </w:tc>
        <w:tc>
          <w:tcPr>
            <w:tcW w:w="3598" w:type="dxa"/>
            <w:noWrap w:val="0"/>
            <w:vAlign w:val="center"/>
          </w:tcPr>
          <w:p>
            <w:pPr>
              <w:adjustRightInd w:val="0"/>
              <w:snapToGrid w:val="0"/>
              <w:spacing w:line="240" w:lineRule="auto"/>
              <w:ind w:firstLine="0" w:firstLineChars="0"/>
              <w:jc w:val="center"/>
              <w:rPr>
                <w:rFonts w:hint="eastAsia" w:ascii="仿宋" w:hAnsi="仿宋" w:eastAsia="仿宋" w:cs="仿宋"/>
                <w:color w:val="000000"/>
                <w:sz w:val="21"/>
                <w:szCs w:val="21"/>
              </w:rPr>
            </w:pPr>
            <w:r>
              <w:rPr>
                <w:rFonts w:hint="eastAsia" w:ascii="仿宋" w:hAnsi="仿宋" w:eastAsia="仿宋" w:cs="仿宋"/>
                <w:b/>
                <w:bCs/>
                <w:color w:val="000000"/>
                <w:sz w:val="21"/>
                <w:szCs w:val="21"/>
              </w:rPr>
              <w:t>具体情况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27" w:type="dxa"/>
            <w:noWrap w:val="0"/>
            <w:vAlign w:val="center"/>
          </w:tcPr>
          <w:p>
            <w:pPr>
              <w:adjustRightInd w:val="0"/>
              <w:snapToGrid w:val="0"/>
              <w:spacing w:line="240" w:lineRule="auto"/>
              <w:ind w:firstLine="0" w:firstLineChars="0"/>
              <w:jc w:val="center"/>
              <w:rPr>
                <w:rFonts w:hint="eastAsia" w:ascii="仿宋" w:hAnsi="仿宋" w:eastAsia="仿宋" w:cs="仿宋"/>
                <w:color w:val="000000"/>
                <w:sz w:val="21"/>
                <w:szCs w:val="21"/>
              </w:rPr>
            </w:pPr>
            <w:r>
              <w:rPr>
                <w:rFonts w:hint="eastAsia" w:ascii="仿宋" w:hAnsi="仿宋" w:eastAsia="仿宋" w:cs="仿宋"/>
                <w:color w:val="000000"/>
                <w:sz w:val="21"/>
                <w:szCs w:val="21"/>
              </w:rPr>
              <w:t>1</w:t>
            </w:r>
          </w:p>
        </w:tc>
        <w:tc>
          <w:tcPr>
            <w:tcW w:w="5763" w:type="dxa"/>
            <w:noWrap w:val="0"/>
            <w:vAlign w:val="center"/>
          </w:tcPr>
          <w:p>
            <w:pPr>
              <w:adjustRightInd w:val="0"/>
              <w:snapToGrid w:val="0"/>
              <w:spacing w:line="240" w:lineRule="auto"/>
              <w:ind w:firstLine="0" w:firstLineChars="0"/>
              <w:jc w:val="left"/>
              <w:rPr>
                <w:rFonts w:hint="eastAsia" w:ascii="仿宋" w:hAnsi="仿宋" w:eastAsia="仿宋" w:cs="仿宋"/>
                <w:color w:val="000000"/>
                <w:sz w:val="21"/>
                <w:szCs w:val="21"/>
                <w:lang w:eastAsia="zh-CN"/>
              </w:rPr>
            </w:pPr>
            <w:r>
              <w:rPr>
                <w:rFonts w:hint="eastAsia" w:ascii="仿宋" w:hAnsi="仿宋" w:eastAsia="仿宋" w:cs="仿宋"/>
                <w:color w:val="000000"/>
                <w:sz w:val="21"/>
                <w:szCs w:val="21"/>
              </w:rPr>
              <w:t>生产经营符合国家宏观调控政策和产业政策，市场认可度高、行业地位显著、公司治理完善、信息披露</w:t>
            </w:r>
            <w:r>
              <w:rPr>
                <w:rFonts w:hint="eastAsia" w:ascii="仿宋" w:hAnsi="仿宋" w:cs="仿宋"/>
                <w:color w:val="000000"/>
                <w:sz w:val="21"/>
                <w:szCs w:val="21"/>
                <w:lang w:eastAsia="zh-CN"/>
              </w:rPr>
              <w:t>规范</w:t>
            </w:r>
          </w:p>
        </w:tc>
        <w:tc>
          <w:tcPr>
            <w:tcW w:w="1283" w:type="dxa"/>
            <w:noWrap w:val="0"/>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c>
          <w:tcPr>
            <w:tcW w:w="3598" w:type="dxa"/>
            <w:noWrap w:val="0"/>
            <w:vAlign w:val="center"/>
          </w:tcPr>
          <w:p>
            <w:pPr>
              <w:adjustRightInd w:val="0"/>
              <w:snapToGrid w:val="0"/>
              <w:spacing w:line="240" w:lineRule="auto"/>
              <w:ind w:firstLine="0" w:firstLineChars="0"/>
              <w:jc w:val="center"/>
              <w:rPr>
                <w:rFonts w:hint="eastAsia" w:ascii="仿宋" w:hAnsi="仿宋" w:eastAsia="仿宋" w:cs="仿宋"/>
                <w:color w:val="000000"/>
                <w:sz w:val="21"/>
                <w:szCs w:val="21"/>
              </w:rPr>
            </w:pPr>
            <w:r>
              <w:rPr>
                <w:rFonts w:hint="eastAsia" w:ascii="仿宋" w:hAnsi="仿宋" w:eastAsia="仿宋" w:cs="仿宋"/>
                <w:color w:val="000000"/>
                <w:sz w:val="21"/>
                <w:szCs w:val="21"/>
              </w:rPr>
              <w:t>具体情况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27" w:type="dxa"/>
            <w:vMerge w:val="restart"/>
            <w:noWrap w:val="0"/>
            <w:vAlign w:val="center"/>
          </w:tcPr>
          <w:p>
            <w:pPr>
              <w:adjustRightInd w:val="0"/>
              <w:snapToGrid w:val="0"/>
              <w:spacing w:line="240" w:lineRule="auto"/>
              <w:ind w:firstLine="0" w:firstLineChars="0"/>
              <w:jc w:val="center"/>
              <w:rPr>
                <w:rFonts w:hint="eastAsia" w:ascii="仿宋" w:hAnsi="仿宋" w:eastAsia="仿宋" w:cs="仿宋"/>
                <w:color w:val="000000"/>
                <w:sz w:val="21"/>
                <w:szCs w:val="21"/>
              </w:rPr>
            </w:pPr>
            <w:r>
              <w:rPr>
                <w:rFonts w:hint="eastAsia" w:ascii="仿宋" w:hAnsi="仿宋" w:eastAsia="仿宋" w:cs="仿宋"/>
                <w:color w:val="000000"/>
                <w:sz w:val="21"/>
                <w:szCs w:val="21"/>
              </w:rPr>
              <w:t>2</w:t>
            </w:r>
          </w:p>
        </w:tc>
        <w:tc>
          <w:tcPr>
            <w:tcW w:w="5763" w:type="dxa"/>
            <w:vMerge w:val="restart"/>
            <w:noWrap w:val="0"/>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发行人符合以下情形之一：</w:t>
            </w:r>
          </w:p>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（一）资产总额、资产负债率、总资产报酬率同时满足分行业经营财务指标要求；</w:t>
            </w:r>
          </w:p>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（二）资产总额不少于2,500亿元，资产负债率或总资产报酬率其一满足分行业经营财务指标要求，且总资产报酬率不低于1.5%；</w:t>
            </w:r>
          </w:p>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三）发行人为由中国证监会派出机构或省级政府主管部门推荐并经本所认可的企业，且资产总额满足分行业经营财务指标要求，资产负债率或总资产报酬率其一满足分行业经营财务指标要求，总资产报酬率不低于1.5%；</w:t>
            </w:r>
          </w:p>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（四）最近两年信息披露工作评价结果为A，且资产总额不低于200亿元、净资产收益率不低于2%的上市公司；</w:t>
            </w:r>
          </w:p>
          <w:p>
            <w:pPr>
              <w:adjustRightInd w:val="0"/>
              <w:snapToGrid w:val="0"/>
              <w:spacing w:line="240" w:lineRule="auto"/>
              <w:ind w:firstLine="0" w:firstLineChars="0"/>
              <w:jc w:val="left"/>
              <w:rPr>
                <w:rFonts w:hint="eastAsia" w:ascii="仿宋" w:hAnsi="仿宋" w:eastAsia="仿宋" w:cs="仿宋"/>
                <w:color w:val="000000"/>
                <w:sz w:val="21"/>
                <w:szCs w:val="21"/>
              </w:rPr>
            </w:pPr>
            <w:r>
              <w:rPr>
                <w:rFonts w:hint="eastAsia" w:ascii="仿宋" w:hAnsi="仿宋" w:eastAsia="仿宋" w:cs="仿宋"/>
                <w:color w:val="000000"/>
                <w:sz w:val="21"/>
                <w:szCs w:val="21"/>
              </w:rPr>
              <w:t>（五）在全球市场、国家重点支持的行业领域等具有领先地位的企业。</w:t>
            </w:r>
          </w:p>
        </w:tc>
        <w:tc>
          <w:tcPr>
            <w:tcW w:w="1283" w:type="dxa"/>
            <w:vMerge w:val="restart"/>
            <w:noWrap w:val="0"/>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c>
          <w:tcPr>
            <w:tcW w:w="3598" w:type="dxa"/>
            <w:noWrap w:val="0"/>
            <w:vAlign w:val="center"/>
          </w:tcPr>
          <w:tbl>
            <w:tblPr>
              <w:tblStyle w:val="16"/>
              <w:tblW w:w="3360" w:type="dxa"/>
              <w:tblInd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609"/>
              <w:gridCol w:w="913"/>
              <w:gridCol w:w="838"/>
            </w:tblGrid>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PrEx>
              <w:trPr>
                <w:trHeight w:val="312" w:hRule="atLeast"/>
              </w:trPr>
              <w:tc>
                <w:tcPr>
                  <w:tcW w:w="3360" w:type="dxa"/>
                  <w:gridSpan w:val="3"/>
                  <w:noWrap w:val="0"/>
                  <w:vAlign w:val="top"/>
                </w:tcPr>
                <w:p>
                  <w:pPr>
                    <w:adjustRightInd w:val="0"/>
                    <w:snapToGrid w:val="0"/>
                    <w:spacing w:line="240" w:lineRule="auto"/>
                    <w:ind w:firstLine="0" w:firstLineChars="0"/>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公司所属XX行业</w:t>
                  </w:r>
                </w:p>
                <w:p>
                  <w:pPr>
                    <w:adjustRightInd w:val="0"/>
                    <w:snapToGrid w:val="0"/>
                    <w:spacing w:line="240" w:lineRule="auto"/>
                    <w:ind w:firstLine="0" w:firstLineChars="0"/>
                    <w:jc w:val="right"/>
                    <w:rPr>
                      <w:rFonts w:hint="eastAsia" w:ascii="仿宋" w:hAnsi="仿宋" w:eastAsia="仿宋" w:cs="仿宋"/>
                      <w:color w:val="000000"/>
                      <w:kern w:val="0"/>
                      <w:sz w:val="21"/>
                      <w:szCs w:val="21"/>
                    </w:rPr>
                  </w:pPr>
                  <w:r>
                    <w:rPr>
                      <w:rFonts w:hint="eastAsia" w:ascii="仿宋" w:hAnsi="仿宋" w:cs="仿宋"/>
                      <w:color w:val="000000"/>
                      <w:kern w:val="0"/>
                      <w:sz w:val="21"/>
                      <w:szCs w:val="21"/>
                      <w:lang w:val="en-US" w:eastAsia="zh-CN"/>
                    </w:rPr>
                    <w:t xml:space="preserve">             </w:t>
                  </w:r>
                  <w:r>
                    <w:rPr>
                      <w:rFonts w:hint="eastAsia" w:ascii="仿宋" w:hAnsi="仿宋" w:eastAsia="仿宋" w:cs="仿宋"/>
                      <w:color w:val="000000"/>
                      <w:kern w:val="0"/>
                      <w:sz w:val="21"/>
                      <w:szCs w:val="21"/>
                    </w:rPr>
                    <w:t>单位：亿元、%</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PrEx>
              <w:trPr>
                <w:trHeight w:val="312" w:hRule="atLeast"/>
              </w:trPr>
              <w:tc>
                <w:tcPr>
                  <w:tcW w:w="2522" w:type="dxa"/>
                  <w:gridSpan w:val="2"/>
                  <w:noWrap w:val="0"/>
                  <w:vAlign w:val="top"/>
                </w:tcPr>
                <w:p>
                  <w:pPr>
                    <w:adjustRightInd w:val="0"/>
                    <w:snapToGrid w:val="0"/>
                    <w:spacing w:line="240" w:lineRule="auto"/>
                    <w:ind w:firstLine="0" w:firstLineChars="0"/>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财务指标</w:t>
                  </w:r>
                </w:p>
              </w:tc>
              <w:tc>
                <w:tcPr>
                  <w:tcW w:w="838" w:type="dxa"/>
                  <w:noWrap w:val="0"/>
                  <w:vAlign w:val="top"/>
                </w:tcPr>
                <w:p>
                  <w:pPr>
                    <w:adjustRightInd w:val="0"/>
                    <w:snapToGrid w:val="0"/>
                    <w:spacing w:line="240" w:lineRule="auto"/>
                    <w:ind w:firstLine="0" w:firstLineChars="0"/>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指标要求</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PrEx>
              <w:trPr>
                <w:trHeight w:val="312" w:hRule="atLeast"/>
              </w:trPr>
              <w:tc>
                <w:tcPr>
                  <w:tcW w:w="1609" w:type="dxa"/>
                  <w:tcBorders>
                    <w:right w:val="single" w:color="auto" w:sz="4" w:space="0"/>
                  </w:tcBorders>
                  <w:noWrap w:val="0"/>
                  <w:vAlign w:val="top"/>
                </w:tcPr>
                <w:p>
                  <w:pPr>
                    <w:adjustRightInd w:val="0"/>
                    <w:snapToGrid w:val="0"/>
                    <w:spacing w:line="240" w:lineRule="auto"/>
                    <w:ind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资产总额</w:t>
                  </w:r>
                </w:p>
              </w:tc>
              <w:tc>
                <w:tcPr>
                  <w:tcW w:w="913" w:type="dxa"/>
                  <w:tcBorders>
                    <w:left w:val="single" w:color="auto" w:sz="4" w:space="0"/>
                  </w:tcBorders>
                  <w:noWrap w:val="0"/>
                  <w:vAlign w:val="top"/>
                </w:tcPr>
                <w:p>
                  <w:pPr>
                    <w:adjustRightInd w:val="0"/>
                    <w:snapToGrid w:val="0"/>
                    <w:spacing w:line="240" w:lineRule="auto"/>
                    <w:ind w:firstLine="0" w:firstLineChars="0"/>
                    <w:jc w:val="center"/>
                    <w:rPr>
                      <w:rFonts w:hint="eastAsia" w:ascii="仿宋" w:hAnsi="仿宋" w:eastAsia="仿宋" w:cs="仿宋"/>
                      <w:color w:val="000000"/>
                      <w:kern w:val="0"/>
                      <w:sz w:val="21"/>
                      <w:szCs w:val="21"/>
                    </w:rPr>
                  </w:pPr>
                </w:p>
              </w:tc>
              <w:tc>
                <w:tcPr>
                  <w:tcW w:w="838" w:type="dxa"/>
                  <w:noWrap w:val="0"/>
                  <w:vAlign w:val="top"/>
                </w:tcPr>
                <w:p>
                  <w:pPr>
                    <w:adjustRightInd w:val="0"/>
                    <w:snapToGrid w:val="0"/>
                    <w:spacing w:line="240" w:lineRule="auto"/>
                    <w:ind w:firstLine="0" w:firstLineChars="0"/>
                    <w:jc w:val="center"/>
                    <w:rPr>
                      <w:rFonts w:hint="eastAsia" w:ascii="仿宋" w:hAnsi="仿宋" w:eastAsia="仿宋" w:cs="仿宋"/>
                      <w:color w:val="000000"/>
                      <w:kern w:val="0"/>
                      <w:sz w:val="21"/>
                      <w:szCs w:val="21"/>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PrEx>
              <w:trPr>
                <w:trHeight w:val="312" w:hRule="atLeast"/>
              </w:trPr>
              <w:tc>
                <w:tcPr>
                  <w:tcW w:w="1609" w:type="dxa"/>
                  <w:tcBorders>
                    <w:right w:val="single" w:color="auto" w:sz="4" w:space="0"/>
                  </w:tcBorders>
                  <w:noWrap w:val="0"/>
                  <w:vAlign w:val="top"/>
                </w:tcPr>
                <w:p>
                  <w:pPr>
                    <w:adjustRightInd w:val="0"/>
                    <w:snapToGrid w:val="0"/>
                    <w:spacing w:line="240" w:lineRule="auto"/>
                    <w:ind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资产负债率</w:t>
                  </w:r>
                </w:p>
              </w:tc>
              <w:tc>
                <w:tcPr>
                  <w:tcW w:w="913" w:type="dxa"/>
                  <w:tcBorders>
                    <w:left w:val="single" w:color="auto" w:sz="4" w:space="0"/>
                  </w:tcBorders>
                  <w:noWrap w:val="0"/>
                  <w:vAlign w:val="top"/>
                </w:tcPr>
                <w:p>
                  <w:pPr>
                    <w:adjustRightInd w:val="0"/>
                    <w:snapToGrid w:val="0"/>
                    <w:spacing w:line="240" w:lineRule="auto"/>
                    <w:ind w:firstLine="0" w:firstLineChars="0"/>
                    <w:jc w:val="center"/>
                    <w:rPr>
                      <w:rFonts w:hint="eastAsia" w:ascii="仿宋" w:hAnsi="仿宋" w:eastAsia="仿宋" w:cs="仿宋"/>
                      <w:color w:val="000000"/>
                      <w:kern w:val="0"/>
                      <w:sz w:val="21"/>
                      <w:szCs w:val="21"/>
                    </w:rPr>
                  </w:pPr>
                </w:p>
              </w:tc>
              <w:tc>
                <w:tcPr>
                  <w:tcW w:w="838" w:type="dxa"/>
                  <w:noWrap w:val="0"/>
                  <w:vAlign w:val="top"/>
                </w:tcPr>
                <w:p>
                  <w:pPr>
                    <w:adjustRightInd w:val="0"/>
                    <w:snapToGrid w:val="0"/>
                    <w:spacing w:line="240" w:lineRule="auto"/>
                    <w:ind w:firstLine="0" w:firstLineChars="0"/>
                    <w:jc w:val="center"/>
                    <w:rPr>
                      <w:rFonts w:hint="eastAsia" w:ascii="仿宋" w:hAnsi="仿宋" w:eastAsia="仿宋" w:cs="仿宋"/>
                      <w:color w:val="000000"/>
                      <w:kern w:val="0"/>
                      <w:sz w:val="21"/>
                      <w:szCs w:val="21"/>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PrEx>
              <w:trPr>
                <w:trHeight w:val="312" w:hRule="atLeast"/>
              </w:trPr>
              <w:tc>
                <w:tcPr>
                  <w:tcW w:w="1609" w:type="dxa"/>
                  <w:tcBorders>
                    <w:right w:val="single" w:color="auto" w:sz="4" w:space="0"/>
                  </w:tcBorders>
                  <w:noWrap w:val="0"/>
                  <w:vAlign w:val="top"/>
                </w:tcPr>
                <w:p>
                  <w:pPr>
                    <w:adjustRightInd w:val="0"/>
                    <w:snapToGrid w:val="0"/>
                    <w:spacing w:line="240" w:lineRule="auto"/>
                    <w:ind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总资产报酬率</w:t>
                  </w:r>
                </w:p>
              </w:tc>
              <w:tc>
                <w:tcPr>
                  <w:tcW w:w="913" w:type="dxa"/>
                  <w:tcBorders>
                    <w:left w:val="single" w:color="auto" w:sz="4" w:space="0"/>
                  </w:tcBorders>
                  <w:noWrap w:val="0"/>
                  <w:vAlign w:val="top"/>
                </w:tcPr>
                <w:p>
                  <w:pPr>
                    <w:adjustRightInd w:val="0"/>
                    <w:snapToGrid w:val="0"/>
                    <w:spacing w:line="240" w:lineRule="auto"/>
                    <w:ind w:firstLine="0" w:firstLineChars="0"/>
                    <w:jc w:val="center"/>
                    <w:rPr>
                      <w:rFonts w:hint="eastAsia" w:ascii="仿宋" w:hAnsi="仿宋" w:eastAsia="仿宋" w:cs="仿宋"/>
                      <w:color w:val="000000"/>
                      <w:kern w:val="0"/>
                      <w:sz w:val="21"/>
                      <w:szCs w:val="21"/>
                    </w:rPr>
                  </w:pPr>
                </w:p>
              </w:tc>
              <w:tc>
                <w:tcPr>
                  <w:tcW w:w="838" w:type="dxa"/>
                  <w:noWrap w:val="0"/>
                  <w:vAlign w:val="top"/>
                </w:tcPr>
                <w:p>
                  <w:pPr>
                    <w:adjustRightInd w:val="0"/>
                    <w:snapToGrid w:val="0"/>
                    <w:spacing w:line="240" w:lineRule="auto"/>
                    <w:ind w:firstLine="0" w:firstLineChars="0"/>
                    <w:jc w:val="center"/>
                    <w:rPr>
                      <w:rFonts w:hint="eastAsia" w:ascii="仿宋" w:hAnsi="仿宋" w:eastAsia="仿宋" w:cs="仿宋"/>
                      <w:color w:val="000000"/>
                      <w:kern w:val="0"/>
                      <w:sz w:val="21"/>
                      <w:szCs w:val="21"/>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PrEx>
              <w:trPr>
                <w:trHeight w:val="312" w:hRule="atLeast"/>
              </w:trPr>
              <w:tc>
                <w:tcPr>
                  <w:tcW w:w="1609" w:type="dxa"/>
                  <w:tcBorders>
                    <w:right w:val="single" w:color="auto" w:sz="4" w:space="0"/>
                  </w:tcBorders>
                  <w:noWrap w:val="0"/>
                  <w:vAlign w:val="top"/>
                </w:tcPr>
                <w:p>
                  <w:pPr>
                    <w:adjustRightInd w:val="0"/>
                    <w:snapToGrid w:val="0"/>
                    <w:spacing w:line="240" w:lineRule="auto"/>
                    <w:ind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sz w:val="21"/>
                      <w:szCs w:val="21"/>
                    </w:rPr>
                    <w:t>净资产收益率（若为上市公司）</w:t>
                  </w:r>
                </w:p>
              </w:tc>
              <w:tc>
                <w:tcPr>
                  <w:tcW w:w="913" w:type="dxa"/>
                  <w:tcBorders>
                    <w:left w:val="single" w:color="auto" w:sz="4" w:space="0"/>
                  </w:tcBorders>
                  <w:noWrap w:val="0"/>
                  <w:vAlign w:val="top"/>
                </w:tcPr>
                <w:p>
                  <w:pPr>
                    <w:adjustRightInd w:val="0"/>
                    <w:snapToGrid w:val="0"/>
                    <w:spacing w:line="240" w:lineRule="auto"/>
                    <w:ind w:firstLine="0" w:firstLineChars="0"/>
                    <w:jc w:val="center"/>
                    <w:rPr>
                      <w:rFonts w:hint="eastAsia" w:ascii="仿宋" w:hAnsi="仿宋" w:eastAsia="仿宋" w:cs="仿宋"/>
                      <w:color w:val="000000"/>
                      <w:kern w:val="0"/>
                      <w:sz w:val="21"/>
                      <w:szCs w:val="21"/>
                    </w:rPr>
                  </w:pPr>
                </w:p>
              </w:tc>
              <w:tc>
                <w:tcPr>
                  <w:tcW w:w="838" w:type="dxa"/>
                  <w:noWrap w:val="0"/>
                  <w:vAlign w:val="top"/>
                </w:tcPr>
                <w:p>
                  <w:pPr>
                    <w:adjustRightInd w:val="0"/>
                    <w:snapToGrid w:val="0"/>
                    <w:spacing w:line="240" w:lineRule="auto"/>
                    <w:ind w:firstLine="0" w:firstLineChars="0"/>
                    <w:jc w:val="center"/>
                    <w:rPr>
                      <w:rFonts w:hint="eastAsia" w:ascii="仿宋" w:hAnsi="仿宋" w:eastAsia="仿宋" w:cs="仿宋"/>
                      <w:color w:val="000000"/>
                      <w:kern w:val="0"/>
                      <w:sz w:val="21"/>
                      <w:szCs w:val="21"/>
                    </w:rPr>
                  </w:pPr>
                </w:p>
              </w:tc>
            </w:tr>
          </w:tbl>
          <w:p>
            <w:pPr>
              <w:adjustRightInd w:val="0"/>
              <w:snapToGrid w:val="0"/>
              <w:spacing w:line="240" w:lineRule="auto"/>
              <w:ind w:firstLine="0" w:firstLineChars="0"/>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27" w:type="dxa"/>
            <w:vMerge w:val="continue"/>
            <w:noWrap w:val="0"/>
            <w:vAlign w:val="center"/>
          </w:tcPr>
          <w:p>
            <w:pPr>
              <w:adjustRightInd w:val="0"/>
              <w:snapToGrid w:val="0"/>
              <w:spacing w:line="240" w:lineRule="auto"/>
              <w:ind w:firstLine="0" w:firstLineChars="0"/>
              <w:jc w:val="center"/>
              <w:rPr>
                <w:rFonts w:hint="eastAsia" w:ascii="仿宋" w:hAnsi="仿宋" w:eastAsia="仿宋" w:cs="仿宋"/>
                <w:color w:val="000000"/>
                <w:sz w:val="21"/>
                <w:szCs w:val="21"/>
              </w:rPr>
            </w:pPr>
          </w:p>
        </w:tc>
        <w:tc>
          <w:tcPr>
            <w:tcW w:w="5763" w:type="dxa"/>
            <w:vMerge w:val="continue"/>
            <w:noWrap w:val="0"/>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c>
          <w:tcPr>
            <w:tcW w:w="1283" w:type="dxa"/>
            <w:vMerge w:val="continue"/>
            <w:noWrap w:val="0"/>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c>
          <w:tcPr>
            <w:tcW w:w="3598" w:type="dxa"/>
            <w:noWrap w:val="0"/>
            <w:vAlign w:val="center"/>
          </w:tcPr>
          <w:p>
            <w:pPr>
              <w:adjustRightInd w:val="0"/>
              <w:snapToGrid w:val="0"/>
              <w:spacing w:line="24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rPr>
              <w:t>简要论述具体符合第几项情形及相关依据。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27" w:type="dxa"/>
            <w:noWrap w:val="0"/>
            <w:vAlign w:val="center"/>
          </w:tcPr>
          <w:p>
            <w:pPr>
              <w:adjustRightInd w:val="0"/>
              <w:snapToGrid w:val="0"/>
              <w:spacing w:line="240" w:lineRule="auto"/>
              <w:ind w:firstLine="0" w:firstLineChars="0"/>
              <w:jc w:val="center"/>
              <w:rPr>
                <w:rFonts w:hint="eastAsia" w:ascii="仿宋" w:hAnsi="仿宋" w:eastAsia="仿宋" w:cs="仿宋"/>
                <w:color w:val="000000"/>
                <w:sz w:val="21"/>
                <w:szCs w:val="21"/>
              </w:rPr>
            </w:pPr>
            <w:r>
              <w:rPr>
                <w:rFonts w:hint="eastAsia" w:ascii="仿宋" w:hAnsi="仿宋" w:eastAsia="仿宋" w:cs="仿宋"/>
                <w:color w:val="000000"/>
                <w:sz w:val="21"/>
                <w:szCs w:val="21"/>
              </w:rPr>
              <w:t>3</w:t>
            </w:r>
          </w:p>
        </w:tc>
        <w:tc>
          <w:tcPr>
            <w:tcW w:w="5763" w:type="dxa"/>
            <w:noWrap w:val="0"/>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r>
              <w:rPr>
                <w:rFonts w:hint="eastAsia" w:ascii="仿宋" w:hAnsi="仿宋" w:eastAsia="仿宋" w:cs="仿宋"/>
                <w:color w:val="000000"/>
                <w:sz w:val="21"/>
                <w:szCs w:val="21"/>
              </w:rPr>
              <w:t>最近3年财务报告未被注册会计师出具</w:t>
            </w:r>
            <w:r>
              <w:rPr>
                <w:rFonts w:hint="eastAsia" w:ascii="仿宋" w:hAnsi="仿宋" w:cs="仿宋"/>
                <w:color w:val="000000"/>
                <w:sz w:val="21"/>
                <w:szCs w:val="21"/>
                <w:lang w:eastAsia="zh-CN"/>
              </w:rPr>
              <w:t>否定意见或者无法表示意见</w:t>
            </w:r>
            <w:r>
              <w:rPr>
                <w:rFonts w:hint="eastAsia" w:ascii="仿宋" w:hAnsi="仿宋" w:eastAsia="仿宋" w:cs="仿宋"/>
                <w:color w:val="000000"/>
                <w:sz w:val="21"/>
                <w:szCs w:val="21"/>
              </w:rPr>
              <w:t>，或最近3年内财务报表曾被注册会计师出具保留意见但保留意见所涉及事项的重大影响已经消除</w:t>
            </w:r>
          </w:p>
        </w:tc>
        <w:tc>
          <w:tcPr>
            <w:tcW w:w="1283" w:type="dxa"/>
            <w:noWrap w:val="0"/>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c>
          <w:tcPr>
            <w:tcW w:w="3598" w:type="dxa"/>
            <w:noWrap w:val="0"/>
            <w:vAlign w:val="center"/>
          </w:tcPr>
          <w:p>
            <w:pPr>
              <w:adjustRightInd w:val="0"/>
              <w:snapToGrid w:val="0"/>
              <w:spacing w:line="240" w:lineRule="auto"/>
              <w:ind w:firstLine="0" w:firstLineChars="0"/>
              <w:jc w:val="center"/>
              <w:rPr>
                <w:rFonts w:hint="eastAsia" w:ascii="仿宋" w:hAnsi="仿宋" w:eastAsia="仿宋" w:cs="仿宋"/>
                <w:color w:val="000000"/>
                <w:sz w:val="21"/>
                <w:szCs w:val="21"/>
              </w:rPr>
            </w:pPr>
            <w:r>
              <w:rPr>
                <w:rFonts w:hint="eastAsia" w:ascii="仿宋" w:hAnsi="仿宋" w:eastAsia="仿宋" w:cs="仿宋"/>
                <w:color w:val="000000"/>
                <w:sz w:val="21"/>
                <w:szCs w:val="21"/>
              </w:rPr>
              <w:t>具体情况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27" w:type="dxa"/>
            <w:noWrap w:val="0"/>
            <w:vAlign w:val="center"/>
          </w:tcPr>
          <w:p>
            <w:pPr>
              <w:adjustRightInd w:val="0"/>
              <w:snapToGrid w:val="0"/>
              <w:spacing w:line="240" w:lineRule="auto"/>
              <w:ind w:firstLine="0" w:firstLineChars="0"/>
              <w:jc w:val="center"/>
              <w:rPr>
                <w:rFonts w:hint="eastAsia" w:ascii="仿宋" w:hAnsi="仿宋" w:eastAsia="仿宋" w:cs="仿宋"/>
                <w:color w:val="000000"/>
                <w:sz w:val="21"/>
                <w:szCs w:val="21"/>
              </w:rPr>
            </w:pPr>
            <w:r>
              <w:rPr>
                <w:rFonts w:hint="eastAsia" w:ascii="仿宋" w:hAnsi="仿宋" w:eastAsia="仿宋" w:cs="仿宋"/>
                <w:color w:val="000000"/>
                <w:sz w:val="21"/>
                <w:szCs w:val="21"/>
              </w:rPr>
              <w:t>4</w:t>
            </w:r>
          </w:p>
        </w:tc>
        <w:tc>
          <w:tcPr>
            <w:tcW w:w="5763" w:type="dxa"/>
            <w:noWrap w:val="0"/>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r>
              <w:rPr>
                <w:rFonts w:hint="eastAsia" w:ascii="仿宋" w:hAnsi="仿宋" w:eastAsia="仿宋" w:cs="仿宋"/>
                <w:color w:val="000000"/>
                <w:sz w:val="21"/>
                <w:szCs w:val="21"/>
              </w:rPr>
              <w:t>最近36个月内公司及其所属企业集团、实际控制人无债券或者其他债务违约</w:t>
            </w:r>
            <w:r>
              <w:rPr>
                <w:rFonts w:hint="eastAsia" w:ascii="仿宋" w:hAnsi="仿宋" w:cs="仿宋"/>
                <w:color w:val="000000"/>
                <w:sz w:val="21"/>
                <w:szCs w:val="21"/>
                <w:lang w:eastAsia="zh-CN"/>
              </w:rPr>
              <w:t>或者</w:t>
            </w:r>
            <w:r>
              <w:rPr>
                <w:rFonts w:hint="eastAsia" w:ascii="仿宋" w:hAnsi="仿宋" w:eastAsia="仿宋" w:cs="仿宋"/>
                <w:color w:val="000000"/>
                <w:sz w:val="21"/>
                <w:szCs w:val="21"/>
              </w:rPr>
              <w:t>延迟支付本息的情形</w:t>
            </w:r>
          </w:p>
        </w:tc>
        <w:tc>
          <w:tcPr>
            <w:tcW w:w="1283" w:type="dxa"/>
            <w:noWrap w:val="0"/>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c>
          <w:tcPr>
            <w:tcW w:w="3598" w:type="dxa"/>
            <w:noWrap w:val="0"/>
            <w:vAlign w:val="center"/>
          </w:tcPr>
          <w:p>
            <w:pPr>
              <w:adjustRightInd w:val="0"/>
              <w:snapToGrid w:val="0"/>
              <w:spacing w:line="240" w:lineRule="auto"/>
              <w:ind w:firstLine="0" w:firstLineChars="0"/>
              <w:jc w:val="center"/>
              <w:rPr>
                <w:rFonts w:hint="eastAsia" w:ascii="仿宋" w:hAnsi="仿宋" w:eastAsia="仿宋" w:cs="仿宋"/>
                <w:color w:val="000000"/>
                <w:sz w:val="21"/>
                <w:szCs w:val="21"/>
              </w:rPr>
            </w:pPr>
            <w:r>
              <w:rPr>
                <w:rFonts w:hint="eastAsia" w:ascii="仿宋" w:hAnsi="仿宋" w:eastAsia="仿宋" w:cs="仿宋"/>
                <w:color w:val="000000"/>
                <w:sz w:val="21"/>
                <w:szCs w:val="21"/>
              </w:rPr>
              <w:t>具体情况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27" w:type="dxa"/>
            <w:noWrap w:val="0"/>
            <w:vAlign w:val="center"/>
          </w:tcPr>
          <w:p>
            <w:pPr>
              <w:adjustRightInd w:val="0"/>
              <w:snapToGrid w:val="0"/>
              <w:spacing w:line="240" w:lineRule="auto"/>
              <w:ind w:firstLine="0" w:firstLineChars="0"/>
              <w:jc w:val="center"/>
              <w:rPr>
                <w:rFonts w:hint="eastAsia" w:ascii="仿宋" w:hAnsi="仿宋" w:eastAsia="仿宋" w:cs="仿宋"/>
                <w:color w:val="000000"/>
                <w:sz w:val="21"/>
                <w:szCs w:val="21"/>
              </w:rPr>
            </w:pPr>
            <w:r>
              <w:rPr>
                <w:rFonts w:hint="eastAsia" w:ascii="仿宋" w:hAnsi="仿宋" w:eastAsia="仿宋" w:cs="仿宋"/>
                <w:color w:val="000000"/>
                <w:sz w:val="21"/>
                <w:szCs w:val="21"/>
              </w:rPr>
              <w:t>5</w:t>
            </w:r>
          </w:p>
        </w:tc>
        <w:tc>
          <w:tcPr>
            <w:tcW w:w="5763" w:type="dxa"/>
            <w:noWrap w:val="0"/>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r>
              <w:rPr>
                <w:rFonts w:hint="eastAsia" w:ascii="仿宋" w:hAnsi="仿宋" w:eastAsia="仿宋" w:cs="仿宋"/>
                <w:color w:val="000000"/>
                <w:sz w:val="21"/>
                <w:szCs w:val="21"/>
              </w:rPr>
              <w:t>公司未受到债券融资限制，且最近36个月内公司未因债券业务违规被实施行政处罚或纪律处分</w:t>
            </w:r>
          </w:p>
        </w:tc>
        <w:tc>
          <w:tcPr>
            <w:tcW w:w="1283" w:type="dxa"/>
            <w:noWrap w:val="0"/>
            <w:vAlign w:val="center"/>
          </w:tcPr>
          <w:p>
            <w:pPr>
              <w:adjustRightInd w:val="0"/>
              <w:snapToGrid w:val="0"/>
              <w:spacing w:line="240" w:lineRule="auto"/>
              <w:ind w:firstLine="0" w:firstLineChars="0"/>
              <w:jc w:val="left"/>
              <w:rPr>
                <w:rFonts w:hint="eastAsia" w:ascii="仿宋" w:hAnsi="仿宋" w:eastAsia="仿宋" w:cs="仿宋"/>
                <w:color w:val="000000"/>
                <w:sz w:val="21"/>
                <w:szCs w:val="21"/>
              </w:rPr>
            </w:pPr>
          </w:p>
        </w:tc>
        <w:tc>
          <w:tcPr>
            <w:tcW w:w="3598" w:type="dxa"/>
            <w:noWrap w:val="0"/>
            <w:vAlign w:val="center"/>
          </w:tcPr>
          <w:p>
            <w:pPr>
              <w:adjustRightInd w:val="0"/>
              <w:snapToGrid w:val="0"/>
              <w:spacing w:line="240" w:lineRule="auto"/>
              <w:ind w:firstLine="0" w:firstLineChars="0"/>
              <w:jc w:val="center"/>
              <w:rPr>
                <w:rFonts w:hint="eastAsia" w:ascii="仿宋" w:hAnsi="仿宋" w:eastAsia="仿宋" w:cs="仿宋"/>
                <w:color w:val="000000"/>
                <w:sz w:val="21"/>
                <w:szCs w:val="21"/>
              </w:rPr>
            </w:pPr>
            <w:r>
              <w:rPr>
                <w:rFonts w:hint="eastAsia" w:ascii="仿宋" w:hAnsi="仿宋" w:eastAsia="仿宋" w:cs="仿宋"/>
                <w:color w:val="000000"/>
                <w:sz w:val="21"/>
                <w:szCs w:val="21"/>
              </w:rPr>
              <w:t>具体情况</w:t>
            </w:r>
          </w:p>
        </w:tc>
      </w:tr>
    </w:tbl>
    <w:p>
      <w:pPr>
        <w:adjustRightInd w:val="0"/>
        <w:snapToGrid w:val="0"/>
        <w:spacing w:line="560" w:lineRule="exact"/>
        <w:ind w:firstLine="632" w:firstLineChars="200"/>
        <w:rPr>
          <w:rFonts w:hint="eastAsia" w:ascii="黑体" w:hAnsi="黑体" w:eastAsia="黑体" w:cs="Times New Roman"/>
          <w:bCs/>
          <w:color w:val="000000"/>
          <w:sz w:val="32"/>
          <w:szCs w:val="32"/>
          <w:lang w:eastAsia="zh-CN"/>
        </w:rPr>
      </w:pPr>
      <w:r>
        <w:rPr>
          <w:rFonts w:hint="eastAsia" w:ascii="黑体" w:hAnsi="黑体" w:eastAsia="黑体" w:cs="Times New Roman"/>
          <w:bCs/>
          <w:color w:val="000000"/>
          <w:sz w:val="32"/>
          <w:szCs w:val="32"/>
          <w:lang w:eastAsia="zh-CN"/>
        </w:rPr>
        <w:t>七、其他需要说明的事项（如有）</w:t>
      </w:r>
    </w:p>
    <w:p>
      <w:pPr>
        <w:adjustRightInd w:val="0"/>
        <w:snapToGrid w:val="0"/>
        <w:spacing w:line="600" w:lineRule="exact"/>
        <w:ind w:firstLine="0" w:firstLineChars="0"/>
        <w:rPr>
          <w:rFonts w:ascii="仿宋_GB2312" w:eastAsia="仿宋_GB2312"/>
          <w:color w:val="000000"/>
          <w:sz w:val="30"/>
          <w:szCs w:val="30"/>
        </w:rPr>
      </w:pPr>
    </w:p>
    <w:p>
      <w:pPr>
        <w:adjustRightInd w:val="0"/>
        <w:snapToGrid w:val="0"/>
        <w:spacing w:line="560" w:lineRule="exact"/>
        <w:ind w:firstLine="592" w:firstLineChars="200"/>
        <w:jc w:val="right"/>
        <w:rPr>
          <w:rFonts w:hint="eastAsia" w:ascii="仿宋" w:hAnsi="仿宋" w:eastAsia="仿宋" w:cs="仿宋"/>
          <w:color w:val="000000"/>
          <w:sz w:val="30"/>
          <w:szCs w:val="30"/>
        </w:rPr>
      </w:pPr>
      <w:r>
        <w:rPr>
          <w:rFonts w:hint="eastAsia" w:ascii="仿宋" w:hAnsi="仿宋" w:eastAsia="仿宋" w:cs="仿宋"/>
          <w:color w:val="000000"/>
          <w:sz w:val="30"/>
          <w:szCs w:val="30"/>
        </w:rPr>
        <w:t>发行人或其公司债券融资部门（公章）</w:t>
      </w:r>
    </w:p>
    <w:p>
      <w:pPr>
        <w:spacing w:line="240" w:lineRule="auto"/>
        <w:ind w:right="0" w:rightChars="0"/>
        <w:jc w:val="right"/>
        <w:outlineLvl w:val="9"/>
        <w:rPr>
          <w:rFonts w:ascii="仿宋" w:hAnsi="仿宋"/>
          <w:color w:val="000000"/>
          <w:szCs w:val="32"/>
        </w:rPr>
      </w:pPr>
      <w:r>
        <w:rPr>
          <w:rFonts w:hint="eastAsia" w:ascii="仿宋" w:hAnsi="仿宋" w:eastAsia="仿宋" w:cs="仿宋"/>
          <w:color w:val="000000"/>
          <w:sz w:val="30"/>
          <w:szCs w:val="30"/>
        </w:rPr>
        <w:t xml:space="preserve">              202</w:t>
      </w:r>
      <w:r>
        <w:rPr>
          <w:rFonts w:hint="eastAsia" w:ascii="仿宋" w:hAnsi="仿宋" w:eastAsia="仿宋" w:cs="仿宋"/>
          <w:color w:val="000000"/>
          <w:sz w:val="30"/>
          <w:szCs w:val="30"/>
          <w:lang w:val="en-US" w:eastAsia="zh-CN"/>
        </w:rPr>
        <w:t>6</w:t>
      </w:r>
      <w:r>
        <w:rPr>
          <w:rFonts w:hint="eastAsia" w:ascii="仿宋" w:hAnsi="仿宋" w:eastAsia="仿宋" w:cs="仿宋"/>
          <w:color w:val="000000"/>
          <w:sz w:val="30"/>
          <w:szCs w:val="30"/>
        </w:rPr>
        <w:t>年  月  日</w:t>
      </w:r>
    </w:p>
    <w:sectPr>
      <w:footerReference r:id="rId4" w:type="default"/>
      <w:footerReference r:id="rId5" w:type="even"/>
      <w:pgSz w:w="11906" w:h="16838"/>
      <w:pgMar w:top="2098" w:right="1474" w:bottom="1985" w:left="1588" w:header="0" w:footer="1134"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altName w:val="方正仿宋_GBK"/>
    <w:panose1 w:val="02010609030101010101"/>
    <w:charset w:val="86"/>
    <w:family w:val="modern"/>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大标宋简体">
    <w:altName w:val="方正书宋_GBK"/>
    <w:panose1 w:val="02000000000000000000"/>
    <w:charset w:val="86"/>
    <w:family w:val="script"/>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AJEq28yAEAAJkDAAAOAAAAAAAA&#10;AAEAIAAAADQBAABkcnMvZTJvRG9jLnhtbFBLBQYAAAAABgAGAFkBAABuBQAAAAA=&#10;">
              <v:fill on="f" focussize="0,0"/>
              <v:stroke on="f"/>
              <v:imagedata o:title=""/>
              <o:lock v:ext="edit" aspectratio="f"/>
              <v:textbox inset="0mm,0mm,0mm,0mm" style="mso-fit-shape-to-text:t;">
                <w:txbxContent>
                  <w:p>
                    <w:pPr>
                      <w:pStyle w:val="8"/>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68vckBAACZAwAADgAAAAAA&#10;AAABACAAAAA0AQAAZHJzL2Uyb0RvYy54bWxQSwUGAAAAAAYABgBZAQAAbwUAAAAA&#10;">
              <v:fill on="f" focussize="0,0"/>
              <v:stroke on="f"/>
              <v:imagedata o:title=""/>
              <o:lock v:ext="edit" aspectratio="f"/>
              <v:textbox inset="0mm,0mm,0mm,0mm" style="mso-fit-shape-to-text:t;">
                <w:txbxContent>
                  <w:p>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t xml:space="preserve">— </w:t>
                          </w:r>
                          <w:r>
                            <w:fldChar w:fldCharType="begin"/>
                          </w:r>
                          <w:r>
                            <w:instrText xml:space="preserve"> PAGE  \* MERGEFORMAT </w:instrText>
                          </w:r>
                          <w:r>
                            <w:fldChar w:fldCharType="separate"/>
                          </w:r>
                          <w:r>
                            <w:t>2</w:t>
                          </w:r>
                          <w:r>
                            <w:fldChar w:fldCharType="end"/>
                          </w:r>
                          <w:r>
                            <w:t xml:space="preserve"> —</w:t>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GPwn/8kBAACZAwAADgAAAAAA&#10;AAABACAAAAA0AQAAZHJzL2Uyb0RvYy54bWxQSwUGAAAAAAYABgBZAQAAbwUAAAAA&#10;">
              <v:fill on="f" focussize="0,0"/>
              <v:stroke on="f"/>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160"/>
  <w:drawingGridVerticalSpacing w:val="435"/>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F5D"/>
    <w:rsid w:val="00003078"/>
    <w:rsid w:val="000138F8"/>
    <w:rsid w:val="00014709"/>
    <w:rsid w:val="000159F9"/>
    <w:rsid w:val="00021FDA"/>
    <w:rsid w:val="00023D8B"/>
    <w:rsid w:val="00045684"/>
    <w:rsid w:val="00047184"/>
    <w:rsid w:val="000511FE"/>
    <w:rsid w:val="00062461"/>
    <w:rsid w:val="000656EF"/>
    <w:rsid w:val="00066278"/>
    <w:rsid w:val="00066DD2"/>
    <w:rsid w:val="00070DEB"/>
    <w:rsid w:val="00070FE2"/>
    <w:rsid w:val="00071516"/>
    <w:rsid w:val="00073D9B"/>
    <w:rsid w:val="00074DFC"/>
    <w:rsid w:val="000850DE"/>
    <w:rsid w:val="00087F09"/>
    <w:rsid w:val="000916C1"/>
    <w:rsid w:val="000A3741"/>
    <w:rsid w:val="000A60C5"/>
    <w:rsid w:val="000B3E5B"/>
    <w:rsid w:val="000C2D99"/>
    <w:rsid w:val="000C7B3C"/>
    <w:rsid w:val="000D5A54"/>
    <w:rsid w:val="000E0D8D"/>
    <w:rsid w:val="000E2E8C"/>
    <w:rsid w:val="000E38F7"/>
    <w:rsid w:val="000E49D8"/>
    <w:rsid w:val="000F20F7"/>
    <w:rsid w:val="00105CA3"/>
    <w:rsid w:val="00120B6E"/>
    <w:rsid w:val="0012488A"/>
    <w:rsid w:val="00126C6B"/>
    <w:rsid w:val="00131C88"/>
    <w:rsid w:val="0013360F"/>
    <w:rsid w:val="001368E8"/>
    <w:rsid w:val="001468C0"/>
    <w:rsid w:val="00156B5B"/>
    <w:rsid w:val="00160D99"/>
    <w:rsid w:val="00165F3A"/>
    <w:rsid w:val="00172EE2"/>
    <w:rsid w:val="00173F2A"/>
    <w:rsid w:val="0017418D"/>
    <w:rsid w:val="0017486B"/>
    <w:rsid w:val="001830FA"/>
    <w:rsid w:val="0018785A"/>
    <w:rsid w:val="00187B7E"/>
    <w:rsid w:val="00195521"/>
    <w:rsid w:val="001A0F5B"/>
    <w:rsid w:val="001B02BC"/>
    <w:rsid w:val="001B1EC4"/>
    <w:rsid w:val="001B5CF9"/>
    <w:rsid w:val="001B7497"/>
    <w:rsid w:val="001B7BAC"/>
    <w:rsid w:val="001B7C2B"/>
    <w:rsid w:val="001C0168"/>
    <w:rsid w:val="001C787F"/>
    <w:rsid w:val="001D0F3A"/>
    <w:rsid w:val="001D4BDF"/>
    <w:rsid w:val="001E422B"/>
    <w:rsid w:val="001E4DD6"/>
    <w:rsid w:val="001F2482"/>
    <w:rsid w:val="001F27BD"/>
    <w:rsid w:val="001F4A8A"/>
    <w:rsid w:val="0020009E"/>
    <w:rsid w:val="0020090E"/>
    <w:rsid w:val="00200EF6"/>
    <w:rsid w:val="0020392E"/>
    <w:rsid w:val="0020746F"/>
    <w:rsid w:val="00215FBF"/>
    <w:rsid w:val="00216935"/>
    <w:rsid w:val="00222F53"/>
    <w:rsid w:val="002271CE"/>
    <w:rsid w:val="00232C63"/>
    <w:rsid w:val="00235797"/>
    <w:rsid w:val="00237E01"/>
    <w:rsid w:val="00241E21"/>
    <w:rsid w:val="00244EDC"/>
    <w:rsid w:val="0025174C"/>
    <w:rsid w:val="00261BEB"/>
    <w:rsid w:val="00264462"/>
    <w:rsid w:val="00267B07"/>
    <w:rsid w:val="002737F4"/>
    <w:rsid w:val="00277924"/>
    <w:rsid w:val="00280453"/>
    <w:rsid w:val="00282CC5"/>
    <w:rsid w:val="002920C9"/>
    <w:rsid w:val="00293F35"/>
    <w:rsid w:val="002961BD"/>
    <w:rsid w:val="002A2A48"/>
    <w:rsid w:val="002A492F"/>
    <w:rsid w:val="002A699E"/>
    <w:rsid w:val="002B0086"/>
    <w:rsid w:val="002B056E"/>
    <w:rsid w:val="002B08D3"/>
    <w:rsid w:val="002B3A9B"/>
    <w:rsid w:val="002D3657"/>
    <w:rsid w:val="002D700D"/>
    <w:rsid w:val="002D7F7A"/>
    <w:rsid w:val="002E3B9C"/>
    <w:rsid w:val="002F0031"/>
    <w:rsid w:val="002F4BBF"/>
    <w:rsid w:val="002F639C"/>
    <w:rsid w:val="002F7C10"/>
    <w:rsid w:val="00301221"/>
    <w:rsid w:val="003114D2"/>
    <w:rsid w:val="00312605"/>
    <w:rsid w:val="003147F8"/>
    <w:rsid w:val="003156F5"/>
    <w:rsid w:val="003354D8"/>
    <w:rsid w:val="00341DA8"/>
    <w:rsid w:val="00343A53"/>
    <w:rsid w:val="003463D7"/>
    <w:rsid w:val="00346EBE"/>
    <w:rsid w:val="00357A1E"/>
    <w:rsid w:val="00360F96"/>
    <w:rsid w:val="003611F5"/>
    <w:rsid w:val="003665DE"/>
    <w:rsid w:val="0037197B"/>
    <w:rsid w:val="00372476"/>
    <w:rsid w:val="003747D6"/>
    <w:rsid w:val="00380355"/>
    <w:rsid w:val="00384DA5"/>
    <w:rsid w:val="00386773"/>
    <w:rsid w:val="003877F4"/>
    <w:rsid w:val="00391B2B"/>
    <w:rsid w:val="00394FA7"/>
    <w:rsid w:val="003972E1"/>
    <w:rsid w:val="003A449C"/>
    <w:rsid w:val="003A6613"/>
    <w:rsid w:val="003A7C01"/>
    <w:rsid w:val="003D0183"/>
    <w:rsid w:val="003E1701"/>
    <w:rsid w:val="003E45E8"/>
    <w:rsid w:val="003F70FD"/>
    <w:rsid w:val="00404C42"/>
    <w:rsid w:val="00405D8D"/>
    <w:rsid w:val="00424BE6"/>
    <w:rsid w:val="00425AD5"/>
    <w:rsid w:val="00432C10"/>
    <w:rsid w:val="004341B7"/>
    <w:rsid w:val="00435AE0"/>
    <w:rsid w:val="00445F6F"/>
    <w:rsid w:val="00450109"/>
    <w:rsid w:val="0045298E"/>
    <w:rsid w:val="00454311"/>
    <w:rsid w:val="00454FDA"/>
    <w:rsid w:val="004640A3"/>
    <w:rsid w:val="00470BD0"/>
    <w:rsid w:val="004900E8"/>
    <w:rsid w:val="0049213C"/>
    <w:rsid w:val="004933BD"/>
    <w:rsid w:val="004935E9"/>
    <w:rsid w:val="00497876"/>
    <w:rsid w:val="004A1D76"/>
    <w:rsid w:val="004B5100"/>
    <w:rsid w:val="004C52EA"/>
    <w:rsid w:val="004D2019"/>
    <w:rsid w:val="004F093D"/>
    <w:rsid w:val="004F0D95"/>
    <w:rsid w:val="005015C7"/>
    <w:rsid w:val="00503EA8"/>
    <w:rsid w:val="0051311C"/>
    <w:rsid w:val="00513A85"/>
    <w:rsid w:val="0051468F"/>
    <w:rsid w:val="00515FB3"/>
    <w:rsid w:val="00516FCD"/>
    <w:rsid w:val="005225DE"/>
    <w:rsid w:val="00527ADC"/>
    <w:rsid w:val="0054066B"/>
    <w:rsid w:val="00543426"/>
    <w:rsid w:val="00544FEF"/>
    <w:rsid w:val="00547091"/>
    <w:rsid w:val="00556776"/>
    <w:rsid w:val="00567383"/>
    <w:rsid w:val="005837AC"/>
    <w:rsid w:val="00587616"/>
    <w:rsid w:val="00587828"/>
    <w:rsid w:val="005A7EEC"/>
    <w:rsid w:val="005B1735"/>
    <w:rsid w:val="005B57A8"/>
    <w:rsid w:val="005B59D9"/>
    <w:rsid w:val="005C38A0"/>
    <w:rsid w:val="005C40D1"/>
    <w:rsid w:val="005C432E"/>
    <w:rsid w:val="005C7F5B"/>
    <w:rsid w:val="005D09BC"/>
    <w:rsid w:val="005D38BF"/>
    <w:rsid w:val="005D6A0B"/>
    <w:rsid w:val="005E0ECD"/>
    <w:rsid w:val="005F206C"/>
    <w:rsid w:val="005F2D82"/>
    <w:rsid w:val="005F5CD6"/>
    <w:rsid w:val="0060086E"/>
    <w:rsid w:val="00610BF2"/>
    <w:rsid w:val="00613A1A"/>
    <w:rsid w:val="00615813"/>
    <w:rsid w:val="00626247"/>
    <w:rsid w:val="006263DC"/>
    <w:rsid w:val="006318E1"/>
    <w:rsid w:val="00633867"/>
    <w:rsid w:val="0063499B"/>
    <w:rsid w:val="00647066"/>
    <w:rsid w:val="00655B3A"/>
    <w:rsid w:val="00662EF0"/>
    <w:rsid w:val="00665C82"/>
    <w:rsid w:val="006672C5"/>
    <w:rsid w:val="00667F7C"/>
    <w:rsid w:val="006705A6"/>
    <w:rsid w:val="0067385C"/>
    <w:rsid w:val="0067422B"/>
    <w:rsid w:val="00676B35"/>
    <w:rsid w:val="00677DF2"/>
    <w:rsid w:val="00680909"/>
    <w:rsid w:val="006830EE"/>
    <w:rsid w:val="00687326"/>
    <w:rsid w:val="00694B38"/>
    <w:rsid w:val="006A2AA1"/>
    <w:rsid w:val="006A2F3A"/>
    <w:rsid w:val="006A4577"/>
    <w:rsid w:val="006A516C"/>
    <w:rsid w:val="006B57DB"/>
    <w:rsid w:val="006B64F8"/>
    <w:rsid w:val="006B7F5D"/>
    <w:rsid w:val="006C0542"/>
    <w:rsid w:val="006D3CB1"/>
    <w:rsid w:val="006D5F6F"/>
    <w:rsid w:val="006D673F"/>
    <w:rsid w:val="006E3617"/>
    <w:rsid w:val="006E400B"/>
    <w:rsid w:val="00700E95"/>
    <w:rsid w:val="007226DA"/>
    <w:rsid w:val="00726407"/>
    <w:rsid w:val="007341EB"/>
    <w:rsid w:val="007346CF"/>
    <w:rsid w:val="00740D21"/>
    <w:rsid w:val="00742E81"/>
    <w:rsid w:val="00762ADB"/>
    <w:rsid w:val="00764853"/>
    <w:rsid w:val="007748F4"/>
    <w:rsid w:val="00780183"/>
    <w:rsid w:val="00786059"/>
    <w:rsid w:val="00787CFF"/>
    <w:rsid w:val="00790616"/>
    <w:rsid w:val="00793E1E"/>
    <w:rsid w:val="007B1DF4"/>
    <w:rsid w:val="007C601D"/>
    <w:rsid w:val="007D48CD"/>
    <w:rsid w:val="007E3B55"/>
    <w:rsid w:val="007F14FA"/>
    <w:rsid w:val="007F6336"/>
    <w:rsid w:val="008019B2"/>
    <w:rsid w:val="0081118C"/>
    <w:rsid w:val="0081318C"/>
    <w:rsid w:val="00815015"/>
    <w:rsid w:val="008206EE"/>
    <w:rsid w:val="00835A47"/>
    <w:rsid w:val="0084008B"/>
    <w:rsid w:val="0084599E"/>
    <w:rsid w:val="00846ECE"/>
    <w:rsid w:val="00847E73"/>
    <w:rsid w:val="008637BB"/>
    <w:rsid w:val="0086702E"/>
    <w:rsid w:val="008773FA"/>
    <w:rsid w:val="008778BC"/>
    <w:rsid w:val="00877C94"/>
    <w:rsid w:val="00885017"/>
    <w:rsid w:val="00894E81"/>
    <w:rsid w:val="008A2212"/>
    <w:rsid w:val="008A69C0"/>
    <w:rsid w:val="008B0A90"/>
    <w:rsid w:val="008C615A"/>
    <w:rsid w:val="008C6F38"/>
    <w:rsid w:val="008D2AE9"/>
    <w:rsid w:val="008D7BC5"/>
    <w:rsid w:val="008D7F11"/>
    <w:rsid w:val="008E0ED5"/>
    <w:rsid w:val="008E28FC"/>
    <w:rsid w:val="008F46A8"/>
    <w:rsid w:val="00904719"/>
    <w:rsid w:val="00906CDE"/>
    <w:rsid w:val="00912A26"/>
    <w:rsid w:val="00914E40"/>
    <w:rsid w:val="009202ED"/>
    <w:rsid w:val="0092224F"/>
    <w:rsid w:val="00922EA2"/>
    <w:rsid w:val="009269B9"/>
    <w:rsid w:val="00926D2F"/>
    <w:rsid w:val="00927D18"/>
    <w:rsid w:val="0093045F"/>
    <w:rsid w:val="009375D0"/>
    <w:rsid w:val="00937E81"/>
    <w:rsid w:val="009437C3"/>
    <w:rsid w:val="009564D2"/>
    <w:rsid w:val="009623FA"/>
    <w:rsid w:val="00963601"/>
    <w:rsid w:val="00964DCF"/>
    <w:rsid w:val="00967AC1"/>
    <w:rsid w:val="009724B4"/>
    <w:rsid w:val="00972A8E"/>
    <w:rsid w:val="00972DDD"/>
    <w:rsid w:val="0097348B"/>
    <w:rsid w:val="009755B0"/>
    <w:rsid w:val="00976B22"/>
    <w:rsid w:val="00983F1A"/>
    <w:rsid w:val="00986812"/>
    <w:rsid w:val="00987A81"/>
    <w:rsid w:val="00990A08"/>
    <w:rsid w:val="00993764"/>
    <w:rsid w:val="009959CC"/>
    <w:rsid w:val="009A0F83"/>
    <w:rsid w:val="009A1296"/>
    <w:rsid w:val="009A325B"/>
    <w:rsid w:val="009A6828"/>
    <w:rsid w:val="009B4FE6"/>
    <w:rsid w:val="009B62EB"/>
    <w:rsid w:val="009C2A49"/>
    <w:rsid w:val="009C47FE"/>
    <w:rsid w:val="009D4F77"/>
    <w:rsid w:val="009D7300"/>
    <w:rsid w:val="009E027D"/>
    <w:rsid w:val="009F062B"/>
    <w:rsid w:val="009F121C"/>
    <w:rsid w:val="00A01598"/>
    <w:rsid w:val="00A029AD"/>
    <w:rsid w:val="00A03427"/>
    <w:rsid w:val="00A04BBF"/>
    <w:rsid w:val="00A119B3"/>
    <w:rsid w:val="00A1315A"/>
    <w:rsid w:val="00A14A06"/>
    <w:rsid w:val="00A2305C"/>
    <w:rsid w:val="00A23FB7"/>
    <w:rsid w:val="00A24345"/>
    <w:rsid w:val="00A32AF7"/>
    <w:rsid w:val="00A3667B"/>
    <w:rsid w:val="00A43807"/>
    <w:rsid w:val="00A44722"/>
    <w:rsid w:val="00A532DA"/>
    <w:rsid w:val="00A626B5"/>
    <w:rsid w:val="00A646CA"/>
    <w:rsid w:val="00A70514"/>
    <w:rsid w:val="00A74FEC"/>
    <w:rsid w:val="00A87A11"/>
    <w:rsid w:val="00AA1392"/>
    <w:rsid w:val="00AA19DB"/>
    <w:rsid w:val="00AB3D4C"/>
    <w:rsid w:val="00AB5799"/>
    <w:rsid w:val="00AC3D60"/>
    <w:rsid w:val="00AD6821"/>
    <w:rsid w:val="00AD6E67"/>
    <w:rsid w:val="00AE3304"/>
    <w:rsid w:val="00AE40B0"/>
    <w:rsid w:val="00AF2D66"/>
    <w:rsid w:val="00AF3832"/>
    <w:rsid w:val="00AF4379"/>
    <w:rsid w:val="00AF6B4C"/>
    <w:rsid w:val="00B0468B"/>
    <w:rsid w:val="00B15FE5"/>
    <w:rsid w:val="00B24BC0"/>
    <w:rsid w:val="00B25E0A"/>
    <w:rsid w:val="00B26691"/>
    <w:rsid w:val="00B31065"/>
    <w:rsid w:val="00B330E0"/>
    <w:rsid w:val="00B3456F"/>
    <w:rsid w:val="00B3729F"/>
    <w:rsid w:val="00B42D67"/>
    <w:rsid w:val="00B51A8D"/>
    <w:rsid w:val="00B52BD0"/>
    <w:rsid w:val="00B5561C"/>
    <w:rsid w:val="00B55CF4"/>
    <w:rsid w:val="00B57268"/>
    <w:rsid w:val="00B6258C"/>
    <w:rsid w:val="00B625D9"/>
    <w:rsid w:val="00B632F8"/>
    <w:rsid w:val="00B63AEE"/>
    <w:rsid w:val="00B67228"/>
    <w:rsid w:val="00B723AA"/>
    <w:rsid w:val="00B74B29"/>
    <w:rsid w:val="00B7737E"/>
    <w:rsid w:val="00B8271A"/>
    <w:rsid w:val="00B952B8"/>
    <w:rsid w:val="00B96981"/>
    <w:rsid w:val="00B97D2C"/>
    <w:rsid w:val="00BA0044"/>
    <w:rsid w:val="00BA742F"/>
    <w:rsid w:val="00BB1B9A"/>
    <w:rsid w:val="00BC6814"/>
    <w:rsid w:val="00BD2CC0"/>
    <w:rsid w:val="00BD3516"/>
    <w:rsid w:val="00BD38A3"/>
    <w:rsid w:val="00BD4F97"/>
    <w:rsid w:val="00BE1DBA"/>
    <w:rsid w:val="00BE5460"/>
    <w:rsid w:val="00BE71B3"/>
    <w:rsid w:val="00BF2F0C"/>
    <w:rsid w:val="00BF3043"/>
    <w:rsid w:val="00BF4A2B"/>
    <w:rsid w:val="00C009E7"/>
    <w:rsid w:val="00C05D69"/>
    <w:rsid w:val="00C065B2"/>
    <w:rsid w:val="00C06D40"/>
    <w:rsid w:val="00C10EA5"/>
    <w:rsid w:val="00C16785"/>
    <w:rsid w:val="00C20CDE"/>
    <w:rsid w:val="00C23A88"/>
    <w:rsid w:val="00C278DB"/>
    <w:rsid w:val="00C30B64"/>
    <w:rsid w:val="00C3628D"/>
    <w:rsid w:val="00C4217E"/>
    <w:rsid w:val="00C42522"/>
    <w:rsid w:val="00C5014A"/>
    <w:rsid w:val="00C51957"/>
    <w:rsid w:val="00C564B9"/>
    <w:rsid w:val="00C62A2D"/>
    <w:rsid w:val="00C6678D"/>
    <w:rsid w:val="00C669B1"/>
    <w:rsid w:val="00C67001"/>
    <w:rsid w:val="00C671A3"/>
    <w:rsid w:val="00C716EE"/>
    <w:rsid w:val="00C73ACF"/>
    <w:rsid w:val="00C82813"/>
    <w:rsid w:val="00C83AF9"/>
    <w:rsid w:val="00C92DCD"/>
    <w:rsid w:val="00C930F2"/>
    <w:rsid w:val="00C946A5"/>
    <w:rsid w:val="00C9731F"/>
    <w:rsid w:val="00CA275C"/>
    <w:rsid w:val="00CB10D9"/>
    <w:rsid w:val="00CB1F06"/>
    <w:rsid w:val="00CB61CB"/>
    <w:rsid w:val="00CB7386"/>
    <w:rsid w:val="00CC524F"/>
    <w:rsid w:val="00CC5D0F"/>
    <w:rsid w:val="00CE26C9"/>
    <w:rsid w:val="00CE6C05"/>
    <w:rsid w:val="00CF24AA"/>
    <w:rsid w:val="00D01E85"/>
    <w:rsid w:val="00D0256C"/>
    <w:rsid w:val="00D02DD1"/>
    <w:rsid w:val="00D07836"/>
    <w:rsid w:val="00D14ED8"/>
    <w:rsid w:val="00D21E88"/>
    <w:rsid w:val="00D340A7"/>
    <w:rsid w:val="00D36DD9"/>
    <w:rsid w:val="00D41191"/>
    <w:rsid w:val="00D45F36"/>
    <w:rsid w:val="00D53E3E"/>
    <w:rsid w:val="00D55968"/>
    <w:rsid w:val="00D57303"/>
    <w:rsid w:val="00D57747"/>
    <w:rsid w:val="00D624DA"/>
    <w:rsid w:val="00D64957"/>
    <w:rsid w:val="00D64C4F"/>
    <w:rsid w:val="00D659E2"/>
    <w:rsid w:val="00D71A05"/>
    <w:rsid w:val="00D75E82"/>
    <w:rsid w:val="00D81A23"/>
    <w:rsid w:val="00D8517D"/>
    <w:rsid w:val="00D87A9B"/>
    <w:rsid w:val="00D900FD"/>
    <w:rsid w:val="00D90808"/>
    <w:rsid w:val="00DA0A4C"/>
    <w:rsid w:val="00DA0E45"/>
    <w:rsid w:val="00DA4A57"/>
    <w:rsid w:val="00DB0FEA"/>
    <w:rsid w:val="00DB2BD8"/>
    <w:rsid w:val="00DB2F35"/>
    <w:rsid w:val="00DB5285"/>
    <w:rsid w:val="00DC0489"/>
    <w:rsid w:val="00DC6D0D"/>
    <w:rsid w:val="00DD0800"/>
    <w:rsid w:val="00DD3B8C"/>
    <w:rsid w:val="00DD4F38"/>
    <w:rsid w:val="00DD6264"/>
    <w:rsid w:val="00DD790F"/>
    <w:rsid w:val="00DF1CDE"/>
    <w:rsid w:val="00DF2D63"/>
    <w:rsid w:val="00DF7BA6"/>
    <w:rsid w:val="00E006D0"/>
    <w:rsid w:val="00E051DA"/>
    <w:rsid w:val="00E1707E"/>
    <w:rsid w:val="00E23160"/>
    <w:rsid w:val="00E27190"/>
    <w:rsid w:val="00E30152"/>
    <w:rsid w:val="00E3066E"/>
    <w:rsid w:val="00E40D10"/>
    <w:rsid w:val="00E421C8"/>
    <w:rsid w:val="00E45155"/>
    <w:rsid w:val="00E52ACD"/>
    <w:rsid w:val="00E61792"/>
    <w:rsid w:val="00E61A1C"/>
    <w:rsid w:val="00E62A07"/>
    <w:rsid w:val="00E645A4"/>
    <w:rsid w:val="00E646F7"/>
    <w:rsid w:val="00E71A2A"/>
    <w:rsid w:val="00E75215"/>
    <w:rsid w:val="00E86B02"/>
    <w:rsid w:val="00E90B87"/>
    <w:rsid w:val="00E93C4C"/>
    <w:rsid w:val="00EB30B1"/>
    <w:rsid w:val="00EB7DA8"/>
    <w:rsid w:val="00ED4120"/>
    <w:rsid w:val="00ED53A3"/>
    <w:rsid w:val="00EE2DCB"/>
    <w:rsid w:val="00EE4F1E"/>
    <w:rsid w:val="00F0653A"/>
    <w:rsid w:val="00F0724D"/>
    <w:rsid w:val="00F12489"/>
    <w:rsid w:val="00F20C09"/>
    <w:rsid w:val="00F23A66"/>
    <w:rsid w:val="00F274C9"/>
    <w:rsid w:val="00F34789"/>
    <w:rsid w:val="00F35DCA"/>
    <w:rsid w:val="00F42645"/>
    <w:rsid w:val="00F45BB6"/>
    <w:rsid w:val="00F51264"/>
    <w:rsid w:val="00F512E7"/>
    <w:rsid w:val="00F53D93"/>
    <w:rsid w:val="00F541B2"/>
    <w:rsid w:val="00F561C7"/>
    <w:rsid w:val="00F62385"/>
    <w:rsid w:val="00F70C8B"/>
    <w:rsid w:val="00F711FC"/>
    <w:rsid w:val="00F73918"/>
    <w:rsid w:val="00F80147"/>
    <w:rsid w:val="00F80B69"/>
    <w:rsid w:val="00F854C1"/>
    <w:rsid w:val="00F90E01"/>
    <w:rsid w:val="00F9240F"/>
    <w:rsid w:val="00F92F47"/>
    <w:rsid w:val="00F93F23"/>
    <w:rsid w:val="00FA19B7"/>
    <w:rsid w:val="00FA4467"/>
    <w:rsid w:val="00FB3719"/>
    <w:rsid w:val="00FB3A8C"/>
    <w:rsid w:val="00FB6A8D"/>
    <w:rsid w:val="00FC1EBA"/>
    <w:rsid w:val="00FC46DD"/>
    <w:rsid w:val="00FC6F47"/>
    <w:rsid w:val="00FD26C4"/>
    <w:rsid w:val="00FD2DF8"/>
    <w:rsid w:val="00FD4BCF"/>
    <w:rsid w:val="00FF189E"/>
    <w:rsid w:val="00FF39CF"/>
    <w:rsid w:val="01820EA5"/>
    <w:rsid w:val="03704807"/>
    <w:rsid w:val="04EF4D28"/>
    <w:rsid w:val="05910CAE"/>
    <w:rsid w:val="05BD0878"/>
    <w:rsid w:val="05E34A55"/>
    <w:rsid w:val="06727F84"/>
    <w:rsid w:val="08010EED"/>
    <w:rsid w:val="09C74F1B"/>
    <w:rsid w:val="0A362FD0"/>
    <w:rsid w:val="0AAB6519"/>
    <w:rsid w:val="0ACD5156"/>
    <w:rsid w:val="0B4D45ED"/>
    <w:rsid w:val="0C147381"/>
    <w:rsid w:val="0DDE3F58"/>
    <w:rsid w:val="0E183F30"/>
    <w:rsid w:val="0E201B54"/>
    <w:rsid w:val="0F7A4A71"/>
    <w:rsid w:val="0F97595E"/>
    <w:rsid w:val="1085526B"/>
    <w:rsid w:val="109D48CC"/>
    <w:rsid w:val="10F442DE"/>
    <w:rsid w:val="12844F29"/>
    <w:rsid w:val="13D46EF5"/>
    <w:rsid w:val="13EB3FA7"/>
    <w:rsid w:val="150004AB"/>
    <w:rsid w:val="15E1690F"/>
    <w:rsid w:val="16C51F8C"/>
    <w:rsid w:val="16E42F30"/>
    <w:rsid w:val="176756C6"/>
    <w:rsid w:val="18EB26CC"/>
    <w:rsid w:val="19381D65"/>
    <w:rsid w:val="197FE835"/>
    <w:rsid w:val="1ABC07FF"/>
    <w:rsid w:val="1B64634C"/>
    <w:rsid w:val="1BEFEB13"/>
    <w:rsid w:val="1D2B4636"/>
    <w:rsid w:val="1DA55031"/>
    <w:rsid w:val="1DAC27BE"/>
    <w:rsid w:val="1E8F68F4"/>
    <w:rsid w:val="1F267EBF"/>
    <w:rsid w:val="1F9678F4"/>
    <w:rsid w:val="20502981"/>
    <w:rsid w:val="20601CC4"/>
    <w:rsid w:val="218E2416"/>
    <w:rsid w:val="231A03A8"/>
    <w:rsid w:val="232911A6"/>
    <w:rsid w:val="23A06601"/>
    <w:rsid w:val="245A12B2"/>
    <w:rsid w:val="246650C5"/>
    <w:rsid w:val="24DD394E"/>
    <w:rsid w:val="257A1801"/>
    <w:rsid w:val="25A822A3"/>
    <w:rsid w:val="261D0756"/>
    <w:rsid w:val="26760048"/>
    <w:rsid w:val="26805942"/>
    <w:rsid w:val="26C329A6"/>
    <w:rsid w:val="28134E29"/>
    <w:rsid w:val="28700AC7"/>
    <w:rsid w:val="28B356D4"/>
    <w:rsid w:val="290A672D"/>
    <w:rsid w:val="2923120B"/>
    <w:rsid w:val="29BF1E8A"/>
    <w:rsid w:val="2C254300"/>
    <w:rsid w:val="2DE738D0"/>
    <w:rsid w:val="302336C1"/>
    <w:rsid w:val="30587157"/>
    <w:rsid w:val="30A81A60"/>
    <w:rsid w:val="33F66251"/>
    <w:rsid w:val="34DC7E86"/>
    <w:rsid w:val="34EE4CD7"/>
    <w:rsid w:val="35BF1FB9"/>
    <w:rsid w:val="37AC75E6"/>
    <w:rsid w:val="37FF8850"/>
    <w:rsid w:val="38784648"/>
    <w:rsid w:val="390066E8"/>
    <w:rsid w:val="39E24FD1"/>
    <w:rsid w:val="3A374711"/>
    <w:rsid w:val="3A705B70"/>
    <w:rsid w:val="3B2E6A60"/>
    <w:rsid w:val="3C193A4D"/>
    <w:rsid w:val="3C7830F0"/>
    <w:rsid w:val="3CA11242"/>
    <w:rsid w:val="3D052D63"/>
    <w:rsid w:val="3D6C2FBC"/>
    <w:rsid w:val="3DC6167E"/>
    <w:rsid w:val="3DDD7D19"/>
    <w:rsid w:val="3DFE51A1"/>
    <w:rsid w:val="3EDDD76D"/>
    <w:rsid w:val="3F4121D7"/>
    <w:rsid w:val="3F5EA625"/>
    <w:rsid w:val="3F933D77"/>
    <w:rsid w:val="3FA0645E"/>
    <w:rsid w:val="3FC962B1"/>
    <w:rsid w:val="41030C75"/>
    <w:rsid w:val="41A750ED"/>
    <w:rsid w:val="41BA22E4"/>
    <w:rsid w:val="423B1FF0"/>
    <w:rsid w:val="4351085C"/>
    <w:rsid w:val="43574814"/>
    <w:rsid w:val="439C6FB6"/>
    <w:rsid w:val="44CC63EF"/>
    <w:rsid w:val="45112722"/>
    <w:rsid w:val="45344A19"/>
    <w:rsid w:val="474E7388"/>
    <w:rsid w:val="479E5E8D"/>
    <w:rsid w:val="47A143A2"/>
    <w:rsid w:val="47B65AB2"/>
    <w:rsid w:val="481728B6"/>
    <w:rsid w:val="49D22933"/>
    <w:rsid w:val="49EE59D5"/>
    <w:rsid w:val="4B3D6AD7"/>
    <w:rsid w:val="4B722056"/>
    <w:rsid w:val="4B7A7462"/>
    <w:rsid w:val="4C536D07"/>
    <w:rsid w:val="4D7F7022"/>
    <w:rsid w:val="4DF42B61"/>
    <w:rsid w:val="4E7E543D"/>
    <w:rsid w:val="4E974CF5"/>
    <w:rsid w:val="4EDCD099"/>
    <w:rsid w:val="4FC14BAB"/>
    <w:rsid w:val="50537655"/>
    <w:rsid w:val="50FA6CDF"/>
    <w:rsid w:val="513B2E22"/>
    <w:rsid w:val="51D6733E"/>
    <w:rsid w:val="529D3D17"/>
    <w:rsid w:val="52D84D7C"/>
    <w:rsid w:val="545F43A1"/>
    <w:rsid w:val="548E0A81"/>
    <w:rsid w:val="551E34D6"/>
    <w:rsid w:val="557D2E44"/>
    <w:rsid w:val="55F6A7AC"/>
    <w:rsid w:val="57D73BEE"/>
    <w:rsid w:val="593058EE"/>
    <w:rsid w:val="599C089D"/>
    <w:rsid w:val="59C47AA4"/>
    <w:rsid w:val="5A8D53D3"/>
    <w:rsid w:val="5AF7BF88"/>
    <w:rsid w:val="5B9A0F5B"/>
    <w:rsid w:val="5BF0324D"/>
    <w:rsid w:val="5CE95871"/>
    <w:rsid w:val="5E4B06C0"/>
    <w:rsid w:val="5E7F283C"/>
    <w:rsid w:val="5EF37684"/>
    <w:rsid w:val="5EF3DCD8"/>
    <w:rsid w:val="5EF7709B"/>
    <w:rsid w:val="5F0C558A"/>
    <w:rsid w:val="616379EA"/>
    <w:rsid w:val="61C70794"/>
    <w:rsid w:val="61F33529"/>
    <w:rsid w:val="62487C4B"/>
    <w:rsid w:val="65240698"/>
    <w:rsid w:val="65E5959B"/>
    <w:rsid w:val="65F43F54"/>
    <w:rsid w:val="66555272"/>
    <w:rsid w:val="66C36B72"/>
    <w:rsid w:val="67444B7B"/>
    <w:rsid w:val="674E548A"/>
    <w:rsid w:val="687C2679"/>
    <w:rsid w:val="69502D9A"/>
    <w:rsid w:val="6A7D30C3"/>
    <w:rsid w:val="6AD850FE"/>
    <w:rsid w:val="6B302B67"/>
    <w:rsid w:val="6C9B7BBF"/>
    <w:rsid w:val="6D4C69DA"/>
    <w:rsid w:val="6F4F00B9"/>
    <w:rsid w:val="6F5C683A"/>
    <w:rsid w:val="6F8F6AA8"/>
    <w:rsid w:val="704241B9"/>
    <w:rsid w:val="716562BC"/>
    <w:rsid w:val="726A7F47"/>
    <w:rsid w:val="729D6597"/>
    <w:rsid w:val="743B4D3E"/>
    <w:rsid w:val="74A15B41"/>
    <w:rsid w:val="756B0CB3"/>
    <w:rsid w:val="7579474A"/>
    <w:rsid w:val="75AD719E"/>
    <w:rsid w:val="77445FBB"/>
    <w:rsid w:val="77F5255B"/>
    <w:rsid w:val="77FA2F06"/>
    <w:rsid w:val="77FF4C21"/>
    <w:rsid w:val="7A351ED1"/>
    <w:rsid w:val="7A4312DB"/>
    <w:rsid w:val="7A6413DB"/>
    <w:rsid w:val="7A770EAD"/>
    <w:rsid w:val="7AAF6967"/>
    <w:rsid w:val="7AC426F9"/>
    <w:rsid w:val="7BA300D0"/>
    <w:rsid w:val="7BBD7B91"/>
    <w:rsid w:val="7C0B3A10"/>
    <w:rsid w:val="7D5207A9"/>
    <w:rsid w:val="7DA4082D"/>
    <w:rsid w:val="7FB308A8"/>
    <w:rsid w:val="7FC23E4D"/>
    <w:rsid w:val="7FF34149"/>
    <w:rsid w:val="7FFE50E4"/>
    <w:rsid w:val="9FFFD20A"/>
    <w:rsid w:val="B7738A95"/>
    <w:rsid w:val="B7FF3194"/>
    <w:rsid w:val="BD7E8594"/>
    <w:rsid w:val="C7FE4E6B"/>
    <w:rsid w:val="CFB7335F"/>
    <w:rsid w:val="D37731FC"/>
    <w:rsid w:val="E65F0AB7"/>
    <w:rsid w:val="E7BBE58A"/>
    <w:rsid w:val="FACF4787"/>
    <w:rsid w:val="FEFDEE25"/>
    <w:rsid w:val="FFBFA956"/>
    <w:rsid w:val="FFD38073"/>
    <w:rsid w:val="FFFF7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kern w:val="2"/>
      <w:sz w:val="32"/>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rFonts w:ascii="Calibri" w:hAnsi="Calibri" w:eastAsia="宋体"/>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eastAsia="宋体"/>
      <w:b/>
      <w:bCs/>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4"/>
    <w:unhideWhenUsed/>
    <w:qFormat/>
    <w:uiPriority w:val="99"/>
    <w:pPr>
      <w:jc w:val="left"/>
    </w:pPr>
  </w:style>
  <w:style w:type="paragraph" w:styleId="5">
    <w:name w:val="Body Text"/>
    <w:basedOn w:val="1"/>
    <w:qFormat/>
    <w:uiPriority w:val="1"/>
    <w:pPr>
      <w:spacing w:before="88"/>
      <w:ind w:left="120"/>
      <w:jc w:val="left"/>
    </w:pPr>
    <w:rPr>
      <w:rFonts w:ascii="仿宋_GB2312" w:hAnsi="仿宋_GB2312" w:eastAsia="仿宋_GB2312"/>
      <w:kern w:val="0"/>
      <w:szCs w:val="32"/>
      <w:lang w:eastAsia="en-US"/>
    </w:rPr>
  </w:style>
  <w:style w:type="paragraph" w:styleId="6">
    <w:name w:val="Plain Text"/>
    <w:basedOn w:val="1"/>
    <w:link w:val="25"/>
    <w:qFormat/>
    <w:uiPriority w:val="0"/>
    <w:rPr>
      <w:rFonts w:ascii="宋体" w:hAnsi="Courier New" w:eastAsia="宋体"/>
      <w:sz w:val="21"/>
      <w:szCs w:val="20"/>
    </w:rPr>
  </w:style>
  <w:style w:type="paragraph" w:styleId="7">
    <w:name w:val="Balloon Text"/>
    <w:basedOn w:val="1"/>
    <w:link w:val="26"/>
    <w:unhideWhenUsed/>
    <w:qFormat/>
    <w:uiPriority w:val="99"/>
    <w:rPr>
      <w:sz w:val="18"/>
      <w:szCs w:val="18"/>
    </w:rPr>
  </w:style>
  <w:style w:type="paragraph" w:styleId="8">
    <w:name w:val="footer"/>
    <w:basedOn w:val="1"/>
    <w:link w:val="27"/>
    <w:unhideWhenUsed/>
    <w:qFormat/>
    <w:uiPriority w:val="99"/>
    <w:pPr>
      <w:tabs>
        <w:tab w:val="center" w:pos="4153"/>
        <w:tab w:val="right" w:pos="8306"/>
      </w:tabs>
      <w:snapToGrid w:val="0"/>
      <w:jc w:val="left"/>
    </w:pPr>
    <w:rPr>
      <w:sz w:val="18"/>
      <w:szCs w:val="18"/>
    </w:rPr>
  </w:style>
  <w:style w:type="paragraph" w:styleId="9">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spacing w:line="360" w:lineRule="auto"/>
      <w:ind w:firstLine="200" w:firstLineChars="200"/>
    </w:pPr>
    <w:rPr>
      <w:rFonts w:eastAsia="宋体"/>
      <w:sz w:val="24"/>
      <w:szCs w:val="22"/>
    </w:rPr>
  </w:style>
  <w:style w:type="paragraph" w:styleId="11">
    <w:name w:val="footnote text"/>
    <w:basedOn w:val="1"/>
    <w:semiHidden/>
    <w:unhideWhenUsed/>
    <w:qFormat/>
    <w:uiPriority w:val="99"/>
    <w:pPr>
      <w:snapToGrid w:val="0"/>
      <w:jc w:val="left"/>
    </w:pPr>
    <w:rPr>
      <w:sz w:val="18"/>
    </w:rPr>
  </w:style>
  <w:style w:type="paragraph" w:styleId="12">
    <w:name w:val="toc 2"/>
    <w:basedOn w:val="1"/>
    <w:next w:val="1"/>
    <w:unhideWhenUsed/>
    <w:qFormat/>
    <w:uiPriority w:val="39"/>
    <w:pPr>
      <w:ind w:left="420" w:leftChars="200"/>
    </w:pPr>
    <w:rPr>
      <w:rFonts w:ascii="Calibri" w:hAnsi="Calibri" w:eastAsia="宋体"/>
      <w:sz w:val="21"/>
      <w:szCs w:val="22"/>
    </w:rPr>
  </w:style>
  <w:style w:type="paragraph" w:styleId="13">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paragraph" w:styleId="14">
    <w:name w:val="Title"/>
    <w:basedOn w:val="1"/>
    <w:next w:val="1"/>
    <w:link w:val="29"/>
    <w:qFormat/>
    <w:uiPriority w:val="10"/>
    <w:pPr>
      <w:spacing w:before="240" w:after="60" w:line="360" w:lineRule="auto"/>
      <w:ind w:firstLine="200" w:firstLineChars="200"/>
      <w:jc w:val="center"/>
      <w:outlineLvl w:val="0"/>
    </w:pPr>
    <w:rPr>
      <w:rFonts w:ascii="Cambria" w:hAnsi="Cambria" w:eastAsia="楷体"/>
      <w:b/>
      <w:sz w:val="36"/>
      <w:szCs w:val="20"/>
    </w:rPr>
  </w:style>
  <w:style w:type="paragraph" w:styleId="15">
    <w:name w:val="annotation subject"/>
    <w:basedOn w:val="4"/>
    <w:next w:val="4"/>
    <w:link w:val="30"/>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unhideWhenUsed/>
    <w:qFormat/>
    <w:uiPriority w:val="99"/>
    <w:rPr>
      <w:color w:val="0000FF"/>
      <w:u w:val="single"/>
    </w:rPr>
  </w:style>
  <w:style w:type="character" w:styleId="20">
    <w:name w:val="annotation reference"/>
    <w:unhideWhenUsed/>
    <w:qFormat/>
    <w:uiPriority w:val="99"/>
    <w:rPr>
      <w:sz w:val="21"/>
      <w:szCs w:val="21"/>
    </w:rPr>
  </w:style>
  <w:style w:type="character" w:styleId="21">
    <w:name w:val="footnote reference"/>
    <w:basedOn w:val="18"/>
    <w:semiHidden/>
    <w:unhideWhenUsed/>
    <w:qFormat/>
    <w:uiPriority w:val="99"/>
    <w:rPr>
      <w:vertAlign w:val="superscript"/>
    </w:rPr>
  </w:style>
  <w:style w:type="character" w:customStyle="1" w:styleId="22">
    <w:name w:val="标题 1 Char"/>
    <w:link w:val="2"/>
    <w:qFormat/>
    <w:uiPriority w:val="9"/>
    <w:rPr>
      <w:b/>
      <w:bCs/>
      <w:kern w:val="44"/>
      <w:sz w:val="44"/>
      <w:szCs w:val="44"/>
    </w:rPr>
  </w:style>
  <w:style w:type="character" w:customStyle="1" w:styleId="23">
    <w:name w:val="标题 2 Char"/>
    <w:link w:val="3"/>
    <w:qFormat/>
    <w:uiPriority w:val="9"/>
    <w:rPr>
      <w:rFonts w:ascii="Cambria" w:hAnsi="Cambria"/>
      <w:b/>
      <w:bCs/>
      <w:kern w:val="2"/>
      <w:sz w:val="32"/>
      <w:szCs w:val="32"/>
    </w:rPr>
  </w:style>
  <w:style w:type="character" w:customStyle="1" w:styleId="24">
    <w:name w:val="批注文字 Char"/>
    <w:link w:val="4"/>
    <w:semiHidden/>
    <w:qFormat/>
    <w:uiPriority w:val="99"/>
    <w:rPr>
      <w:rFonts w:ascii="Times New Roman" w:hAnsi="Times New Roman" w:eastAsia="仿宋"/>
      <w:kern w:val="2"/>
      <w:sz w:val="32"/>
      <w:szCs w:val="24"/>
    </w:rPr>
  </w:style>
  <w:style w:type="character" w:customStyle="1" w:styleId="25">
    <w:name w:val="纯文本 Char"/>
    <w:link w:val="6"/>
    <w:qFormat/>
    <w:uiPriority w:val="0"/>
    <w:rPr>
      <w:rFonts w:ascii="宋体" w:hAnsi="Courier New"/>
      <w:kern w:val="2"/>
      <w:sz w:val="21"/>
    </w:rPr>
  </w:style>
  <w:style w:type="character" w:customStyle="1" w:styleId="26">
    <w:name w:val="批注框文本 Char"/>
    <w:link w:val="7"/>
    <w:semiHidden/>
    <w:qFormat/>
    <w:uiPriority w:val="99"/>
    <w:rPr>
      <w:rFonts w:ascii="Times New Roman" w:hAnsi="Times New Roman" w:eastAsia="仿宋"/>
      <w:kern w:val="2"/>
      <w:sz w:val="18"/>
      <w:szCs w:val="18"/>
    </w:rPr>
  </w:style>
  <w:style w:type="character" w:customStyle="1" w:styleId="27">
    <w:name w:val="页脚 Char"/>
    <w:link w:val="8"/>
    <w:qFormat/>
    <w:uiPriority w:val="99"/>
    <w:rPr>
      <w:sz w:val="18"/>
      <w:szCs w:val="18"/>
    </w:rPr>
  </w:style>
  <w:style w:type="character" w:customStyle="1" w:styleId="28">
    <w:name w:val="页眉 Char"/>
    <w:link w:val="9"/>
    <w:qFormat/>
    <w:uiPriority w:val="99"/>
    <w:rPr>
      <w:sz w:val="18"/>
      <w:szCs w:val="18"/>
    </w:rPr>
  </w:style>
  <w:style w:type="character" w:customStyle="1" w:styleId="29">
    <w:name w:val="标题 Char"/>
    <w:link w:val="14"/>
    <w:qFormat/>
    <w:uiPriority w:val="10"/>
    <w:rPr>
      <w:rFonts w:ascii="Cambria" w:hAnsi="Cambria" w:eastAsia="楷体"/>
      <w:b/>
      <w:kern w:val="2"/>
      <w:sz w:val="36"/>
    </w:rPr>
  </w:style>
  <w:style w:type="character" w:customStyle="1" w:styleId="30">
    <w:name w:val="批注主题 Char"/>
    <w:link w:val="15"/>
    <w:semiHidden/>
    <w:qFormat/>
    <w:uiPriority w:val="99"/>
    <w:rPr>
      <w:rFonts w:ascii="Times New Roman" w:hAnsi="Times New Roman" w:eastAsia="仿宋"/>
      <w:b/>
      <w:bCs/>
      <w:kern w:val="2"/>
      <w:sz w:val="32"/>
      <w:szCs w:val="24"/>
    </w:rPr>
  </w:style>
  <w:style w:type="character" w:customStyle="1" w:styleId="31">
    <w:name w:val="列出段落 Char"/>
    <w:link w:val="32"/>
    <w:qFormat/>
    <w:uiPriority w:val="34"/>
    <w:rPr>
      <w:kern w:val="2"/>
      <w:sz w:val="21"/>
      <w:szCs w:val="22"/>
    </w:rPr>
  </w:style>
  <w:style w:type="paragraph" w:styleId="32">
    <w:name w:val="List Paragraph"/>
    <w:basedOn w:val="1"/>
    <w:link w:val="31"/>
    <w:qFormat/>
    <w:uiPriority w:val="34"/>
    <w:pPr>
      <w:ind w:firstLine="420" w:firstLineChars="200"/>
    </w:pPr>
    <w:rPr>
      <w:rFonts w:ascii="Calibri" w:hAnsi="Calibri" w:eastAsia="宋体"/>
      <w:sz w:val="21"/>
      <w:szCs w:val="22"/>
    </w:rPr>
  </w:style>
  <w:style w:type="paragraph" w:customStyle="1" w:styleId="33">
    <w:name w:val="_Style 29"/>
    <w:semiHidden/>
    <w:qFormat/>
    <w:uiPriority w:val="99"/>
    <w:rPr>
      <w:rFonts w:ascii="Times New Roman" w:hAnsi="Times New Roman" w:eastAsia="仿宋" w:cs="Times New Roman"/>
      <w:kern w:val="2"/>
      <w:sz w:val="32"/>
      <w:szCs w:val="24"/>
      <w:lang w:val="en-US" w:eastAsia="zh-CN" w:bidi="ar-SA"/>
    </w:rPr>
  </w:style>
  <w:style w:type="character" w:customStyle="1" w:styleId="34">
    <w:name w:val="新增 Char"/>
    <w:link w:val="35"/>
    <w:qFormat/>
    <w:uiPriority w:val="0"/>
    <w:rPr>
      <w:rFonts w:ascii="仿宋_GB2312" w:eastAsia="仿宋_GB2312"/>
      <w:b/>
      <w:color w:val="FF0000"/>
      <w:szCs w:val="21"/>
      <w:u w:val="single"/>
    </w:rPr>
  </w:style>
  <w:style w:type="paragraph" w:customStyle="1" w:styleId="35">
    <w:name w:val="新增"/>
    <w:basedOn w:val="1"/>
    <w:link w:val="34"/>
    <w:qFormat/>
    <w:uiPriority w:val="0"/>
    <w:pPr>
      <w:adjustRightInd w:val="0"/>
      <w:snapToGrid w:val="0"/>
      <w:ind w:firstLine="420" w:firstLineChars="200"/>
    </w:pPr>
    <w:rPr>
      <w:rFonts w:ascii="仿宋_GB2312" w:eastAsia="仿宋_GB2312"/>
      <w:b/>
      <w:color w:val="FF0000"/>
      <w:szCs w:val="21"/>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401</Words>
  <Characters>2286</Characters>
  <Lines>19</Lines>
  <Paragraphs>5</Paragraphs>
  <TotalTime>27</TotalTime>
  <ScaleCrop>false</ScaleCrop>
  <LinksUpToDate>false</LinksUpToDate>
  <CharactersWithSpaces>2682</CharactersWithSpaces>
  <Application>WPS Office_11.8.2.12356_F1E327BC-269C-435d-A152-05C5408002CA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2023-10-13T02:02:00Z</dcterms:created>
  <dc:creator>曾蓓蓓[bbzeng]</dc:creator>
  <cp:lastModifiedBy>xhma</cp:lastModifiedBy>
  <dcterms:modified xsi:type="dcterms:W3CDTF">2026-09-04T13:42:46Z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0x010100277BE70400348A4D8EEC7D959D14FCE9</vt:lpwstr>
  </property>
  <property fmtid="{D5CDD505-2E9C-101B-9397-08002B2CF9AE}" pid="3" name="Title">
    <vt:lpwstr/>
  </property>
  <property fmtid="{D5CDD505-2E9C-101B-9397-08002B2CF9AE}" pid="4" name="KSOProductBuildVer">
    <vt:lpwstr>2052-11.8.2.12356</vt:lpwstr>
  </property>
  <property fmtid="{D5CDD505-2E9C-101B-9397-08002B2CF9AE}" pid="5" name="ICV">
    <vt:lpwstr>A23DCF816FD7450A9F5B420DD992BAFB</vt:lpwstr>
  </property>
</Properties>
</file>