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F" w:rsidRPr="00161DCD" w:rsidRDefault="00AC57DF" w:rsidP="00AC57DF">
      <w:pPr>
        <w:jc w:val="left"/>
        <w:rPr>
          <w:rFonts w:ascii="方正仿宋简体" w:eastAsia="方正仿宋简体"/>
          <w:color w:val="000000" w:themeColor="text1"/>
          <w:sz w:val="28"/>
          <w:szCs w:val="28"/>
        </w:rPr>
      </w:pPr>
      <w:r w:rsidRPr="00161DCD">
        <w:rPr>
          <w:rFonts w:ascii="方正仿宋简体" w:eastAsia="方正仿宋简体" w:hint="eastAsia"/>
          <w:color w:val="000000" w:themeColor="text1"/>
          <w:sz w:val="28"/>
          <w:szCs w:val="28"/>
        </w:rPr>
        <w:t>附件1：</w:t>
      </w:r>
    </w:p>
    <w:p w:rsidR="00AC57DF" w:rsidRPr="00161DCD" w:rsidRDefault="00AC57DF" w:rsidP="00AC57DF">
      <w:pPr>
        <w:pStyle w:val="a3"/>
        <w:spacing w:beforeLines="50" w:before="156" w:beforeAutospacing="0" w:afterLines="50" w:after="156" w:afterAutospacing="0"/>
        <w:ind w:firstLineChars="150" w:firstLine="540"/>
        <w:jc w:val="center"/>
        <w:outlineLvl w:val="0"/>
        <w:rPr>
          <w:rFonts w:ascii="黑体" w:eastAsia="黑体"/>
          <w:color w:val="000000" w:themeColor="text1"/>
          <w:sz w:val="36"/>
          <w:szCs w:val="36"/>
        </w:rPr>
      </w:pPr>
      <w:r w:rsidRPr="00161DCD">
        <w:rPr>
          <w:rFonts w:ascii="黑体" w:eastAsia="黑体" w:hint="eastAsia"/>
          <w:color w:val="000000" w:themeColor="text1"/>
          <w:sz w:val="36"/>
          <w:szCs w:val="36"/>
        </w:rPr>
        <w:t>证券期货业金融科技研究发展中心（深圳）</w:t>
      </w:r>
    </w:p>
    <w:p w:rsidR="00AC57DF" w:rsidRPr="00161DCD" w:rsidRDefault="00AC57DF" w:rsidP="00AC57DF">
      <w:pPr>
        <w:pStyle w:val="a3"/>
        <w:spacing w:beforeLines="50" w:before="156" w:beforeAutospacing="0" w:afterLines="50" w:after="156" w:afterAutospacing="0"/>
        <w:ind w:firstLineChars="150" w:firstLine="540"/>
        <w:jc w:val="center"/>
        <w:outlineLvl w:val="0"/>
        <w:rPr>
          <w:rFonts w:ascii="黑体" w:eastAsia="黑体"/>
          <w:color w:val="000000" w:themeColor="text1"/>
          <w:sz w:val="36"/>
          <w:szCs w:val="36"/>
        </w:rPr>
      </w:pPr>
      <w:r w:rsidRPr="00161DCD">
        <w:rPr>
          <w:rFonts w:ascii="黑体" w:eastAsia="黑体" w:hint="eastAsia"/>
          <w:color w:val="000000" w:themeColor="text1"/>
          <w:sz w:val="36"/>
          <w:szCs w:val="36"/>
        </w:rPr>
        <w:t>20</w:t>
      </w:r>
      <w:r>
        <w:rPr>
          <w:rFonts w:ascii="黑体" w:eastAsia="黑体" w:hint="eastAsia"/>
          <w:color w:val="000000" w:themeColor="text1"/>
          <w:sz w:val="36"/>
          <w:szCs w:val="36"/>
        </w:rPr>
        <w:t>20</w:t>
      </w:r>
      <w:r w:rsidRPr="00161DCD">
        <w:rPr>
          <w:rFonts w:ascii="黑体" w:eastAsia="黑体" w:hint="eastAsia"/>
          <w:color w:val="000000" w:themeColor="text1"/>
          <w:sz w:val="36"/>
          <w:szCs w:val="36"/>
        </w:rPr>
        <w:t>年度课题选题指南</w:t>
      </w:r>
    </w:p>
    <w:p w:rsidR="00AC57DF" w:rsidRPr="00161DCD" w:rsidRDefault="00AC57DF" w:rsidP="00AC57DF">
      <w:pPr>
        <w:pStyle w:val="a3"/>
        <w:spacing w:before="0" w:beforeAutospacing="0" w:after="0" w:afterAutospacing="0" w:line="360" w:lineRule="auto"/>
        <w:ind w:firstLineChars="200" w:firstLine="600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为加强金融科技在我国证券期货业的研究发展和应用，推动行业金融科技的共同发展和进步，根据《证券期货业金融科技研究发展中心（深圳）研究课题管理办法》，制定本指南。</w:t>
      </w:r>
    </w:p>
    <w:p w:rsidR="00AC57DF" w:rsidRPr="00161DCD" w:rsidRDefault="00AC57DF" w:rsidP="00AC57DF">
      <w:pPr>
        <w:pStyle w:val="a3"/>
        <w:spacing w:before="0" w:beforeAutospacing="0" w:after="0" w:afterAutospacing="0" w:line="360" w:lineRule="auto"/>
        <w:ind w:firstLineChars="200" w:firstLine="600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市场各机构可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结合自身业务需求与行业市场特点，</w:t>
      </w: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参考本指南所列研究领域方向拟定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具体</w:t>
      </w: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题目，也可在本指南所列研究领域之外自行选题。</w:t>
      </w:r>
    </w:p>
    <w:p w:rsidR="00AC57DF" w:rsidRPr="00346ED8" w:rsidRDefault="00AC57DF" w:rsidP="00AC57DF">
      <w:pPr>
        <w:pStyle w:val="a3"/>
        <w:numPr>
          <w:ilvl w:val="0"/>
          <w:numId w:val="1"/>
        </w:numPr>
        <w:spacing w:line="360" w:lineRule="auto"/>
        <w:ind w:left="1276" w:hanging="567"/>
        <w:outlineLvl w:val="0"/>
        <w:rPr>
          <w:rFonts w:ascii="仿宋_GB2312" w:eastAsia="仿宋_GB2312"/>
          <w:sz w:val="30"/>
          <w:szCs w:val="30"/>
        </w:rPr>
      </w:pPr>
      <w:r w:rsidRPr="00346ED8">
        <w:rPr>
          <w:rFonts w:ascii="仿宋_GB2312" w:eastAsia="仿宋_GB2312" w:hint="eastAsia"/>
          <w:sz w:val="30"/>
          <w:szCs w:val="30"/>
        </w:rPr>
        <w:t>数字化转型发展与数字生态建设研究；</w:t>
      </w:r>
    </w:p>
    <w:p w:rsidR="00AC57DF" w:rsidRPr="00346ED8" w:rsidRDefault="00AC57DF" w:rsidP="00AC57DF">
      <w:pPr>
        <w:pStyle w:val="a3"/>
        <w:numPr>
          <w:ilvl w:val="0"/>
          <w:numId w:val="1"/>
        </w:numPr>
        <w:spacing w:line="360" w:lineRule="auto"/>
        <w:ind w:left="1276" w:hanging="567"/>
        <w:outlineLvl w:val="0"/>
        <w:rPr>
          <w:rFonts w:ascii="仿宋_GB2312" w:eastAsia="仿宋_GB2312"/>
          <w:sz w:val="30"/>
          <w:szCs w:val="30"/>
        </w:rPr>
      </w:pPr>
      <w:r w:rsidRPr="00346ED8">
        <w:rPr>
          <w:rFonts w:ascii="仿宋_GB2312" w:eastAsia="仿宋_GB2312" w:hint="eastAsia"/>
          <w:sz w:val="30"/>
          <w:szCs w:val="30"/>
        </w:rPr>
        <w:t>数字化技术研究与创新应用；</w:t>
      </w:r>
    </w:p>
    <w:p w:rsidR="00AC57DF" w:rsidRPr="00346ED8" w:rsidRDefault="00AC57DF" w:rsidP="00AC57DF">
      <w:pPr>
        <w:pStyle w:val="a3"/>
        <w:numPr>
          <w:ilvl w:val="0"/>
          <w:numId w:val="1"/>
        </w:numPr>
        <w:spacing w:line="360" w:lineRule="auto"/>
        <w:ind w:left="1276" w:hanging="567"/>
        <w:outlineLvl w:val="0"/>
        <w:rPr>
          <w:rFonts w:ascii="仿宋_GB2312" w:eastAsia="仿宋_GB2312"/>
          <w:sz w:val="30"/>
          <w:szCs w:val="30"/>
        </w:rPr>
      </w:pPr>
      <w:r w:rsidRPr="00346ED8">
        <w:rPr>
          <w:rFonts w:ascii="仿宋_GB2312" w:eastAsia="仿宋_GB2312" w:hint="eastAsia"/>
          <w:sz w:val="30"/>
          <w:szCs w:val="30"/>
        </w:rPr>
        <w:t>大数据技术研发与创新应用；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人工智能技术研发与创新应用；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区块链技术研究与创新应用；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云计算技术研究与创新应用；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移动化技术研发与创新应用；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交易结算创新方法与技术应用；</w:t>
      </w:r>
    </w:p>
    <w:p w:rsidR="00AC57DF" w:rsidRDefault="00AC57DF" w:rsidP="00AC57D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134" w:hanging="425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投资者服务创新方法与技术应用；</w:t>
      </w:r>
    </w:p>
    <w:p w:rsidR="00AC57DF" w:rsidRPr="00EF2684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行业实体画像类技术研发与创新应用；</w:t>
      </w:r>
    </w:p>
    <w:p w:rsidR="00AC57DF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监管科技、合规科技创新方法与技术应用；</w:t>
      </w:r>
    </w:p>
    <w:p w:rsidR="00AC57DF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系统研发、系统运维创新方法与技术应用；</w:t>
      </w:r>
    </w:p>
    <w:p w:rsidR="00AC57DF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信息安全、自主可控创新方法与技术应用；</w:t>
      </w:r>
    </w:p>
    <w:p w:rsidR="00AC57DF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证券期货行业大数据信息服务、数据共享、数据交换、数据治理等创新应用与相关技术研究；</w:t>
      </w:r>
    </w:p>
    <w:p w:rsidR="00AC57DF" w:rsidRPr="00EF2684" w:rsidRDefault="00AC57DF" w:rsidP="00AC57DF">
      <w:pPr>
        <w:pStyle w:val="a3"/>
        <w:numPr>
          <w:ilvl w:val="0"/>
          <w:numId w:val="1"/>
        </w:numPr>
        <w:tabs>
          <w:tab w:val="left" w:pos="1418"/>
        </w:tabs>
        <w:spacing w:before="0" w:beforeAutospacing="0" w:after="0" w:afterAutospacing="0" w:line="360" w:lineRule="auto"/>
        <w:ind w:left="993" w:hanging="283"/>
        <w:outlineLvl w:val="0"/>
        <w:rPr>
          <w:rFonts w:ascii="仿宋_GB2312" w:eastAsia="仿宋_GB2312"/>
          <w:color w:val="000000" w:themeColor="text1"/>
          <w:sz w:val="30"/>
          <w:szCs w:val="30"/>
        </w:rPr>
      </w:pPr>
      <w:r w:rsidRPr="00161DCD">
        <w:rPr>
          <w:rFonts w:ascii="仿宋_GB2312" w:eastAsia="仿宋_GB2312" w:hint="eastAsia"/>
          <w:color w:val="000000" w:themeColor="text1"/>
          <w:sz w:val="30"/>
          <w:szCs w:val="30"/>
        </w:rPr>
        <w:t>其他新兴技术与架构在证券期货行业的应用探索与实践研究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3F2C74" w:rsidRPr="00AC57DF" w:rsidRDefault="003F2C74">
      <w:bookmarkStart w:id="0" w:name="_GoBack"/>
      <w:bookmarkEnd w:id="0"/>
    </w:p>
    <w:sectPr w:rsidR="003F2C74" w:rsidRPr="00AC5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7B4E"/>
    <w:multiLevelType w:val="hybridMultilevel"/>
    <w:tmpl w:val="CC1CC9BC"/>
    <w:lvl w:ilvl="0" w:tplc="39EC8AF4">
      <w:start w:val="1"/>
      <w:numFmt w:val="decimal"/>
      <w:lvlText w:val="%1．"/>
      <w:lvlJc w:val="left"/>
      <w:pPr>
        <w:ind w:left="2327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F"/>
    <w:rsid w:val="003F2C74"/>
    <w:rsid w:val="00A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5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2020-02-07T02:00:00Z</dcterms:created>
  <dcterms:modified xsi:type="dcterms:W3CDTF">2020-02-07T02:00:00Z</dcterms:modified>
</cp:coreProperties>
</file>