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4"/>
        <w:gridCol w:w="3260"/>
        <w:gridCol w:w="3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tcPr>
          <w:p>
            <w:pPr>
              <w:spacing w:line="560" w:lineRule="exact"/>
              <w:jc w:val="center"/>
              <w:rPr>
                <w:rFonts w:ascii="仿宋" w:hAnsi="仿宋" w:eastAsia="仿宋"/>
                <w:b/>
                <w:sz w:val="24"/>
                <w:szCs w:val="24"/>
              </w:rPr>
            </w:pPr>
            <w:bookmarkStart w:id="0" w:name="_GoBack"/>
            <w:bookmarkEnd w:id="0"/>
            <w:r>
              <w:rPr>
                <w:rFonts w:hint="eastAsia" w:ascii="仿宋" w:hAnsi="仿宋" w:eastAsia="仿宋"/>
                <w:b/>
                <w:sz w:val="24"/>
                <w:szCs w:val="24"/>
              </w:rPr>
              <w:t>撤销类型</w:t>
            </w:r>
          </w:p>
        </w:tc>
        <w:tc>
          <w:tcPr>
            <w:tcW w:w="3260" w:type="dxa"/>
          </w:tcPr>
          <w:p>
            <w:pPr>
              <w:spacing w:line="560" w:lineRule="exact"/>
              <w:jc w:val="center"/>
              <w:rPr>
                <w:rFonts w:ascii="仿宋" w:hAnsi="仿宋" w:eastAsia="仿宋"/>
                <w:b/>
                <w:sz w:val="24"/>
                <w:szCs w:val="24"/>
              </w:rPr>
            </w:pPr>
            <w:r>
              <w:rPr>
                <w:rFonts w:hint="eastAsia" w:ascii="仿宋" w:hAnsi="仿宋" w:eastAsia="仿宋"/>
                <w:b/>
                <w:sz w:val="24"/>
                <w:szCs w:val="24"/>
              </w:rPr>
              <w:t>撤销情形</w:t>
            </w:r>
          </w:p>
        </w:tc>
        <w:tc>
          <w:tcPr>
            <w:tcW w:w="3878" w:type="dxa"/>
          </w:tcPr>
          <w:p>
            <w:pPr>
              <w:spacing w:line="560" w:lineRule="exact"/>
              <w:jc w:val="center"/>
              <w:rPr>
                <w:rFonts w:ascii="仿宋" w:hAnsi="仿宋" w:eastAsia="仿宋"/>
                <w:b/>
                <w:sz w:val="24"/>
                <w:szCs w:val="24"/>
              </w:rPr>
            </w:pPr>
            <w:r>
              <w:rPr>
                <w:rFonts w:hint="eastAsia" w:ascii="仿宋" w:hAnsi="仿宋" w:eastAsia="仿宋"/>
                <w:b/>
                <w:sz w:val="24"/>
                <w:szCs w:val="24"/>
              </w:rPr>
              <w:t>材料名称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restart"/>
            <w:vAlign w:val="center"/>
          </w:tcPr>
          <w:p>
            <w:pPr>
              <w:spacing w:line="400" w:lineRule="exact"/>
              <w:jc w:val="center"/>
              <w:rPr>
                <w:rFonts w:ascii="仿宋" w:hAnsi="仿宋" w:eastAsia="仿宋"/>
                <w:b/>
                <w:sz w:val="24"/>
                <w:szCs w:val="24"/>
              </w:rPr>
            </w:pPr>
            <w:r>
              <w:rPr>
                <w:rFonts w:hint="eastAsia" w:ascii="仿宋" w:hAnsi="仿宋" w:eastAsia="仿宋" w:cs="Times New Roman"/>
                <w:sz w:val="24"/>
                <w:szCs w:val="24"/>
              </w:rPr>
              <w:t>退市风险警示</w:t>
            </w:r>
          </w:p>
        </w:tc>
        <w:tc>
          <w:tcPr>
            <w:tcW w:w="3260" w:type="dxa"/>
            <w:vMerge w:val="restart"/>
          </w:tcPr>
          <w:p>
            <w:pPr>
              <w:spacing w:line="560" w:lineRule="exact"/>
              <w:rPr>
                <w:rFonts w:ascii="仿宋" w:hAnsi="仿宋" w:eastAsia="仿宋"/>
                <w:b/>
                <w:sz w:val="32"/>
                <w:szCs w:val="32"/>
              </w:rPr>
            </w:pPr>
          </w:p>
        </w:tc>
        <w:tc>
          <w:tcPr>
            <w:tcW w:w="3878" w:type="dxa"/>
            <w:vAlign w:val="center"/>
          </w:tcPr>
          <w:p>
            <w:pPr>
              <w:spacing w:line="400" w:lineRule="exact"/>
              <w:rPr>
                <w:rFonts w:ascii="仿宋" w:hAnsi="仿宋" w:eastAsia="仿宋"/>
                <w:sz w:val="24"/>
                <w:szCs w:val="24"/>
              </w:rPr>
            </w:pPr>
            <w:r>
              <w:rPr>
                <w:rFonts w:hint="eastAsia" w:ascii="仿宋" w:hAnsi="仿宋" w:eastAsia="仿宋" w:cs="Times New Roman"/>
                <w:sz w:val="24"/>
                <w:szCs w:val="24"/>
              </w:rPr>
              <w:t>1.公司关于撤销对其股票交易实施退市风险警示的申请书。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tcPr>
          <w:p>
            <w:pPr>
              <w:spacing w:line="560" w:lineRule="exact"/>
              <w:rPr>
                <w:rFonts w:ascii="仿宋" w:hAnsi="仿宋" w:eastAsia="仿宋"/>
                <w:b/>
                <w:sz w:val="32"/>
                <w:szCs w:val="32"/>
              </w:rPr>
            </w:pPr>
          </w:p>
        </w:tc>
        <w:tc>
          <w:tcPr>
            <w:tcW w:w="3878" w:type="dxa"/>
            <w:vAlign w:val="center"/>
          </w:tcPr>
          <w:p>
            <w:pPr>
              <w:spacing w:line="400" w:lineRule="exact"/>
              <w:rPr>
                <w:rFonts w:ascii="仿宋" w:hAnsi="仿宋" w:eastAsia="仿宋"/>
                <w:b/>
                <w:sz w:val="32"/>
                <w:szCs w:val="32"/>
              </w:rPr>
            </w:pPr>
            <w:r>
              <w:rPr>
                <w:rFonts w:hint="eastAsia" w:ascii="仿宋" w:hAnsi="仿宋" w:eastAsia="仿宋" w:cs="Times New Roman"/>
                <w:sz w:val="24"/>
                <w:szCs w:val="24"/>
              </w:rPr>
              <w:t>2.公司董事会关于申请撤销对公司股票交易实施退市风险警示的决议。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tcPr>
          <w:p>
            <w:pPr>
              <w:spacing w:line="560" w:lineRule="exact"/>
              <w:rPr>
                <w:rFonts w:ascii="仿宋" w:hAnsi="仿宋" w:eastAsia="仿宋"/>
                <w:b/>
                <w:sz w:val="32"/>
                <w:szCs w:val="32"/>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3.公司就其符合撤销退市风险警示条件的说明及有关证明材料。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tcPr>
          <w:p>
            <w:pPr>
              <w:spacing w:line="560" w:lineRule="exact"/>
              <w:rPr>
                <w:rFonts w:ascii="仿宋" w:hAnsi="仿宋" w:eastAsia="仿宋"/>
                <w:b/>
                <w:sz w:val="32"/>
                <w:szCs w:val="32"/>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4.本所要求的其他有关材料。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restart"/>
            <w:vAlign w:val="center"/>
          </w:tcPr>
          <w:p>
            <w:pPr>
              <w:spacing w:line="400" w:lineRule="exact"/>
              <w:jc w:val="center"/>
              <w:rPr>
                <w:rFonts w:ascii="仿宋" w:hAnsi="仿宋" w:eastAsia="仿宋"/>
                <w:b/>
                <w:sz w:val="32"/>
                <w:szCs w:val="32"/>
              </w:rPr>
            </w:pPr>
            <w:r>
              <w:rPr>
                <w:rFonts w:hint="eastAsia" w:ascii="仿宋" w:hAnsi="仿宋" w:eastAsia="仿宋" w:cs="Times New Roman"/>
                <w:sz w:val="24"/>
                <w:szCs w:val="24"/>
              </w:rPr>
              <w:t>其他风险警示</w:t>
            </w:r>
          </w:p>
        </w:tc>
        <w:tc>
          <w:tcPr>
            <w:tcW w:w="3260" w:type="dxa"/>
            <w:vMerge w:val="restart"/>
            <w:vAlign w:val="center"/>
          </w:tcPr>
          <w:p>
            <w:pPr>
              <w:spacing w:line="400" w:lineRule="exact"/>
              <w:rPr>
                <w:rFonts w:ascii="仿宋" w:hAnsi="仿宋" w:eastAsia="仿宋"/>
                <w:b/>
                <w:sz w:val="32"/>
                <w:szCs w:val="32"/>
              </w:rPr>
            </w:pPr>
            <w:r>
              <w:rPr>
                <w:rFonts w:hint="eastAsia" w:ascii="仿宋" w:hAnsi="仿宋" w:eastAsia="仿宋" w:cs="Times New Roman"/>
                <w:sz w:val="24"/>
                <w:szCs w:val="24"/>
              </w:rPr>
              <w:t>向控股股东或者其关联人提供资金</w:t>
            </w:r>
          </w:p>
        </w:tc>
        <w:tc>
          <w:tcPr>
            <w:tcW w:w="3878" w:type="dxa"/>
            <w:vAlign w:val="center"/>
          </w:tcPr>
          <w:p>
            <w:pPr>
              <w:spacing w:line="400" w:lineRule="exact"/>
              <w:rPr>
                <w:rFonts w:ascii="仿宋" w:hAnsi="仿宋" w:eastAsia="仿宋"/>
                <w:b/>
                <w:sz w:val="32"/>
                <w:szCs w:val="32"/>
              </w:rPr>
            </w:pPr>
            <w:r>
              <w:rPr>
                <w:rFonts w:hint="eastAsia" w:ascii="仿宋" w:hAnsi="仿宋" w:eastAsia="仿宋" w:cs="Times New Roman"/>
                <w:sz w:val="24"/>
                <w:szCs w:val="24"/>
              </w:rPr>
              <w:t>1.公司关于撤销对其股票交易实施其他风险警示的申请书。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vAlign w:val="center"/>
          </w:tcPr>
          <w:p>
            <w:pPr>
              <w:spacing w:line="400" w:lineRule="exact"/>
              <w:jc w:val="center"/>
              <w:rPr>
                <w:rFonts w:ascii="仿宋" w:hAnsi="仿宋" w:eastAsia="仿宋" w:cs="Times New Roman"/>
                <w:sz w:val="24"/>
                <w:szCs w:val="24"/>
              </w:rPr>
            </w:pPr>
          </w:p>
        </w:tc>
        <w:tc>
          <w:tcPr>
            <w:tcW w:w="3260" w:type="dxa"/>
            <w:vMerge w:val="continue"/>
            <w:vAlign w:val="center"/>
          </w:tcPr>
          <w:p>
            <w:pPr>
              <w:spacing w:line="400" w:lineRule="exact"/>
              <w:rPr>
                <w:rFonts w:ascii="仿宋" w:hAnsi="仿宋" w:eastAsia="仿宋" w:cs="Times New Roman"/>
                <w:sz w:val="24"/>
                <w:szCs w:val="24"/>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2.</w:t>
            </w:r>
            <w:r>
              <w:rPr>
                <w:rFonts w:ascii="仿宋" w:hAnsi="仿宋" w:eastAsia="仿宋" w:cs="Times New Roman"/>
                <w:sz w:val="24"/>
                <w:szCs w:val="24"/>
              </w:rPr>
              <w:t>会计师事务所出具的专项审核报告</w:t>
            </w:r>
            <w:r>
              <w:rPr>
                <w:rFonts w:hint="eastAsia" w:ascii="仿宋" w:hAnsi="仿宋" w:eastAsia="仿宋" w:cs="Times New Roman"/>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vAlign w:val="center"/>
          </w:tcPr>
          <w:p>
            <w:pPr>
              <w:spacing w:line="560" w:lineRule="exact"/>
              <w:rPr>
                <w:rFonts w:ascii="仿宋" w:hAnsi="仿宋" w:eastAsia="仿宋"/>
                <w:b/>
                <w:sz w:val="32"/>
                <w:szCs w:val="32"/>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3.本所要求的其他有关材料。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restart"/>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违反规定程序对外提供担保</w:t>
            </w: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1.公司关于撤销对其股票交易实施其他风险警示的申请书。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vAlign w:val="center"/>
          </w:tcPr>
          <w:p>
            <w:pPr>
              <w:spacing w:line="400" w:lineRule="exact"/>
              <w:rPr>
                <w:rFonts w:ascii="仿宋" w:hAnsi="仿宋" w:eastAsia="仿宋" w:cs="Times New Roman"/>
                <w:sz w:val="24"/>
                <w:szCs w:val="24"/>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2.</w:t>
            </w:r>
            <w:r>
              <w:rPr>
                <w:rFonts w:ascii="仿宋" w:hAnsi="仿宋" w:eastAsia="仿宋" w:cs="Times New Roman"/>
                <w:sz w:val="24"/>
                <w:szCs w:val="24"/>
              </w:rPr>
              <w:t>律师事务所出具的法律意见书</w:t>
            </w:r>
            <w:r>
              <w:rPr>
                <w:rFonts w:hint="eastAsia" w:ascii="仿宋" w:hAnsi="仿宋" w:eastAsia="仿宋" w:cs="Times New Roman"/>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tcPr>
          <w:p>
            <w:pPr>
              <w:spacing w:line="400" w:lineRule="exact"/>
              <w:rPr>
                <w:rFonts w:ascii="仿宋" w:hAnsi="仿宋" w:eastAsia="仿宋" w:cs="Times New Roman"/>
                <w:sz w:val="24"/>
                <w:szCs w:val="24"/>
              </w:rPr>
            </w:pPr>
          </w:p>
        </w:tc>
        <w:tc>
          <w:tcPr>
            <w:tcW w:w="3878" w:type="dxa"/>
            <w:vAlign w:val="center"/>
          </w:tcPr>
          <w:p>
            <w:pPr>
              <w:spacing w:line="560" w:lineRule="exact"/>
              <w:rPr>
                <w:rFonts w:ascii="仿宋" w:hAnsi="仿宋" w:eastAsia="仿宋" w:cs="Times New Roman"/>
                <w:sz w:val="24"/>
                <w:szCs w:val="24"/>
              </w:rPr>
            </w:pPr>
            <w:r>
              <w:rPr>
                <w:rFonts w:hint="eastAsia" w:ascii="仿宋" w:hAnsi="仿宋" w:eastAsia="仿宋" w:cs="Times New Roman"/>
                <w:sz w:val="24"/>
                <w:szCs w:val="24"/>
              </w:rPr>
              <w:t>3.本所要求的其他有关材料。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restart"/>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最近一年被出具无法表示意见或否定意见的内部控制审计报告或鉴证报告</w:t>
            </w:r>
          </w:p>
        </w:tc>
        <w:tc>
          <w:tcPr>
            <w:tcW w:w="3878" w:type="dxa"/>
            <w:vAlign w:val="center"/>
          </w:tcPr>
          <w:p>
            <w:pPr>
              <w:spacing w:line="400" w:lineRule="exact"/>
              <w:rPr>
                <w:rFonts w:ascii="仿宋" w:hAnsi="仿宋" w:eastAsia="仿宋"/>
                <w:b/>
                <w:sz w:val="32"/>
                <w:szCs w:val="32"/>
              </w:rPr>
            </w:pPr>
            <w:r>
              <w:rPr>
                <w:rFonts w:hint="eastAsia" w:ascii="仿宋" w:hAnsi="仿宋" w:eastAsia="仿宋" w:cs="Times New Roman"/>
                <w:sz w:val="24"/>
                <w:szCs w:val="24"/>
              </w:rPr>
              <w:t>1.公司关于撤销对其股票交易实施其他风险警示的申请书。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vAlign w:val="center"/>
          </w:tcPr>
          <w:p>
            <w:pPr>
              <w:spacing w:line="400" w:lineRule="exact"/>
              <w:rPr>
                <w:rFonts w:ascii="仿宋" w:hAnsi="仿宋" w:eastAsia="仿宋" w:cs="Times New Roman"/>
                <w:sz w:val="24"/>
                <w:szCs w:val="24"/>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2.会计师事务所对公司最近一年内部控制出具的标准无保留意见的审计报告或鉴证报告。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tcPr>
          <w:p>
            <w:pPr>
              <w:spacing w:line="400" w:lineRule="exact"/>
              <w:rPr>
                <w:rFonts w:ascii="仿宋" w:hAnsi="仿宋" w:eastAsia="仿宋" w:cs="Times New Roman"/>
                <w:sz w:val="24"/>
                <w:szCs w:val="24"/>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3.本所要求的其他有关材料。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restart"/>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扣除非经常性损益前后净利润孰低者为负值，且最近一年审计报告显示公司持续经营能力存在不确定性</w:t>
            </w: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1.公司关于撤销对其股票交易实施其他风险警示的申请书。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tcPr>
          <w:p>
            <w:pPr>
              <w:spacing w:line="400" w:lineRule="exact"/>
              <w:rPr>
                <w:rFonts w:ascii="仿宋" w:hAnsi="仿宋" w:eastAsia="仿宋" w:cs="Times New Roman"/>
                <w:sz w:val="24"/>
                <w:szCs w:val="24"/>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2.会计师事务所出具的最近一年审计报告。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tcPr>
          <w:p>
            <w:pPr>
              <w:spacing w:line="400" w:lineRule="exact"/>
              <w:rPr>
                <w:rFonts w:ascii="仿宋" w:hAnsi="仿宋" w:eastAsia="仿宋"/>
                <w:color w:val="000000"/>
                <w:sz w:val="24"/>
                <w:szCs w:val="24"/>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3.本所要求的其他有关材料。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restart"/>
          </w:tcPr>
          <w:p>
            <w:pPr>
              <w:spacing w:line="400" w:lineRule="exact"/>
              <w:rPr>
                <w:rFonts w:ascii="仿宋" w:hAnsi="仿宋" w:eastAsia="仿宋"/>
                <w:color w:val="000000"/>
                <w:sz w:val="24"/>
                <w:szCs w:val="24"/>
              </w:rPr>
            </w:pPr>
            <w:r>
              <w:rPr>
                <w:rFonts w:hint="eastAsia" w:ascii="仿宋" w:hAnsi="仿宋" w:eastAsia="仿宋" w:cs="Times New Roman"/>
                <w:sz w:val="24"/>
                <w:szCs w:val="24"/>
              </w:rPr>
              <w:t>公司生产经营活动受到严重影响且预计在三个月以内不能恢复正常</w:t>
            </w: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1.公司关于撤销对其股票交易实施其他风险警示的申请书。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tcPr>
          <w:p>
            <w:pPr>
              <w:spacing w:line="400" w:lineRule="exact"/>
              <w:rPr>
                <w:rFonts w:ascii="仿宋" w:hAnsi="仿宋" w:eastAsia="仿宋"/>
                <w:color w:val="000000"/>
                <w:sz w:val="24"/>
                <w:szCs w:val="24"/>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2.本所要求的其他有关材料。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restart"/>
            <w:vAlign w:val="center"/>
          </w:tcPr>
          <w:p>
            <w:pPr>
              <w:spacing w:line="400" w:lineRule="exact"/>
              <w:rPr>
                <w:rFonts w:ascii="仿宋" w:hAnsi="仿宋" w:eastAsia="仿宋"/>
                <w:color w:val="000000"/>
                <w:sz w:val="24"/>
                <w:szCs w:val="24"/>
              </w:rPr>
            </w:pPr>
            <w:r>
              <w:rPr>
                <w:rFonts w:hint="eastAsia" w:ascii="仿宋" w:hAnsi="仿宋" w:eastAsia="仿宋" w:cs="Times New Roman"/>
                <w:sz w:val="24"/>
                <w:szCs w:val="24"/>
              </w:rPr>
              <w:t>主要银行账号被冻结</w:t>
            </w: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1.公司关于撤销对其股票交易实施其他风险警示的申请书。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tcPr>
          <w:p>
            <w:pPr>
              <w:spacing w:line="400" w:lineRule="exact"/>
              <w:rPr>
                <w:rFonts w:ascii="仿宋" w:hAnsi="仿宋" w:eastAsia="仿宋" w:cs="Times New Roman"/>
                <w:sz w:val="24"/>
                <w:szCs w:val="24"/>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2.本所要求的其他有关材料。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restart"/>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董事会、股东大会无法正常召开会议并形成决议</w:t>
            </w: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1.公司关于撤销对其股票交易实施其他风险警示的申请书。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384" w:type="dxa"/>
            <w:vMerge w:val="continue"/>
          </w:tcPr>
          <w:p>
            <w:pPr>
              <w:spacing w:line="560" w:lineRule="exact"/>
              <w:rPr>
                <w:rFonts w:ascii="仿宋" w:hAnsi="仿宋" w:eastAsia="仿宋"/>
                <w:b/>
                <w:sz w:val="32"/>
                <w:szCs w:val="32"/>
              </w:rPr>
            </w:pPr>
          </w:p>
        </w:tc>
        <w:tc>
          <w:tcPr>
            <w:tcW w:w="3260" w:type="dxa"/>
            <w:vMerge w:val="continue"/>
          </w:tcPr>
          <w:p>
            <w:pPr>
              <w:spacing w:line="400" w:lineRule="exact"/>
              <w:rPr>
                <w:rFonts w:ascii="仿宋" w:hAnsi="仿宋" w:eastAsia="仿宋" w:cs="Times New Roman"/>
                <w:sz w:val="24"/>
                <w:szCs w:val="24"/>
              </w:rPr>
            </w:pPr>
          </w:p>
        </w:tc>
        <w:tc>
          <w:tcPr>
            <w:tcW w:w="3878" w:type="dxa"/>
            <w:vAlign w:val="center"/>
          </w:tcPr>
          <w:p>
            <w:pPr>
              <w:spacing w:line="400" w:lineRule="exact"/>
              <w:rPr>
                <w:rFonts w:ascii="仿宋" w:hAnsi="仿宋" w:eastAsia="仿宋" w:cs="Times New Roman"/>
                <w:sz w:val="24"/>
                <w:szCs w:val="24"/>
              </w:rPr>
            </w:pPr>
            <w:r>
              <w:rPr>
                <w:rFonts w:hint="eastAsia" w:ascii="仿宋" w:hAnsi="仿宋" w:eastAsia="仿宋" w:cs="Times New Roman"/>
                <w:sz w:val="24"/>
                <w:szCs w:val="24"/>
              </w:rPr>
              <w:t>2.本所要求的其他有关材料。</w:t>
            </w:r>
          </w:p>
        </w:tc>
      </w:tr>
    </w:tbl>
    <w:p>
      <w:pPr>
        <w:rPr>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77F6"/>
    <w:rsid w:val="00040163"/>
    <w:rsid w:val="000513A3"/>
    <w:rsid w:val="001962B3"/>
    <w:rsid w:val="001B4F7D"/>
    <w:rsid w:val="001B5B62"/>
    <w:rsid w:val="0020392E"/>
    <w:rsid w:val="00216629"/>
    <w:rsid w:val="0029168B"/>
    <w:rsid w:val="002D7330"/>
    <w:rsid w:val="003D0A36"/>
    <w:rsid w:val="003E2CA1"/>
    <w:rsid w:val="004A7722"/>
    <w:rsid w:val="005656BC"/>
    <w:rsid w:val="0065584B"/>
    <w:rsid w:val="00664735"/>
    <w:rsid w:val="006B5CA1"/>
    <w:rsid w:val="00755F26"/>
    <w:rsid w:val="00765EDC"/>
    <w:rsid w:val="00823605"/>
    <w:rsid w:val="008311B8"/>
    <w:rsid w:val="0087412B"/>
    <w:rsid w:val="009B77F6"/>
    <w:rsid w:val="00A154E1"/>
    <w:rsid w:val="00A8757E"/>
    <w:rsid w:val="00B46F28"/>
    <w:rsid w:val="00C0711F"/>
    <w:rsid w:val="00CF24AA"/>
    <w:rsid w:val="00EC01C5"/>
    <w:rsid w:val="00FE3F33"/>
    <w:rsid w:val="00FF0F7D"/>
    <w:rsid w:val="192B27C2"/>
    <w:rsid w:val="42336B83"/>
    <w:rsid w:val="76E519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3"/>
    <w:semiHidden/>
    <w:unhideWhenUsed/>
    <w:qFormat/>
    <w:uiPriority w:val="99"/>
    <w:pPr>
      <w:jc w:val="left"/>
    </w:pPr>
  </w:style>
  <w:style w:type="paragraph" w:styleId="3">
    <w:name w:val="Balloon Text"/>
    <w:basedOn w:val="1"/>
    <w:link w:val="15"/>
    <w:semiHidden/>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4"/>
    <w:semiHidden/>
    <w:unhideWhenUsed/>
    <w:qFormat/>
    <w:uiPriority w:val="99"/>
    <w:rPr>
      <w:b/>
      <w:bCs/>
    </w:rPr>
  </w:style>
  <w:style w:type="table" w:styleId="8">
    <w:name w:val="Table Grid"/>
    <w:basedOn w:val="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annotation reference"/>
    <w:basedOn w:val="9"/>
    <w:semiHidden/>
    <w:unhideWhenUsed/>
    <w:qFormat/>
    <w:uiPriority w:val="99"/>
    <w:rPr>
      <w:sz w:val="21"/>
      <w:szCs w:val="21"/>
    </w:rPr>
  </w:style>
  <w:style w:type="character" w:customStyle="1" w:styleId="11">
    <w:name w:val="页眉 Char"/>
    <w:basedOn w:val="9"/>
    <w:link w:val="5"/>
    <w:qFormat/>
    <w:uiPriority w:val="99"/>
    <w:rPr>
      <w:sz w:val="18"/>
      <w:szCs w:val="18"/>
    </w:rPr>
  </w:style>
  <w:style w:type="character" w:customStyle="1" w:styleId="12">
    <w:name w:val="页脚 Char"/>
    <w:basedOn w:val="9"/>
    <w:link w:val="4"/>
    <w:qFormat/>
    <w:uiPriority w:val="99"/>
    <w:rPr>
      <w:sz w:val="18"/>
      <w:szCs w:val="18"/>
    </w:rPr>
  </w:style>
  <w:style w:type="character" w:customStyle="1" w:styleId="13">
    <w:name w:val="批注文字 Char"/>
    <w:basedOn w:val="9"/>
    <w:link w:val="2"/>
    <w:semiHidden/>
    <w:qFormat/>
    <w:uiPriority w:val="99"/>
  </w:style>
  <w:style w:type="character" w:customStyle="1" w:styleId="14">
    <w:name w:val="批注主题 Char"/>
    <w:basedOn w:val="13"/>
    <w:link w:val="6"/>
    <w:semiHidden/>
    <w:qFormat/>
    <w:uiPriority w:val="99"/>
    <w:rPr>
      <w:b/>
      <w:bCs/>
    </w:rPr>
  </w:style>
  <w:style w:type="character" w:customStyle="1" w:styleId="15">
    <w:name w:val="批注框文本 Char"/>
    <w:basedOn w:val="9"/>
    <w:link w:val="3"/>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113</Words>
  <Characters>650</Characters>
  <Lines>5</Lines>
  <Paragraphs>1</Paragraphs>
  <TotalTime>1</TotalTime>
  <ScaleCrop>false</ScaleCrop>
  <LinksUpToDate>false</LinksUpToDate>
  <CharactersWithSpaces>762</CharactersWithSpaces>
  <Application>WPS Office_11.8.2.11734_F1E327BC-269C-435d-A152-05C5408002CA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2023-09-07T06:08:00Z</dcterms:created>
  <dc:creator>张畅[zhangchang]</dc:creator>
  <cp:lastModifiedBy>姚一凡</cp:lastModifiedBy>
  <dcterms:modified xsi:type="dcterms:W3CDTF">2023-09-07T06:45:25Z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2052-11.8.2.11734</vt:lpwstr>
  </property>
  <property fmtid="{D5CDD505-2E9C-101B-9397-08002B2CF9AE}" pid="3" name="ICV">
    <vt:lpwstr>653BDBB2B39849629C07EC4C05CC6790</vt:lpwstr>
  </property>
</Properties>
</file>