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18" w:name="_GoBack"/>
      <w:bookmarkEnd w:id="18"/>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上市公司主动终止上市业务办理</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目录</w:t>
      </w:r>
    </w:p>
    <w:p>
      <w:pPr>
        <w:spacing w:line="560" w:lineRule="exact"/>
        <w:jc w:val="center"/>
        <w:rPr>
          <w:rFonts w:ascii="黑体" w:hAnsi="黑体" w:eastAsia="黑体"/>
          <w:sz w:val="32"/>
          <w:szCs w:val="32"/>
        </w:rPr>
      </w:pPr>
    </w:p>
    <w:p>
      <w:pPr>
        <w:pStyle w:val="10"/>
        <w:tabs>
          <w:tab w:val="right" w:leader="dot" w:pos="8296"/>
        </w:tabs>
        <w:spacing w:line="400" w:lineRule="exact"/>
        <w:ind w:left="0" w:leftChars="0"/>
        <w:rPr>
          <w:rFonts w:ascii="仿宋" w:hAnsi="仿宋" w:eastAsia="仿宋" w:cs="仿宋"/>
          <w:sz w:val="28"/>
          <w:szCs w:val="28"/>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w:instrText>
      </w:r>
      <w:r>
        <w:rPr>
          <w:rFonts w:hint="eastAsia" w:asciiTheme="majorEastAsia" w:hAnsiTheme="majorEastAsia" w:eastAsiaTheme="majorEastAsia"/>
          <w:sz w:val="24"/>
          <w:szCs w:val="24"/>
        </w:rPr>
        <w:instrText xml:space="preserve">TOC \o "1-3" \h \z \u</w:instrText>
      </w:r>
      <w:r>
        <w:rPr>
          <w:rFonts w:asciiTheme="majorEastAsia" w:hAnsiTheme="majorEastAsia" w:eastAsiaTheme="majorEastAsia"/>
          <w:sz w:val="24"/>
          <w:szCs w:val="24"/>
        </w:rPr>
        <w:instrText xml:space="preserve"> </w:instrText>
      </w:r>
      <w:r>
        <w:rPr>
          <w:rFonts w:asciiTheme="majorEastAsia" w:hAnsiTheme="majorEastAsia" w:eastAsiaTheme="majorEastAsia"/>
          <w:sz w:val="24"/>
          <w:szCs w:val="24"/>
        </w:rPr>
        <w:fldChar w:fldCharType="separate"/>
      </w:r>
      <w:r>
        <w:fldChar w:fldCharType="begin"/>
      </w:r>
      <w:r>
        <w:instrText xml:space="preserve"> HYPERLINK \l "_Toc55158819" </w:instrText>
      </w:r>
      <w:r>
        <w:fldChar w:fldCharType="separate"/>
      </w:r>
      <w:r>
        <w:rPr>
          <w:rStyle w:val="15"/>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"_Toc55158820" </w:instrText>
      </w:r>
      <w:r>
        <w:fldChar w:fldCharType="separate"/>
      </w:r>
      <w:r>
        <w:rPr>
          <w:rStyle w:val="15"/>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"_Toc55158821" </w:instrText>
      </w:r>
      <w:r>
        <w:fldChar w:fldCharType="separate"/>
      </w:r>
      <w:r>
        <w:rPr>
          <w:rStyle w:val="15"/>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"_Toc55158822" </w:instrText>
      </w:r>
      <w:r>
        <w:fldChar w:fldCharType="separate"/>
      </w:r>
      <w:r>
        <w:rPr>
          <w:rStyle w:val="15"/>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"_Toc55158823" </w:instrText>
      </w:r>
      <w:r>
        <w:fldChar w:fldCharType="separate"/>
      </w:r>
      <w:r>
        <w:rPr>
          <w:rStyle w:val="15"/>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"_Toc55158824" </w:instrText>
      </w:r>
      <w:r>
        <w:fldChar w:fldCharType="separate"/>
      </w:r>
      <w:r>
        <w:rPr>
          <w:rStyle w:val="15"/>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"_Toc55158825" </w:instrText>
      </w:r>
      <w:r>
        <w:fldChar w:fldCharType="separate"/>
      </w:r>
      <w:r>
        <w:rPr>
          <w:rStyle w:val="15"/>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420" w:leftChars="200"/>
        <w:rPr>
          <w:rFonts w:ascii="仿宋" w:hAnsi="仿宋" w:eastAsia="仿宋" w:cs="仿宋"/>
          <w:sz w:val="28"/>
          <w:szCs w:val="28"/>
        </w:rPr>
      </w:pPr>
      <w:r>
        <w:fldChar w:fldCharType="begin"/>
      </w:r>
      <w:r>
        <w:instrText xml:space="preserve"> HYPERLINK \l "_Toc55158826" </w:instrText>
      </w:r>
      <w:r>
        <w:fldChar w:fldCharType="separate"/>
      </w:r>
      <w:r>
        <w:rPr>
          <w:rStyle w:val="15"/>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420" w:leftChars="200"/>
        <w:rPr>
          <w:rFonts w:ascii="仿宋" w:hAnsi="仿宋" w:eastAsia="仿宋" w:cs="仿宋"/>
          <w:sz w:val="28"/>
          <w:szCs w:val="28"/>
        </w:rPr>
      </w:pPr>
      <w:r>
        <w:fldChar w:fldCharType="begin"/>
      </w:r>
      <w:r>
        <w:instrText xml:space="preserve"> HYPERLINK \l "_Toc55158827" </w:instrText>
      </w:r>
      <w:r>
        <w:fldChar w:fldCharType="separate"/>
      </w:r>
      <w:r>
        <w:rPr>
          <w:rStyle w:val="15"/>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"_Toc55158828" </w:instrText>
      </w:r>
      <w:r>
        <w:fldChar w:fldCharType="separate"/>
      </w:r>
      <w:r>
        <w:rPr>
          <w:rStyle w:val="15"/>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"_Toc55158829" </w:instrText>
      </w:r>
      <w:r>
        <w:fldChar w:fldCharType="separate"/>
      </w:r>
      <w:r>
        <w:rPr>
          <w:rStyle w:val="15"/>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_Toc55158829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"_Toc55158830" </w:instrText>
      </w:r>
      <w:r>
        <w:fldChar w:fldCharType="separate"/>
      </w:r>
      <w:r>
        <w:rPr>
          <w:rStyle w:val="15"/>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"_Toc55158831" </w:instrText>
      </w:r>
      <w:r>
        <w:fldChar w:fldCharType="separate"/>
      </w:r>
      <w:r>
        <w:rPr>
          <w:rStyle w:val="15"/>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_Toc55158831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"_Toc55158832" </w:instrText>
      </w:r>
      <w:r>
        <w:fldChar w:fldCharType="separate"/>
      </w:r>
      <w:r>
        <w:rPr>
          <w:rStyle w:val="15"/>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"_Toc55158833" </w:instrText>
      </w:r>
      <w:r>
        <w:fldChar w:fldCharType="separate"/>
      </w:r>
      <w:r>
        <w:rPr>
          <w:rStyle w:val="15"/>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"_Toc55158834" </w:instrText>
      </w:r>
      <w:r>
        <w:fldChar w:fldCharType="separate"/>
      </w:r>
      <w:r>
        <w:rPr>
          <w:rStyle w:val="15"/>
          <w:rFonts w:hint="eastAsia" w:ascii="仿宋" w:hAnsi="仿宋" w:eastAsia="仿宋" w:cs="仿宋"/>
          <w:sz w:val="28"/>
          <w:szCs w:val="28"/>
        </w:rPr>
        <w:t>十四、办公地址和时间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420" w:leftChars="200"/>
        <w:rPr>
          <w:rFonts w:ascii="仿宋" w:hAnsi="仿宋" w:eastAsia="仿宋" w:cs="仿宋"/>
          <w:sz w:val="28"/>
          <w:szCs w:val="28"/>
        </w:rPr>
      </w:pPr>
      <w:r>
        <w:fldChar w:fldCharType="begin"/>
      </w:r>
      <w:r>
        <w:instrText xml:space="preserve"> HYPERLINK \l "_Toc55158835" </w:instrText>
      </w:r>
      <w:r>
        <w:fldChar w:fldCharType="separate"/>
      </w:r>
      <w:r>
        <w:rPr>
          <w:rStyle w:val="15"/>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420" w:leftChars="200"/>
        <w:rPr>
          <w:rFonts w:asciiTheme="majorEastAsia" w:hAnsiTheme="majorEastAsia" w:eastAsiaTheme="majorEastAsia"/>
          <w:sz w:val="24"/>
          <w:szCs w:val="24"/>
        </w:rPr>
      </w:pPr>
      <w:r>
        <w:fldChar w:fldCharType="begin"/>
      </w:r>
      <w:r>
        <w:instrText xml:space="preserve"> HYPERLINK \l "_Toc55158836" </w:instrText>
      </w:r>
      <w:r>
        <w:fldChar w:fldCharType="separate"/>
      </w:r>
      <w:r>
        <w:rPr>
          <w:rStyle w:val="15"/>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_Toc55158836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spacing w:line="360" w:lineRule="auto"/>
        <w:rPr>
          <w:rFonts w:asciiTheme="majorEastAsia" w:hAnsiTheme="majorEastAsia" w:eastAsiaTheme="majorEastAsia"/>
          <w:sz w:val="24"/>
          <w:szCs w:val="24"/>
        </w:rPr>
      </w:pPr>
      <w:r>
        <w:rPr>
          <w:rFonts w:asciiTheme="majorEastAsia" w:hAnsiTheme="majorEastAsia" w:eastAsiaTheme="majorEastAsia"/>
          <w:sz w:val="24"/>
          <w:szCs w:val="24"/>
        </w:rPr>
        <w:fldChar w:fldCharType="end"/>
      </w:r>
    </w:p>
    <w:p>
      <w:pPr>
        <w:widowControl/>
        <w:jc w:val="left"/>
        <w:rPr>
          <w:rFonts w:ascii="仿宋" w:hAnsi="仿宋" w:eastAsia="仿宋" w:cstheme="majorBidi"/>
          <w:bCs/>
          <w:sz w:val="40"/>
          <w:szCs w:val="32"/>
        </w:rPr>
      </w:pPr>
      <w:r>
        <w:rPr>
          <w:rFonts w:ascii="仿宋" w:hAnsi="仿宋" w:eastAsia="仿宋"/>
          <w:sz w:val="40"/>
        </w:rPr>
        <w:br w:type="page"/>
      </w:r>
    </w:p>
    <w:p>
      <w:pPr>
        <w:pStyle w:val="3"/>
        <w:ind w:firstLine="640" w:firstLineChars="200"/>
      </w:pPr>
      <w:bookmarkStart w:id="0" w:name="_Toc55158819"/>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上市公司主动终止上市业务办理</w:t>
      </w:r>
    </w:p>
    <w:p>
      <w:pPr>
        <w:spacing w:line="560" w:lineRule="exact"/>
        <w:ind w:firstLine="640" w:firstLineChars="200"/>
        <w:rPr>
          <w:rFonts w:ascii="仿宋" w:hAnsi="仿宋" w:eastAsia="仿宋"/>
          <w:sz w:val="32"/>
          <w:szCs w:val="32"/>
        </w:rPr>
      </w:pPr>
    </w:p>
    <w:p>
      <w:pPr>
        <w:pStyle w:val="3"/>
        <w:ind w:firstLine="640" w:firstLineChars="200"/>
      </w:pPr>
      <w:bookmarkStart w:id="1" w:name="_Toc55158820"/>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《深圳证券交易所股票上市规则》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《深圳证券交易所创业板股票上市规则》</w:t>
      </w:r>
    </w:p>
    <w:p>
      <w:pPr>
        <w:spacing w:line="560" w:lineRule="exact"/>
        <w:ind w:firstLine="640" w:firstLineChars="200"/>
        <w:rPr>
          <w:rFonts w:ascii="仿宋" w:hAnsi="仿宋" w:eastAsia="仿宋"/>
          <w:sz w:val="32"/>
          <w:szCs w:val="32"/>
        </w:rPr>
      </w:pPr>
    </w:p>
    <w:p>
      <w:pPr>
        <w:pStyle w:val="3"/>
        <w:ind w:firstLine="640" w:firstLineChars="200"/>
      </w:pPr>
      <w:bookmarkStart w:id="2" w:name="_Toc55158821"/>
      <w:r>
        <w:rPr>
          <w:rFonts w:hint="eastAsia"/>
        </w:rPr>
        <w:t>三、受理部门</w:t>
      </w:r>
      <w:bookmarkEnd w:id="2"/>
    </w:p>
    <w:p>
      <w:pPr>
        <w:spacing w:line="560" w:lineRule="exact"/>
        <w:ind w:firstLine="640" w:firstLineChars="200"/>
        <w:rPr>
          <w:rFonts w:ascii="仿宋" w:hAnsi="仿宋" w:eastAsia="仿宋"/>
          <w:b/>
          <w:sz w:val="32"/>
          <w:szCs w:val="32"/>
        </w:rPr>
      </w:pPr>
      <w:r>
        <w:rPr>
          <w:rFonts w:hint="eastAsia" w:ascii="仿宋" w:hAnsi="仿宋" w:eastAsia="仿宋"/>
          <w:sz w:val="32"/>
          <w:szCs w:val="32"/>
        </w:rPr>
        <w:t>深圳证券交易所上市公司管理部门</w:t>
      </w:r>
    </w:p>
    <w:p>
      <w:pPr>
        <w:spacing w:line="560" w:lineRule="exact"/>
        <w:ind w:firstLine="640" w:firstLineChars="200"/>
        <w:rPr>
          <w:rFonts w:ascii="仿宋" w:hAnsi="仿宋" w:eastAsia="仿宋"/>
          <w:sz w:val="32"/>
          <w:szCs w:val="32"/>
        </w:rPr>
      </w:pPr>
    </w:p>
    <w:p>
      <w:pPr>
        <w:pStyle w:val="3"/>
        <w:ind w:firstLine="640" w:firstLineChars="200"/>
      </w:pPr>
      <w:bookmarkStart w:id="3" w:name="_Toc55158822"/>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深圳证券交易所上市公司管理部门</w:t>
      </w:r>
    </w:p>
    <w:p>
      <w:pPr>
        <w:spacing w:line="560" w:lineRule="exact"/>
        <w:ind w:firstLine="640" w:firstLineChars="200"/>
        <w:rPr>
          <w:rFonts w:ascii="黑体" w:hAnsi="黑体" w:eastAsia="黑体"/>
          <w:sz w:val="32"/>
          <w:szCs w:val="32"/>
        </w:rPr>
      </w:pPr>
    </w:p>
    <w:p>
      <w:pPr>
        <w:pStyle w:val="3"/>
        <w:ind w:firstLine="640" w:firstLineChars="200"/>
      </w:pPr>
      <w:bookmarkStart w:id="4" w:name="_Toc55158823"/>
      <w:r>
        <w:rPr>
          <w:rFonts w:hint="eastAsia"/>
        </w:rPr>
        <w:t>五、收费标准及依据</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不涉及</w:t>
      </w:r>
    </w:p>
    <w:p>
      <w:pPr>
        <w:spacing w:line="560" w:lineRule="exact"/>
        <w:ind w:firstLine="640" w:firstLineChars="200"/>
        <w:rPr>
          <w:rFonts w:ascii="仿宋" w:hAnsi="仿宋" w:eastAsia="仿宋"/>
          <w:sz w:val="32"/>
          <w:szCs w:val="32"/>
        </w:rPr>
      </w:pPr>
    </w:p>
    <w:p>
      <w:pPr>
        <w:pStyle w:val="3"/>
        <w:ind w:firstLine="640" w:firstLineChars="200"/>
      </w:pPr>
      <w:bookmarkStart w:id="5" w:name="_Toc55158824"/>
      <w:r>
        <w:rPr>
          <w:rFonts w:hint="eastAsia"/>
        </w:rPr>
        <w:t>六、办理时限</w:t>
      </w:r>
      <w:bookmarkEnd w:id="5"/>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本所自收到公司提交的终止上市申请文件后五个交易日内作出是否受理的决定。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本所上市委员会在本所受理上市公司申请后的十五个交易日内形成审议意见，本所根据上市委员会审议意见作出是否同意公司股票终止上市申请的决定。</w:t>
      </w:r>
    </w:p>
    <w:p>
      <w:pPr>
        <w:spacing w:line="560" w:lineRule="exact"/>
        <w:ind w:firstLine="640" w:firstLineChars="200"/>
        <w:rPr>
          <w:rFonts w:ascii="仿宋" w:hAnsi="仿宋" w:eastAsia="仿宋"/>
          <w:sz w:val="32"/>
          <w:szCs w:val="32"/>
        </w:rPr>
      </w:pPr>
    </w:p>
    <w:p>
      <w:pPr>
        <w:pStyle w:val="3"/>
        <w:ind w:firstLine="640" w:firstLineChars="200"/>
      </w:pPr>
      <w:bookmarkStart w:id="6" w:name="_Toc55158825"/>
      <w:r>
        <w:rPr>
          <w:rFonts w:hint="eastAsia"/>
        </w:rPr>
        <w:t>七、办理情形和条件</w:t>
      </w:r>
      <w:bookmarkEnd w:id="6"/>
    </w:p>
    <w:p>
      <w:pPr>
        <w:pStyle w:val="4"/>
        <w:ind w:firstLine="643" w:firstLineChars="200"/>
        <w:rPr>
          <w:rFonts w:ascii="仿宋" w:hAnsi="仿宋"/>
          <w:b w:val="0"/>
        </w:rPr>
      </w:pPr>
      <w:bookmarkStart w:id="7" w:name="_Toc55158826"/>
      <w:r>
        <w:rPr>
          <w:rFonts w:hint="eastAsia"/>
        </w:rPr>
        <w:t>（一）</w:t>
      </w:r>
      <w:r>
        <w:rPr>
          <w:rFonts w:hint="eastAsia" w:ascii="仿宋" w:hAnsi="仿宋"/>
        </w:rPr>
        <w:t>办理情形</w:t>
      </w:r>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上市公司出现下列情形之一的，可以向本所申请终止其股票上市交易：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上市公司股东大会决议主动撤回其股票在本所上市交易、并决定不再在交易所交易；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上市公司股东大会决议主动撤回其股票在本所上市交易，并转而申请在其他交易场所交易或转让；</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上市公司股东大会决议解散；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上市公司因新设合并或者吸收合并，不再具有独立主体资格并被注销；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上市公司以终止公司股票上市为目的，向公司所有股东发出回购全部股份或者部分股份的要约，导致公司股本总额、股权分布等发生变化不再具备上市条件；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上市公司股东以终止公司股票上市为目的，向公司所有其他股东发出收购全部股份或者部分股份的要约，导致公司股本总额、股权分布等发生变化不再具备上市条件；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 上市公司股东以外的其他收购人以终止公司股票上市为目的，向公司所有股东发出收购全部股份或者部分股份的要约，导致公司股本总额、股权分布等发生变化不再具备上市条件；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 中国证监会或本所认可的其他主动终止上市情形。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A股股票和B股股票同时在本所上市交易的上市公司，依照前款规定申请主动终止上市的，如无特殊理由其A股股票和B股股票应当同时终止上市。</w:t>
      </w:r>
    </w:p>
    <w:p>
      <w:pPr>
        <w:pStyle w:val="4"/>
        <w:ind w:firstLine="643" w:firstLineChars="200"/>
        <w:rPr>
          <w:rFonts w:ascii="仿宋" w:hAnsi="仿宋"/>
          <w:b w:val="0"/>
        </w:rPr>
      </w:pPr>
      <w:bookmarkStart w:id="8" w:name="_Toc55158827"/>
      <w:r>
        <w:rPr>
          <w:rFonts w:hint="eastAsia" w:ascii="仿宋" w:hAnsi="仿宋"/>
        </w:rPr>
        <w:t>（二）办理条件</w:t>
      </w:r>
      <w:bookmarkEnd w:id="8"/>
    </w:p>
    <w:p>
      <w:pPr>
        <w:spacing w:line="560" w:lineRule="exact"/>
        <w:ind w:firstLine="640" w:firstLineChars="200"/>
        <w:rPr>
          <w:rFonts w:ascii="仿宋" w:hAnsi="仿宋" w:eastAsia="仿宋"/>
          <w:sz w:val="32"/>
          <w:szCs w:val="32"/>
        </w:rPr>
      </w:pPr>
      <w:r>
        <w:rPr>
          <w:rFonts w:hint="eastAsia" w:ascii="仿宋" w:hAnsi="仿宋" w:eastAsia="仿宋"/>
          <w:sz w:val="32"/>
          <w:szCs w:val="32"/>
        </w:rPr>
        <w:t>1. 上市公司出现办理情形第1项、第2项规定主动终止上市情形的，应当经出席股东大会的股东所持表决权的三分之二以上通过，且经出席会议的除以下股东以外的其他股东所持表决权的三分之二以上通过：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（1）上市公司的董事、监事、高级管理人员；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（2）单独或者合计持有上市公司5%以上股份的股东。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上市公司因自愿解散、公司合并、回购股份及要约收购等情形依据办理情形第3项至第7项的规定申请其股票终止上市的，应当同时遵守《公司法》《证券法》、中国证监会、本所及公司章程关于上市公司解散、重组、回购、收购等相关规定的要求，履行相应审议程序和披露义务，安排公司股票及其衍生品种的停牌与复牌，及时向本所提交主动终止上市的申请。</w:t>
      </w:r>
    </w:p>
    <w:p>
      <w:pPr>
        <w:spacing w:line="560" w:lineRule="exact"/>
        <w:ind w:firstLine="640" w:firstLineChars="200"/>
        <w:rPr>
          <w:rFonts w:ascii="仿宋" w:hAnsi="仿宋" w:eastAsia="仿宋"/>
          <w:sz w:val="32"/>
          <w:szCs w:val="32"/>
        </w:rPr>
      </w:pPr>
    </w:p>
    <w:p>
      <w:pPr>
        <w:pStyle w:val="3"/>
        <w:ind w:firstLine="640" w:firstLineChars="200"/>
      </w:pPr>
      <w:bookmarkStart w:id="9" w:name="_Toc55158828"/>
      <w:r>
        <w:rPr>
          <w:rFonts w:hint="eastAsia"/>
        </w:rPr>
        <w:t>八、不予受理情形</w:t>
      </w:r>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公司未能按要求提供申请文件的，本所不受理其股票终止上市申请。</w:t>
      </w:r>
    </w:p>
    <w:p>
      <w:pPr>
        <w:spacing w:line="560" w:lineRule="exact"/>
        <w:ind w:firstLine="640" w:firstLineChars="200"/>
        <w:rPr>
          <w:rFonts w:ascii="仿宋" w:hAnsi="仿宋" w:eastAsia="仿宋"/>
          <w:sz w:val="32"/>
          <w:szCs w:val="32"/>
        </w:rPr>
      </w:pPr>
    </w:p>
    <w:p>
      <w:pPr>
        <w:pStyle w:val="3"/>
        <w:ind w:firstLine="640" w:firstLineChars="200"/>
      </w:pPr>
      <w:bookmarkStart w:id="10" w:name="_Toc55158829"/>
      <w:r>
        <w:rPr>
          <w:rFonts w:hint="eastAsia"/>
        </w:rPr>
        <w:t>九、申请材料清单</w:t>
      </w:r>
      <w:bookmarkEnd w:id="10"/>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上市公司向本所申请其股票终止上市的，应当向本所提交下列文件：</w:t>
      </w:r>
    </w:p>
    <w:p>
      <w:pPr>
        <w:pStyle w:val="25"/>
        <w:numPr>
          <w:ilvl w:val="0"/>
          <w:numId w:val="1"/>
        </w:numPr>
        <w:spacing w:line="560" w:lineRule="exact"/>
        <w:ind w:firstLine="640"/>
        <w:rPr>
          <w:rFonts w:ascii="仿宋" w:hAnsi="仿宋" w:eastAsia="仿宋"/>
          <w:sz w:val="32"/>
          <w:szCs w:val="32"/>
        </w:rPr>
      </w:pPr>
      <w:r>
        <w:rPr>
          <w:rFonts w:hint="eastAsia" w:ascii="仿宋" w:hAnsi="仿宋" w:eastAsia="仿宋"/>
          <w:sz w:val="32"/>
          <w:szCs w:val="32"/>
        </w:rPr>
        <w:t>终止上市申请书；</w:t>
      </w:r>
    </w:p>
    <w:p>
      <w:pPr>
        <w:pStyle w:val="25"/>
        <w:numPr>
          <w:ilvl w:val="0"/>
          <w:numId w:val="1"/>
        </w:numPr>
        <w:spacing w:line="560" w:lineRule="exact"/>
        <w:ind w:firstLine="640"/>
        <w:rPr>
          <w:rFonts w:ascii="仿宋" w:hAnsi="仿宋" w:eastAsia="仿宋"/>
          <w:sz w:val="32"/>
          <w:szCs w:val="32"/>
        </w:rPr>
      </w:pPr>
      <w:r>
        <w:rPr>
          <w:rFonts w:hint="eastAsia" w:ascii="仿宋" w:hAnsi="仿宋" w:eastAsia="仿宋"/>
          <w:sz w:val="32"/>
          <w:szCs w:val="32"/>
        </w:rPr>
        <w:t>股东大会决议（如适用）；</w:t>
      </w:r>
    </w:p>
    <w:p>
      <w:pPr>
        <w:pStyle w:val="25"/>
        <w:numPr>
          <w:ilvl w:val="0"/>
          <w:numId w:val="1"/>
        </w:numPr>
        <w:spacing w:line="560" w:lineRule="exact"/>
        <w:ind w:firstLine="640"/>
        <w:rPr>
          <w:rFonts w:ascii="仿宋" w:hAnsi="仿宋" w:eastAsia="仿宋"/>
          <w:sz w:val="32"/>
          <w:szCs w:val="32"/>
        </w:rPr>
      </w:pPr>
      <w:r>
        <w:rPr>
          <w:rFonts w:hint="eastAsia" w:ascii="仿宋" w:hAnsi="仿宋" w:eastAsia="仿宋"/>
          <w:sz w:val="32"/>
          <w:szCs w:val="32"/>
        </w:rPr>
        <w:t>相关终止上市方案；</w:t>
      </w:r>
    </w:p>
    <w:p>
      <w:pPr>
        <w:pStyle w:val="25"/>
        <w:numPr>
          <w:ilvl w:val="0"/>
          <w:numId w:val="1"/>
        </w:numPr>
        <w:spacing w:line="560" w:lineRule="exact"/>
        <w:ind w:firstLine="640"/>
        <w:rPr>
          <w:rFonts w:ascii="仿宋" w:hAnsi="仿宋" w:eastAsia="仿宋"/>
          <w:sz w:val="32"/>
          <w:szCs w:val="32"/>
        </w:rPr>
      </w:pPr>
      <w:r>
        <w:rPr>
          <w:rFonts w:hint="eastAsia" w:ascii="仿宋" w:hAnsi="仿宋" w:eastAsia="仿宋"/>
          <w:sz w:val="32"/>
          <w:szCs w:val="32"/>
        </w:rPr>
        <w:t>财务顾问报告；</w:t>
      </w:r>
    </w:p>
    <w:p>
      <w:pPr>
        <w:pStyle w:val="25"/>
        <w:numPr>
          <w:ilvl w:val="0"/>
          <w:numId w:val="1"/>
        </w:numPr>
        <w:spacing w:line="560" w:lineRule="exact"/>
        <w:ind w:firstLine="640"/>
        <w:rPr>
          <w:rFonts w:ascii="仿宋" w:hAnsi="仿宋" w:eastAsia="仿宋"/>
          <w:sz w:val="32"/>
          <w:szCs w:val="32"/>
        </w:rPr>
      </w:pPr>
      <w:r>
        <w:rPr>
          <w:rFonts w:hint="eastAsia" w:ascii="仿宋" w:hAnsi="仿宋" w:eastAsia="仿宋"/>
          <w:sz w:val="32"/>
          <w:szCs w:val="32"/>
        </w:rPr>
        <w:t>法律意见书；</w:t>
      </w:r>
    </w:p>
    <w:p>
      <w:pPr>
        <w:pStyle w:val="25"/>
        <w:numPr>
          <w:ilvl w:val="0"/>
          <w:numId w:val="1"/>
        </w:numPr>
        <w:spacing w:line="560" w:lineRule="exact"/>
        <w:ind w:firstLine="640"/>
        <w:rPr>
          <w:rFonts w:ascii="仿宋" w:hAnsi="仿宋" w:eastAsia="仿宋"/>
          <w:sz w:val="32"/>
          <w:szCs w:val="32"/>
        </w:rPr>
      </w:pPr>
      <w:r>
        <w:rPr>
          <w:rFonts w:hint="eastAsia" w:ascii="仿宋" w:hAnsi="仿宋" w:eastAsia="仿宋"/>
          <w:sz w:val="32"/>
          <w:szCs w:val="32"/>
        </w:rPr>
        <w:t>本所要求的其他文件。</w:t>
      </w:r>
    </w:p>
    <w:p>
      <w:pPr>
        <w:spacing w:line="560" w:lineRule="exact"/>
        <w:ind w:firstLine="640" w:firstLineChars="200"/>
        <w:rPr>
          <w:rFonts w:ascii="仿宋" w:hAnsi="仿宋" w:eastAsia="仿宋"/>
          <w:sz w:val="32"/>
          <w:szCs w:val="32"/>
        </w:rPr>
      </w:pPr>
    </w:p>
    <w:p>
      <w:pPr>
        <w:pStyle w:val="3"/>
        <w:ind w:firstLine="640" w:firstLineChars="200"/>
      </w:pPr>
      <w:bookmarkStart w:id="11" w:name="_Toc55158830"/>
      <w:r>
        <w:rPr>
          <w:rFonts w:hint="eastAsia"/>
        </w:rPr>
        <w:t>十、申请接收</w:t>
      </w:r>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上市公司通过业务专区提交相关申请及文件。</w:t>
      </w:r>
    </w:p>
    <w:p>
      <w:pPr>
        <w:spacing w:line="560" w:lineRule="exact"/>
        <w:ind w:firstLine="640" w:firstLineChars="200"/>
        <w:rPr>
          <w:rFonts w:ascii="仿宋" w:hAnsi="仿宋" w:eastAsia="仿宋"/>
          <w:sz w:val="32"/>
          <w:szCs w:val="32"/>
        </w:rPr>
      </w:pPr>
    </w:p>
    <w:p>
      <w:pPr>
        <w:pStyle w:val="3"/>
        <w:ind w:firstLine="640" w:firstLineChars="200"/>
      </w:pPr>
      <w:bookmarkStart w:id="12" w:name="_Toc55158831"/>
      <w:r>
        <w:rPr>
          <w:rFonts w:hint="eastAsia"/>
        </w:rPr>
        <w:t>十一、办理流程</w:t>
      </w:r>
      <w:bookmarkEnd w:id="12"/>
    </w:p>
    <w:p>
      <w:pPr>
        <w:spacing w:line="560" w:lineRule="exact"/>
        <w:ind w:firstLine="640" w:firstLineChars="200"/>
        <w:rPr>
          <w:rFonts w:ascii="仿宋" w:hAnsi="仿宋" w:eastAsia="仿宋"/>
          <w:sz w:val="32"/>
          <w:szCs w:val="32"/>
        </w:rPr>
      </w:pPr>
      <w:r>
        <w:rPr>
          <w:rFonts w:hint="eastAsia" w:ascii="仿宋" w:hAnsi="仿宋" w:eastAsia="仿宋"/>
          <w:sz w:val="32"/>
          <w:szCs w:val="32"/>
        </w:rPr>
        <w:t>1. 上市公司</w:t>
      </w:r>
      <w:r>
        <w:rPr>
          <w:rFonts w:ascii="仿宋" w:hAnsi="仿宋" w:eastAsia="仿宋"/>
          <w:sz w:val="32"/>
          <w:szCs w:val="32"/>
        </w:rPr>
        <w:t>履行</w:t>
      </w:r>
      <w:r>
        <w:rPr>
          <w:rFonts w:hint="eastAsia" w:ascii="仿宋" w:hAnsi="仿宋" w:eastAsia="仿宋"/>
          <w:sz w:val="32"/>
          <w:szCs w:val="32"/>
        </w:rPr>
        <w:t>相应的审议程序或</w:t>
      </w:r>
      <w:r>
        <w:rPr>
          <w:rFonts w:ascii="仿宋" w:hAnsi="仿宋" w:eastAsia="仿宋"/>
          <w:sz w:val="32"/>
          <w:szCs w:val="32"/>
        </w:rPr>
        <w:t>信息披露义务</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上市公司</w:t>
      </w:r>
      <w:r>
        <w:rPr>
          <w:rFonts w:ascii="仿宋" w:hAnsi="仿宋" w:eastAsia="仿宋"/>
          <w:sz w:val="32"/>
          <w:szCs w:val="32"/>
        </w:rPr>
        <w:t>按</w:t>
      </w:r>
      <w:r>
        <w:rPr>
          <w:rFonts w:hint="eastAsia" w:ascii="仿宋" w:hAnsi="仿宋" w:eastAsia="仿宋"/>
          <w:sz w:val="32"/>
          <w:szCs w:val="32"/>
        </w:rPr>
        <w:t>材料</w:t>
      </w:r>
      <w:r>
        <w:rPr>
          <w:rFonts w:ascii="仿宋" w:hAnsi="仿宋" w:eastAsia="仿宋"/>
          <w:sz w:val="32"/>
          <w:szCs w:val="32"/>
        </w:rPr>
        <w:t>清单要求准备材料，通过</w:t>
      </w:r>
      <w:r>
        <w:rPr>
          <w:rFonts w:hint="eastAsia" w:ascii="仿宋" w:hAnsi="仿宋" w:eastAsia="仿宋"/>
          <w:sz w:val="32"/>
          <w:szCs w:val="32"/>
        </w:rPr>
        <w:t>信息披露业务系统向本所</w:t>
      </w:r>
      <w:r>
        <w:rPr>
          <w:rFonts w:ascii="仿宋" w:hAnsi="仿宋" w:eastAsia="仿宋"/>
          <w:sz w:val="32"/>
          <w:szCs w:val="32"/>
        </w:rPr>
        <w:t>提交</w:t>
      </w:r>
      <w:r>
        <w:rPr>
          <w:rFonts w:hint="eastAsia" w:ascii="仿宋" w:hAnsi="仿宋" w:eastAsia="仿宋"/>
          <w:sz w:val="32"/>
          <w:szCs w:val="32"/>
        </w:rPr>
        <w:t>申请；</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 xml:space="preserve">. </w:t>
      </w:r>
      <w:r>
        <w:rPr>
          <w:rFonts w:ascii="仿宋" w:hAnsi="仿宋" w:eastAsia="仿宋"/>
          <w:sz w:val="32"/>
          <w:szCs w:val="32"/>
        </w:rPr>
        <w:t>本所</w:t>
      </w:r>
      <w:r>
        <w:rPr>
          <w:rFonts w:hint="eastAsia" w:ascii="仿宋" w:hAnsi="仿宋" w:eastAsia="仿宋"/>
          <w:sz w:val="32"/>
          <w:szCs w:val="32"/>
        </w:rPr>
        <w:t>上市公司管理部门</w:t>
      </w:r>
      <w:r>
        <w:rPr>
          <w:rFonts w:ascii="仿宋" w:hAnsi="仿宋" w:eastAsia="仿宋"/>
          <w:sz w:val="32"/>
          <w:szCs w:val="32"/>
        </w:rPr>
        <w:t>收到材料后，进行初步完备性核对，办理材料形式完备的，予以受理</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本所将在受理公司申请后的十五个交易日内，依据上市委员会意见作出是否同意公司股票终止上市申请的决定。</w:t>
      </w:r>
    </w:p>
    <w:p>
      <w:pPr>
        <w:spacing w:line="560" w:lineRule="exact"/>
        <w:ind w:firstLine="640" w:firstLineChars="200"/>
        <w:rPr>
          <w:rFonts w:ascii="仿宋" w:hAnsi="仿宋" w:eastAsia="仿宋"/>
          <w:sz w:val="32"/>
          <w:szCs w:val="32"/>
        </w:rPr>
      </w:pPr>
    </w:p>
    <w:p>
      <w:pPr>
        <w:pStyle w:val="3"/>
        <w:ind w:firstLine="640" w:firstLineChars="200"/>
      </w:pPr>
      <w:bookmarkStart w:id="13" w:name="_Toc55158832"/>
      <w:r>
        <w:rPr>
          <w:rFonts w:hint="eastAsia"/>
        </w:rPr>
        <w:t>十二、办理结果及送达</w:t>
      </w:r>
      <w:bookmarkEnd w:id="13"/>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本所将在收到上市公司提交的终止上市申请文件后五个交易日内作出是否受理的决定并通知公司。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本所在作出同意公司股票终止上市决定后两个交易日内通知公司，并于两个交易日内发布相关公告。上市公司应当在收到本所关于终止其股票上市决定后及时披露股票终止上市公告。</w:t>
      </w:r>
    </w:p>
    <w:p>
      <w:pPr>
        <w:spacing w:line="560" w:lineRule="exact"/>
        <w:ind w:firstLine="640" w:firstLineChars="200"/>
        <w:rPr>
          <w:rFonts w:ascii="仿宋" w:hAnsi="仿宋" w:eastAsia="仿宋"/>
          <w:sz w:val="32"/>
          <w:szCs w:val="32"/>
        </w:rPr>
      </w:pPr>
    </w:p>
    <w:p>
      <w:pPr>
        <w:pStyle w:val="3"/>
        <w:ind w:firstLine="640" w:firstLineChars="200"/>
      </w:pPr>
      <w:bookmarkStart w:id="14" w:name="_Toc55158833"/>
      <w:r>
        <w:rPr>
          <w:rFonts w:hint="eastAsia"/>
        </w:rPr>
        <w:t>十三、咨询途径</w:t>
      </w:r>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深圳证券交易所上市公司管理部门业务人员</w:t>
      </w:r>
    </w:p>
    <w:p>
      <w:pPr>
        <w:spacing w:line="560" w:lineRule="exact"/>
        <w:ind w:firstLine="640" w:firstLineChars="200"/>
        <w:rPr>
          <w:rFonts w:ascii="仿宋" w:hAnsi="仿宋" w:eastAsia="仿宋"/>
          <w:sz w:val="32"/>
          <w:szCs w:val="32"/>
        </w:rPr>
      </w:pPr>
    </w:p>
    <w:p>
      <w:pPr>
        <w:pStyle w:val="3"/>
        <w:ind w:firstLine="640" w:firstLineChars="200"/>
      </w:pPr>
      <w:bookmarkStart w:id="15" w:name="_Toc55158834"/>
      <w:r>
        <w:rPr>
          <w:rFonts w:hint="eastAsia"/>
        </w:rPr>
        <w:t>十四、办公地址和时间</w:t>
      </w:r>
      <w:bookmarkEnd w:id="15"/>
    </w:p>
    <w:p>
      <w:pPr>
        <w:pStyle w:val="4"/>
        <w:ind w:firstLine="643" w:firstLineChars="200"/>
      </w:pPr>
      <w:bookmarkStart w:id="16" w:name="_Toc55158835"/>
      <w:r>
        <w:rPr>
          <w:rFonts w:hint="eastAsia"/>
        </w:rPr>
        <w:t>（一）办公地址</w:t>
      </w:r>
      <w:bookmarkEnd w:id="16"/>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深圳市深南大道2012号深圳证券交易所</w:t>
      </w:r>
    </w:p>
    <w:p>
      <w:pPr>
        <w:pStyle w:val="4"/>
        <w:ind w:firstLine="643" w:firstLineChars="200"/>
      </w:pPr>
      <w:bookmarkStart w:id="17" w:name="_Toc55158836"/>
      <w:r>
        <w:rPr>
          <w:rFonts w:hint="eastAsia"/>
        </w:rPr>
        <w:t>（二）办公时间</w:t>
      </w:r>
      <w:bookmarkEnd w:id="17"/>
    </w:p>
    <w:p>
      <w:pPr>
        <w:spacing w:line="560" w:lineRule="exact"/>
        <w:ind w:firstLine="640" w:firstLineChars="200"/>
        <w:rPr>
          <w:rFonts w:ascii="仿宋" w:hAnsi="仿宋" w:eastAsia="仿宋"/>
          <w:sz w:val="32"/>
          <w:szCs w:val="32"/>
        </w:rPr>
      </w:pPr>
      <w:r>
        <w:rPr>
          <w:rFonts w:hint="eastAsia" w:ascii="仿宋" w:hAnsi="仿宋" w:eastAsia="仿宋"/>
          <w:sz w:val="32"/>
          <w:szCs w:val="32"/>
        </w:rPr>
        <w:t>周一至周五 8:30-11:30;13:30-17:00</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032761"/>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2CEE8"/>
    <w:multiLevelType w:val="singleLevel"/>
    <w:tmpl w:val="8682CEE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A7526"/>
    <w:rsid w:val="000F2D6F"/>
    <w:rsid w:val="00105634"/>
    <w:rsid w:val="00174F35"/>
    <w:rsid w:val="0020392E"/>
    <w:rsid w:val="00207932"/>
    <w:rsid w:val="00231583"/>
    <w:rsid w:val="00266235"/>
    <w:rsid w:val="002B05ED"/>
    <w:rsid w:val="00324B4B"/>
    <w:rsid w:val="00360C61"/>
    <w:rsid w:val="003E116D"/>
    <w:rsid w:val="00411D74"/>
    <w:rsid w:val="00495F4C"/>
    <w:rsid w:val="004B6376"/>
    <w:rsid w:val="0053430F"/>
    <w:rsid w:val="00564BE3"/>
    <w:rsid w:val="00617A53"/>
    <w:rsid w:val="0063239D"/>
    <w:rsid w:val="00643A63"/>
    <w:rsid w:val="00714090"/>
    <w:rsid w:val="00714F25"/>
    <w:rsid w:val="00753D32"/>
    <w:rsid w:val="008D76AF"/>
    <w:rsid w:val="009A238B"/>
    <w:rsid w:val="009C5AAD"/>
    <w:rsid w:val="009F279D"/>
    <w:rsid w:val="009F5CA5"/>
    <w:rsid w:val="00A75E43"/>
    <w:rsid w:val="00AD6478"/>
    <w:rsid w:val="00CD147B"/>
    <w:rsid w:val="00CF24AA"/>
    <w:rsid w:val="00D22B8E"/>
    <w:rsid w:val="00D479A2"/>
    <w:rsid w:val="00E24070"/>
    <w:rsid w:val="00F244F4"/>
    <w:rsid w:val="00F45B21"/>
    <w:rsid w:val="00F748C5"/>
    <w:rsid w:val="251115F4"/>
    <w:rsid w:val="29A43C20"/>
    <w:rsid w:val="33C243CC"/>
    <w:rsid w:val="5BE462E3"/>
    <w:rsid w:val="5D495466"/>
    <w:rsid w:val="6A876A7D"/>
    <w:rsid w:val="6CEB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3"/>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标题 2 Char"/>
    <w:basedOn w:val="14"/>
    <w:link w:val="3"/>
    <w:qFormat/>
    <w:uiPriority w:val="9"/>
    <w:rPr>
      <w:rFonts w:eastAsia="黑体" w:asciiTheme="majorHAnsi" w:hAnsiTheme="majorHAnsi" w:cstheme="majorBidi"/>
      <w:bCs/>
      <w:sz w:val="32"/>
      <w:szCs w:val="32"/>
    </w:rPr>
  </w:style>
  <w:style w:type="character" w:customStyle="1" w:styleId="23">
    <w:name w:val="标题 3 Char"/>
    <w:basedOn w:val="14"/>
    <w:link w:val="4"/>
    <w:qFormat/>
    <w:uiPriority w:val="9"/>
    <w:rPr>
      <w:rFonts w:eastAsia="仿宋"/>
      <w:b/>
      <w:bCs/>
      <w:sz w:val="32"/>
      <w:szCs w:val="32"/>
    </w:rPr>
  </w:style>
  <w:style w:type="character" w:customStyle="1" w:styleId="24">
    <w:name w:val="标题 1 Char"/>
    <w:basedOn w:val="14"/>
    <w:link w:val="2"/>
    <w:qFormat/>
    <w:uiPriority w:val="9"/>
    <w:rPr>
      <w:b/>
      <w:bCs/>
      <w:kern w:val="44"/>
      <w:sz w:val="44"/>
      <w:szCs w:val="4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4795-58AB-4951-BC86-92065F9B9AC5}">
  <ds:schemaRefs/>
</ds:datastoreItem>
</file>

<file path=docProps/app.xml><?xml version="1.0" encoding="utf-8"?>
<Properties xmlns="http://schemas.openxmlformats.org/officeDocument/2006/extended-properties" xmlns:vt="http://schemas.openxmlformats.org/officeDocument/2006/docPropsVTypes">
  <Template>Normal</Template>
  <Pages>6</Pages>
  <Words>447</Words>
  <Characters>2552</Characters>
  <Lines>21</Lines>
  <Paragraphs>5</Paragraphs>
  <TotalTime>6</TotalTime>
  <ScaleCrop>false</ScaleCrop>
  <LinksUpToDate>false</LinksUpToDate>
  <CharactersWithSpaces>2994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2020-11-02T01:23:00Z</dcterms:created>
  <dc:creator>张畅[zhangchang]</dc:creator>
  <cp:lastModifiedBy>xxb09</cp:lastModifiedBy>
  <cp:lastPrinted>2020-10-15T08:19:00Z</cp:lastPrinted>
  <dcterms:modified xsi:type="dcterms:W3CDTF">2023-09-07T07:58:18Z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B25DFA2D9E574E90930839D0461F17AB</vt:lpwstr>
  </property>
</Properties>
</file>