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880" w:firstLineChars="200"/>
        <w:jc w:val="center"/>
        <w:rPr>
          <w:rFonts w:ascii="方正小标宋简体" w:hAnsi="仿宋" w:eastAsia="方正小标宋简体"/>
          <w:sz w:val="44"/>
          <w:szCs w:val="44"/>
        </w:rPr>
      </w:pPr>
      <w:bookmarkStart w:id="169" w:name="_GoBack"/>
      <w:bookmarkEnd w:id="169"/>
    </w:p>
    <w:p>
      <w:pPr>
        <w:adjustRightInd w:val="0"/>
        <w:snapToGrid w:val="0"/>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adjustRightInd w:val="0"/>
        <w:snapToGrid w:val="0"/>
        <w:spacing w:line="560" w:lineRule="exact"/>
        <w:jc w:val="center"/>
        <w:rPr>
          <w:rFonts w:ascii="仿宋" w:hAnsi="仿宋" w:eastAsia="仿宋" w:cs="仿宋"/>
          <w:b/>
          <w:bCs/>
          <w:sz w:val="44"/>
          <w:szCs w:val="44"/>
        </w:rPr>
      </w:pPr>
      <w:r>
        <w:rPr>
          <w:rFonts w:hint="eastAsia" w:ascii="仿宋" w:hAnsi="仿宋" w:eastAsia="仿宋" w:cs="仿宋"/>
          <w:b/>
          <w:bCs/>
          <w:sz w:val="40"/>
          <w:szCs w:val="44"/>
        </w:rPr>
        <w:t>首发企业发行上市与转板公司上市业务办理</w:t>
      </w:r>
    </w:p>
    <w:p>
      <w:pPr>
        <w:adjustRightInd w:val="0"/>
        <w:snapToGrid w:val="0"/>
        <w:spacing w:line="560" w:lineRule="exact"/>
        <w:jc w:val="center"/>
        <w:rPr>
          <w:rFonts w:ascii="黑体" w:hAnsi="黑体" w:eastAsia="黑体"/>
          <w:sz w:val="32"/>
          <w:szCs w:val="32"/>
        </w:rPr>
      </w:pPr>
    </w:p>
    <w:p>
      <w:pPr>
        <w:adjustRightInd w:val="0"/>
        <w:snapToGrid w:val="0"/>
        <w:spacing w:before="100" w:after="100" w:line="560" w:lineRule="exact"/>
        <w:jc w:val="center"/>
        <w:rPr>
          <w:rFonts w:ascii="黑体" w:hAnsi="黑体" w:eastAsia="黑体" w:cs="黑体"/>
          <w:sz w:val="32"/>
          <w:szCs w:val="32"/>
        </w:rPr>
      </w:pPr>
      <w:r>
        <w:rPr>
          <w:rFonts w:hint="eastAsia" w:ascii="黑体" w:hAnsi="黑体" w:eastAsia="黑体" w:cs="黑体"/>
          <w:sz w:val="32"/>
          <w:szCs w:val="32"/>
        </w:rPr>
        <w:t>目录</w:t>
      </w:r>
    </w:p>
    <w:p>
      <w:pPr>
        <w:adjustRightInd w:val="0"/>
        <w:snapToGrid w:val="0"/>
        <w:spacing w:before="100" w:after="100" w:line="560" w:lineRule="exact"/>
        <w:jc w:val="center"/>
        <w:rPr>
          <w:rFonts w:ascii="黑体" w:hAnsi="黑体" w:eastAsia="黑体" w:cs="黑体"/>
          <w:sz w:val="32"/>
          <w:szCs w:val="32"/>
        </w:rPr>
      </w:pPr>
    </w:p>
    <w:p>
      <w:pPr>
        <w:pStyle w:val="15"/>
        <w:adjustRightInd w:val="0"/>
        <w:snapToGrid w:val="0"/>
        <w:spacing w:before="0" w:after="0" w:line="400" w:lineRule="exact"/>
        <w:ind w:left="0" w:leftChars="0"/>
        <w:rPr>
          <w:rFonts w:ascii="仿宋" w:hAnsi="仿宋" w:eastAsia="仿宋" w:cs="仿宋"/>
          <w:b w:val="0"/>
          <w:bCs/>
          <w:sz w:val="28"/>
          <w:szCs w:val="28"/>
        </w:rPr>
      </w:pP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TOC \o "1-3" \h \z \u </w:instrText>
      </w:r>
      <w:r>
        <w:rPr>
          <w:rFonts w:hint="eastAsia" w:ascii="仿宋" w:hAnsi="仿宋" w:eastAsia="仿宋" w:cs="仿宋"/>
          <w:b w:val="0"/>
          <w:bCs/>
          <w:sz w:val="28"/>
          <w:szCs w:val="28"/>
        </w:rPr>
        <w:fldChar w:fldCharType="separate"/>
      </w:r>
      <w:r>
        <w:fldChar w:fldCharType="begin"/>
      </w:r>
      <w:r>
        <w:instrText xml:space="preserve"> HYPERLINK \l "_Toc132812804" </w:instrText>
      </w:r>
      <w:r>
        <w:fldChar w:fldCharType="separate"/>
      </w:r>
      <w:r>
        <w:rPr>
          <w:rStyle w:val="22"/>
          <w:rFonts w:hint="eastAsia" w:ascii="仿宋" w:hAnsi="仿宋" w:eastAsia="仿宋" w:cs="仿宋"/>
          <w:b w:val="0"/>
          <w:bCs/>
          <w:sz w:val="28"/>
          <w:szCs w:val="28"/>
        </w:rPr>
        <w:t>一、事项名称</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_Toc132812804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"_Toc132812805" </w:instrText>
      </w:r>
      <w:r>
        <w:fldChar w:fldCharType="separate"/>
      </w:r>
      <w:r>
        <w:rPr>
          <w:rStyle w:val="22"/>
          <w:rFonts w:hint="eastAsia" w:ascii="仿宋" w:hAnsi="仿宋" w:eastAsia="仿宋" w:cs="仿宋"/>
          <w:b w:val="0"/>
          <w:bCs/>
          <w:sz w:val="28"/>
          <w:szCs w:val="28"/>
        </w:rPr>
        <w:t>二、规则依据</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_Toc132812805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"_Toc132812806" </w:instrText>
      </w:r>
      <w:r>
        <w:fldChar w:fldCharType="separate"/>
      </w:r>
      <w:r>
        <w:rPr>
          <w:rStyle w:val="22"/>
          <w:rFonts w:hint="eastAsia" w:ascii="仿宋" w:hAnsi="仿宋" w:eastAsia="仿宋" w:cs="仿宋"/>
          <w:b w:val="0"/>
          <w:bCs/>
          <w:sz w:val="28"/>
          <w:szCs w:val="28"/>
        </w:rPr>
        <w:t>三、受理部门</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_Toc132812806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"_Toc132812807" </w:instrText>
      </w:r>
      <w:r>
        <w:fldChar w:fldCharType="separate"/>
      </w:r>
      <w:r>
        <w:rPr>
          <w:rStyle w:val="22"/>
          <w:rFonts w:hint="eastAsia" w:ascii="仿宋" w:hAnsi="仿宋" w:eastAsia="仿宋" w:cs="仿宋"/>
          <w:b w:val="0"/>
          <w:bCs/>
          <w:sz w:val="28"/>
          <w:szCs w:val="28"/>
        </w:rPr>
        <w:t>四、办理部门</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_Toc132812807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"_Toc132812808" </w:instrText>
      </w:r>
      <w:r>
        <w:fldChar w:fldCharType="separate"/>
      </w:r>
      <w:r>
        <w:rPr>
          <w:rStyle w:val="22"/>
          <w:rFonts w:hint="eastAsia" w:ascii="仿宋" w:hAnsi="仿宋" w:eastAsia="仿宋" w:cs="仿宋"/>
          <w:bCs/>
          <w:sz w:val="28"/>
          <w:szCs w:val="28"/>
        </w:rPr>
        <w:t>（一）发行承销业务</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_Toc132812808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"_Toc132812809" </w:instrText>
      </w:r>
      <w:r>
        <w:fldChar w:fldCharType="separate"/>
      </w:r>
      <w:r>
        <w:rPr>
          <w:rStyle w:val="22"/>
          <w:rFonts w:hint="eastAsia" w:ascii="仿宋" w:hAnsi="仿宋" w:eastAsia="仿宋" w:cs="仿宋"/>
          <w:bCs/>
          <w:sz w:val="28"/>
          <w:szCs w:val="28"/>
        </w:rPr>
        <w:t>（二）CA证书办理及专区开通</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_Toc132812809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"_Toc132812810" </w:instrText>
      </w:r>
      <w:r>
        <w:fldChar w:fldCharType="separate"/>
      </w:r>
      <w:r>
        <w:rPr>
          <w:rStyle w:val="22"/>
          <w:rFonts w:hint="eastAsia" w:ascii="仿宋" w:hAnsi="仿宋" w:eastAsia="仿宋" w:cs="仿宋"/>
          <w:bCs/>
          <w:sz w:val="28"/>
          <w:szCs w:val="28"/>
        </w:rPr>
        <w:t>（三）股份登记及结算事项</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_Toc132812810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"_Toc132812811" </w:instrText>
      </w:r>
      <w:r>
        <w:fldChar w:fldCharType="separate"/>
      </w:r>
      <w:r>
        <w:rPr>
          <w:rStyle w:val="22"/>
          <w:rFonts w:hint="eastAsia" w:ascii="仿宋" w:hAnsi="仿宋" w:eastAsia="仿宋" w:cs="仿宋"/>
          <w:bCs/>
          <w:sz w:val="28"/>
          <w:szCs w:val="28"/>
        </w:rPr>
        <w:t>（四）摇号事项</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_Toc132812811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"_Toc132812812" </w:instrText>
      </w:r>
      <w:r>
        <w:fldChar w:fldCharType="separate"/>
      </w:r>
      <w:r>
        <w:rPr>
          <w:rStyle w:val="22"/>
          <w:rFonts w:hint="eastAsia" w:ascii="仿宋" w:hAnsi="仿宋" w:eastAsia="仿宋" w:cs="仿宋"/>
          <w:b w:val="0"/>
          <w:bCs/>
          <w:sz w:val="28"/>
          <w:szCs w:val="28"/>
        </w:rPr>
        <w:t>五、收费标准及依据</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_Toc132812812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"_Toc132812813" </w:instrText>
      </w:r>
      <w:r>
        <w:fldChar w:fldCharType="separate"/>
      </w:r>
      <w:r>
        <w:rPr>
          <w:rStyle w:val="22"/>
          <w:rFonts w:hint="eastAsia" w:ascii="仿宋" w:hAnsi="仿宋" w:eastAsia="仿宋" w:cs="仿宋"/>
          <w:b w:val="0"/>
          <w:bCs/>
          <w:sz w:val="28"/>
          <w:szCs w:val="28"/>
        </w:rPr>
        <w:t>六、办理时限</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_Toc132812813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"_Toc132812814" </w:instrText>
      </w:r>
      <w:r>
        <w:fldChar w:fldCharType="separate"/>
      </w:r>
      <w:r>
        <w:rPr>
          <w:rStyle w:val="22"/>
          <w:rFonts w:hint="eastAsia" w:ascii="仿宋" w:hAnsi="仿宋" w:eastAsia="仿宋" w:cs="仿宋"/>
          <w:b w:val="0"/>
          <w:bCs/>
          <w:sz w:val="28"/>
          <w:szCs w:val="28"/>
        </w:rPr>
        <w:t>七、办理情形和条件</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_Toc132812814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4</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"_Toc132812815" </w:instrText>
      </w:r>
      <w:r>
        <w:fldChar w:fldCharType="separate"/>
      </w:r>
      <w:r>
        <w:rPr>
          <w:rStyle w:val="22"/>
          <w:rFonts w:hint="eastAsia" w:ascii="仿宋" w:hAnsi="仿宋" w:eastAsia="仿宋" w:cs="仿宋"/>
          <w:bCs/>
          <w:sz w:val="28"/>
          <w:szCs w:val="28"/>
        </w:rPr>
        <w:t>（一）提交发行与承销方案</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_Toc132812815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4</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"_Toc132812816" </w:instrText>
      </w:r>
      <w:r>
        <w:fldChar w:fldCharType="separate"/>
      </w:r>
      <w:r>
        <w:rPr>
          <w:rStyle w:val="22"/>
          <w:rFonts w:hint="eastAsia" w:ascii="仿宋" w:hAnsi="仿宋" w:eastAsia="仿宋" w:cs="仿宋"/>
          <w:bCs/>
          <w:sz w:val="28"/>
          <w:szCs w:val="28"/>
        </w:rPr>
        <w:t>（二）拟定发行时间表</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_Toc132812816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5</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"_Toc132812817" </w:instrText>
      </w:r>
      <w:r>
        <w:fldChar w:fldCharType="separate"/>
      </w:r>
      <w:r>
        <w:rPr>
          <w:rStyle w:val="22"/>
          <w:rFonts w:hint="eastAsia" w:ascii="仿宋" w:hAnsi="仿宋" w:eastAsia="仿宋" w:cs="仿宋"/>
          <w:bCs/>
          <w:sz w:val="28"/>
          <w:szCs w:val="28"/>
        </w:rPr>
        <w:t>（三）证券简称及证券代码申请</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_Toc132812817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5</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"_Toc132812818" </w:instrText>
      </w:r>
      <w:r>
        <w:fldChar w:fldCharType="separate"/>
      </w:r>
      <w:r>
        <w:rPr>
          <w:rStyle w:val="22"/>
          <w:rFonts w:hint="eastAsia" w:ascii="仿宋" w:hAnsi="仿宋" w:eastAsia="仿宋" w:cs="仿宋"/>
          <w:bCs/>
          <w:sz w:val="28"/>
          <w:szCs w:val="28"/>
        </w:rPr>
        <w:t>（四）信息披露</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_Toc132812818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6</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"_Toc132812819" </w:instrText>
      </w:r>
      <w:r>
        <w:fldChar w:fldCharType="separate"/>
      </w:r>
      <w:r>
        <w:rPr>
          <w:rStyle w:val="22"/>
          <w:rFonts w:hint="eastAsia" w:ascii="仿宋" w:hAnsi="仿宋" w:eastAsia="仿宋" w:cs="仿宋"/>
          <w:b w:val="0"/>
          <w:bCs/>
          <w:sz w:val="28"/>
          <w:szCs w:val="28"/>
        </w:rPr>
        <w:t>八、不予受理情形</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_Toc132812819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6</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"_Toc132812820" </w:instrText>
      </w:r>
      <w:r>
        <w:fldChar w:fldCharType="separate"/>
      </w:r>
      <w:r>
        <w:rPr>
          <w:rStyle w:val="22"/>
          <w:rFonts w:hint="eastAsia" w:ascii="仿宋" w:hAnsi="仿宋" w:eastAsia="仿宋" w:cs="仿宋"/>
          <w:b w:val="0"/>
          <w:bCs/>
          <w:sz w:val="28"/>
          <w:szCs w:val="28"/>
        </w:rPr>
        <w:t>九、申请材料清单</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_Toc132812820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6</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"_Toc132812821" </w:instrText>
      </w:r>
      <w:r>
        <w:fldChar w:fldCharType="separate"/>
      </w:r>
      <w:r>
        <w:rPr>
          <w:rStyle w:val="22"/>
          <w:rFonts w:hint="eastAsia" w:ascii="仿宋" w:hAnsi="仿宋" w:eastAsia="仿宋" w:cs="仿宋"/>
          <w:bCs/>
          <w:sz w:val="28"/>
          <w:szCs w:val="28"/>
        </w:rPr>
        <w:t>（一）IPO发行上市申请文件</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_Toc132812821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6</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"_Toc132812822" </w:instrText>
      </w:r>
      <w:r>
        <w:fldChar w:fldCharType="separate"/>
      </w:r>
      <w:r>
        <w:rPr>
          <w:rStyle w:val="22"/>
          <w:rFonts w:hint="eastAsia" w:ascii="仿宋" w:hAnsi="仿宋" w:eastAsia="仿宋" w:cs="仿宋"/>
          <w:bCs/>
          <w:sz w:val="28"/>
          <w:szCs w:val="28"/>
        </w:rPr>
        <w:t>（二）转板公司上市申请文件</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_Toc132812822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11</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"_Toc132812823" </w:instrText>
      </w:r>
      <w:r>
        <w:fldChar w:fldCharType="separate"/>
      </w:r>
      <w:r>
        <w:rPr>
          <w:rStyle w:val="22"/>
          <w:rFonts w:hint="eastAsia" w:ascii="仿宋" w:hAnsi="仿宋" w:eastAsia="仿宋" w:cs="仿宋"/>
          <w:b w:val="0"/>
          <w:bCs/>
          <w:sz w:val="28"/>
          <w:szCs w:val="28"/>
        </w:rPr>
        <w:t>十、申请接收</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_Toc132812823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"_Toc132812824" </w:instrText>
      </w:r>
      <w:r>
        <w:fldChar w:fldCharType="separate"/>
      </w:r>
      <w:r>
        <w:rPr>
          <w:rStyle w:val="22"/>
          <w:rFonts w:hint="eastAsia" w:ascii="仿宋" w:hAnsi="仿宋" w:eastAsia="仿宋" w:cs="仿宋"/>
          <w:bCs/>
          <w:sz w:val="28"/>
          <w:szCs w:val="28"/>
        </w:rPr>
        <w:t>（一）发行承销业务</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_Toc132812824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"_Toc132812825" </w:instrText>
      </w:r>
      <w:r>
        <w:fldChar w:fldCharType="separate"/>
      </w:r>
      <w:r>
        <w:rPr>
          <w:rStyle w:val="22"/>
          <w:rFonts w:hint="eastAsia" w:ascii="仿宋" w:hAnsi="仿宋" w:eastAsia="仿宋" w:cs="仿宋"/>
          <w:bCs/>
          <w:sz w:val="28"/>
          <w:szCs w:val="28"/>
        </w:rPr>
        <w:t>（二）其他业务</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_Toc132812825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"_Toc132812826" </w:instrText>
      </w:r>
      <w:r>
        <w:fldChar w:fldCharType="separate"/>
      </w:r>
      <w:r>
        <w:rPr>
          <w:rStyle w:val="22"/>
          <w:rFonts w:hint="eastAsia" w:ascii="仿宋" w:hAnsi="仿宋" w:eastAsia="仿宋" w:cs="仿宋"/>
          <w:b w:val="0"/>
          <w:bCs/>
          <w:sz w:val="28"/>
          <w:szCs w:val="28"/>
        </w:rPr>
        <w:t>十一、办理流程</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_Toc132812826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13</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"_Toc132812827" </w:instrText>
      </w:r>
      <w:r>
        <w:fldChar w:fldCharType="separate"/>
      </w:r>
      <w:r>
        <w:rPr>
          <w:rStyle w:val="22"/>
          <w:rFonts w:hint="eastAsia" w:ascii="仿宋" w:hAnsi="仿宋" w:eastAsia="仿宋" w:cs="仿宋"/>
          <w:bCs/>
          <w:sz w:val="28"/>
          <w:szCs w:val="28"/>
        </w:rPr>
        <w:t>（一）IPO询价发行流程</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_Toc132812827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"_Toc132812828" </w:instrText>
      </w:r>
      <w:r>
        <w:fldChar w:fldCharType="separate"/>
      </w:r>
      <w:r>
        <w:rPr>
          <w:rStyle w:val="22"/>
          <w:rFonts w:hint="eastAsia" w:ascii="仿宋" w:hAnsi="仿宋" w:eastAsia="仿宋" w:cs="仿宋"/>
          <w:bCs/>
          <w:sz w:val="28"/>
          <w:szCs w:val="28"/>
        </w:rPr>
        <w:t>（二）IPO直接定价发行流程</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_Toc132812828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20</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"_Toc132812829" </w:instrText>
      </w:r>
      <w:r>
        <w:fldChar w:fldCharType="separate"/>
      </w:r>
      <w:r>
        <w:rPr>
          <w:rStyle w:val="22"/>
          <w:rFonts w:hint="eastAsia" w:ascii="仿宋" w:hAnsi="仿宋" w:eastAsia="仿宋" w:cs="仿宋"/>
          <w:bCs/>
          <w:sz w:val="28"/>
          <w:szCs w:val="28"/>
        </w:rPr>
        <w:t>（三）IPO上市流程</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_Toc132812829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23</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"_Toc132812830" </w:instrText>
      </w:r>
      <w:r>
        <w:fldChar w:fldCharType="separate"/>
      </w:r>
      <w:r>
        <w:rPr>
          <w:rStyle w:val="22"/>
          <w:rFonts w:hint="eastAsia" w:ascii="仿宋" w:hAnsi="仿宋" w:eastAsia="仿宋" w:cs="仿宋"/>
          <w:bCs/>
          <w:sz w:val="28"/>
          <w:szCs w:val="28"/>
        </w:rPr>
        <w:t>（四）转板公司上市流程</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_Toc132812830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25</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"_Toc132812831" </w:instrText>
      </w:r>
      <w:r>
        <w:fldChar w:fldCharType="separate"/>
      </w:r>
      <w:r>
        <w:rPr>
          <w:rStyle w:val="22"/>
          <w:rFonts w:hint="eastAsia" w:ascii="仿宋" w:hAnsi="仿宋" w:eastAsia="仿宋" w:cs="仿宋"/>
          <w:b w:val="0"/>
          <w:bCs/>
          <w:sz w:val="28"/>
          <w:szCs w:val="28"/>
        </w:rPr>
        <w:t>十二、办理结果及送达</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_Toc132812831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29</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"_Toc132812832" </w:instrText>
      </w:r>
      <w:r>
        <w:fldChar w:fldCharType="separate"/>
      </w:r>
      <w:r>
        <w:rPr>
          <w:rStyle w:val="22"/>
          <w:rFonts w:hint="eastAsia" w:ascii="仿宋" w:hAnsi="仿宋" w:eastAsia="仿宋" w:cs="仿宋"/>
          <w:b w:val="0"/>
          <w:bCs/>
          <w:sz w:val="28"/>
          <w:szCs w:val="28"/>
        </w:rPr>
        <w:t>十三、咨询途径</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_Toc132812832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29</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"_Toc132812833" </w:instrText>
      </w:r>
      <w:r>
        <w:fldChar w:fldCharType="separate"/>
      </w:r>
      <w:r>
        <w:rPr>
          <w:rStyle w:val="22"/>
          <w:rFonts w:hint="eastAsia" w:ascii="仿宋" w:hAnsi="仿宋" w:eastAsia="仿宋" w:cs="仿宋"/>
          <w:bCs/>
          <w:sz w:val="28"/>
          <w:szCs w:val="28"/>
        </w:rPr>
        <w:t>（一）预沟通安排</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_Toc132812833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29</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"_Toc132812834" </w:instrText>
      </w:r>
      <w:r>
        <w:fldChar w:fldCharType="separate"/>
      </w:r>
      <w:r>
        <w:rPr>
          <w:rStyle w:val="22"/>
          <w:rFonts w:hint="eastAsia" w:ascii="仿宋" w:hAnsi="仿宋" w:eastAsia="仿宋" w:cs="仿宋"/>
          <w:bCs/>
          <w:sz w:val="28"/>
          <w:szCs w:val="28"/>
        </w:rPr>
        <w:t>（二）相关机构联系方式</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_Toc132812834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29</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"_Toc132812835" </w:instrText>
      </w:r>
      <w:r>
        <w:fldChar w:fldCharType="separate"/>
      </w:r>
      <w:r>
        <w:rPr>
          <w:rStyle w:val="22"/>
          <w:rFonts w:hint="eastAsia" w:ascii="仿宋" w:hAnsi="仿宋" w:eastAsia="仿宋" w:cs="仿宋"/>
          <w:b w:val="0"/>
          <w:bCs/>
          <w:sz w:val="28"/>
          <w:szCs w:val="28"/>
        </w:rPr>
        <w:t>十四、办公地址和时间</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_Toc132812835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30</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"_Toc132812836" </w:instrText>
      </w:r>
      <w:r>
        <w:fldChar w:fldCharType="separate"/>
      </w:r>
      <w:r>
        <w:rPr>
          <w:rStyle w:val="22"/>
          <w:rFonts w:hint="eastAsia" w:ascii="仿宋" w:hAnsi="仿宋" w:eastAsia="仿宋" w:cs="仿宋"/>
          <w:bCs/>
          <w:sz w:val="28"/>
          <w:szCs w:val="28"/>
        </w:rPr>
        <w:t>（一）办公地址</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_Toc132812836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30</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9"/>
        <w:adjustRightInd w:val="0"/>
        <w:snapToGrid w:val="0"/>
        <w:spacing w:before="0" w:after="0" w:line="400" w:lineRule="exact"/>
        <w:ind w:left="420" w:leftChars="200"/>
        <w:rPr>
          <w:rFonts w:ascii="仿宋" w:hAnsi="仿宋" w:eastAsia="仿宋" w:cs="仿宋"/>
          <w:bCs/>
          <w:sz w:val="28"/>
          <w:szCs w:val="28"/>
        </w:rPr>
      </w:pPr>
      <w:r>
        <w:fldChar w:fldCharType="begin"/>
      </w:r>
      <w:r>
        <w:instrText xml:space="preserve"> HYPERLINK \l "_Toc132812837" </w:instrText>
      </w:r>
      <w:r>
        <w:fldChar w:fldCharType="separate"/>
      </w:r>
      <w:r>
        <w:rPr>
          <w:rStyle w:val="22"/>
          <w:rFonts w:hint="eastAsia" w:ascii="仿宋" w:hAnsi="仿宋" w:eastAsia="仿宋" w:cs="仿宋"/>
          <w:bCs/>
          <w:sz w:val="28"/>
          <w:szCs w:val="28"/>
        </w:rPr>
        <w:t>（二）办公时间</w:t>
      </w:r>
      <w:r>
        <w:rPr>
          <w:rFonts w:hint="eastAsia" w:ascii="仿宋" w:hAnsi="仿宋" w:eastAsia="仿宋" w:cs="仿宋"/>
          <w:bCs/>
          <w:sz w:val="28"/>
          <w:szCs w:val="28"/>
        </w:rPr>
        <w:tab/>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PAGEREF _Toc132812837 \h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31</w:t>
      </w:r>
      <w:r>
        <w:rPr>
          <w:rFonts w:hint="eastAsia" w:ascii="仿宋" w:hAnsi="仿宋" w:eastAsia="仿宋" w:cs="仿宋"/>
          <w:bCs/>
          <w:sz w:val="28"/>
          <w:szCs w:val="28"/>
        </w:rPr>
        <w:fldChar w:fldCharType="end"/>
      </w:r>
      <w:r>
        <w:rPr>
          <w:rFonts w:hint="eastAsia" w:ascii="仿宋" w:hAnsi="仿宋" w:eastAsia="仿宋" w:cs="仿宋"/>
          <w:bCs/>
          <w:sz w:val="28"/>
          <w:szCs w:val="28"/>
        </w:rPr>
        <w:fldChar w:fldCharType="end"/>
      </w:r>
    </w:p>
    <w:p>
      <w:pPr>
        <w:pStyle w:val="15"/>
        <w:adjustRightInd w:val="0"/>
        <w:snapToGrid w:val="0"/>
        <w:spacing w:before="0" w:after="0" w:line="400" w:lineRule="exact"/>
        <w:ind w:left="0" w:leftChars="0"/>
        <w:rPr>
          <w:rFonts w:ascii="仿宋" w:hAnsi="仿宋" w:eastAsia="仿宋" w:cs="仿宋"/>
          <w:b w:val="0"/>
          <w:bCs/>
          <w:sz w:val="28"/>
          <w:szCs w:val="28"/>
        </w:rPr>
      </w:pPr>
      <w:r>
        <w:fldChar w:fldCharType="begin"/>
      </w:r>
      <w:r>
        <w:instrText xml:space="preserve"> HYPERLINK \l "_Toc132812838" </w:instrText>
      </w:r>
      <w:r>
        <w:fldChar w:fldCharType="separate"/>
      </w:r>
      <w:r>
        <w:rPr>
          <w:rStyle w:val="22"/>
          <w:rFonts w:hint="eastAsia" w:ascii="仿宋" w:hAnsi="仿宋" w:eastAsia="仿宋" w:cs="仿宋"/>
          <w:b w:val="0"/>
          <w:bCs/>
          <w:sz w:val="28"/>
          <w:szCs w:val="28"/>
        </w:rPr>
        <w:t>附件</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_Toc132812838 \h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32</w:t>
      </w:r>
      <w:r>
        <w:rPr>
          <w:rFonts w:hint="eastAsia" w:ascii="仿宋" w:hAnsi="仿宋" w:eastAsia="仿宋" w:cs="仿宋"/>
          <w:b w:val="0"/>
          <w:bCs/>
          <w:sz w:val="28"/>
          <w:szCs w:val="28"/>
        </w:rPr>
        <w:fldChar w:fldCharType="end"/>
      </w:r>
      <w:r>
        <w:rPr>
          <w:rFonts w:hint="eastAsia" w:ascii="仿宋" w:hAnsi="仿宋" w:eastAsia="仿宋" w:cs="仿宋"/>
          <w:b w:val="0"/>
          <w:bCs/>
          <w:sz w:val="28"/>
          <w:szCs w:val="28"/>
        </w:rPr>
        <w:fldChar w:fldCharType="end"/>
      </w:r>
    </w:p>
    <w:p>
      <w:pPr>
        <w:pStyle w:val="15"/>
        <w:adjustRightInd w:val="0"/>
        <w:snapToGrid w:val="0"/>
        <w:spacing w:line="560" w:lineRule="exact"/>
        <w:ind w:firstLine="560" w:firstLineChars="200"/>
        <w:rPr>
          <w:b w:val="0"/>
          <w:bCs/>
        </w:rPr>
      </w:pPr>
      <w:r>
        <w:rPr>
          <w:rFonts w:hint="eastAsia" w:ascii="仿宋" w:hAnsi="仿宋" w:eastAsia="仿宋" w:cs="仿宋"/>
          <w:b w:val="0"/>
          <w:bCs/>
          <w:sz w:val="28"/>
          <w:szCs w:val="28"/>
        </w:rPr>
        <w:fldChar w:fldCharType="end"/>
      </w:r>
    </w:p>
    <w:p>
      <w:pPr>
        <w:widowControl/>
        <w:adjustRightInd w:val="0"/>
        <w:snapToGrid w:val="0"/>
        <w:spacing w:line="560" w:lineRule="exact"/>
        <w:ind w:firstLine="420" w:firstLineChars="200"/>
        <w:jc w:val="left"/>
        <w:rPr>
          <w:rFonts w:asciiTheme="minorEastAsia" w:hAnsiTheme="minorEastAsia"/>
          <w:b/>
          <w:sz w:val="24"/>
          <w:szCs w:val="24"/>
        </w:rPr>
      </w:pPr>
      <w:r>
        <w:br w:type="page"/>
      </w:r>
    </w:p>
    <w:p>
      <w:pPr>
        <w:pStyle w:val="3"/>
        <w:adjustRightInd w:val="0"/>
        <w:snapToGrid w:val="0"/>
        <w:ind w:firstLine="640" w:firstLineChars="200"/>
      </w:pPr>
      <w:bookmarkStart w:id="0" w:name="_Toc132812804"/>
      <w:r>
        <w:rPr>
          <w:rFonts w:hint="eastAsia"/>
        </w:rPr>
        <w:t>一、事项名称</w:t>
      </w:r>
      <w:bookmarkEnd w:id="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首发企业发行上市与转板公司上市业务办理</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1" w:name="_Toc132812805"/>
      <w:r>
        <w:rPr>
          <w:rFonts w:hint="eastAsia"/>
        </w:rPr>
        <w:t>二、规则依据</w:t>
      </w:r>
      <w:bookmarkEnd w:id="1"/>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sz w:val="32"/>
          <w:szCs w:val="32"/>
        </w:rPr>
        <w:t>《证券发行与承销管理办法》</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《深圳证券交易所关于北京证券交易所上市公司向创业板转板办法（试行）》</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《深圳证券交易所首次公开发行证券发行与承销业务实施细则》</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《深圳市场首次公开发行股票网上发行实施细则》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《深圳市场首次公开发行股票网下发行实施细则》</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2" w:name="_Toc132812806"/>
      <w:r>
        <w:rPr>
          <w:rFonts w:hint="eastAsia"/>
        </w:rPr>
        <w:t>三、受理部门</w:t>
      </w:r>
      <w:bookmarkEnd w:id="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深圳证券交易所市场发展部</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3" w:name="_Toc132812807"/>
      <w:r>
        <w:rPr>
          <w:rFonts w:hint="eastAsia"/>
        </w:rPr>
        <w:t>四、办理部门</w:t>
      </w:r>
      <w:bookmarkEnd w:id="3"/>
    </w:p>
    <w:p>
      <w:pPr>
        <w:pStyle w:val="4"/>
        <w:adjustRightInd w:val="0"/>
        <w:snapToGrid w:val="0"/>
        <w:ind w:firstLine="643" w:firstLineChars="200"/>
      </w:pPr>
      <w:bookmarkStart w:id="4" w:name="_Toc132810309"/>
      <w:bookmarkStart w:id="5" w:name="_Toc132812808"/>
      <w:r>
        <w:rPr>
          <w:rFonts w:hint="eastAsia"/>
        </w:rPr>
        <w:t>（一）发行承销业务</w:t>
      </w:r>
      <w:bookmarkEnd w:id="4"/>
      <w:bookmarkEnd w:id="5"/>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深圳证券交易所市场发展部</w:t>
      </w:r>
    </w:p>
    <w:p>
      <w:pPr>
        <w:pStyle w:val="4"/>
        <w:adjustRightInd w:val="0"/>
        <w:snapToGrid w:val="0"/>
        <w:ind w:firstLine="643" w:firstLineChars="200"/>
        <w:rPr>
          <w:rFonts w:ascii="仿宋" w:hAnsi="仿宋"/>
        </w:rPr>
      </w:pPr>
      <w:bookmarkStart w:id="6" w:name="_Toc132812809"/>
      <w:bookmarkStart w:id="7" w:name="_Toc132810310"/>
      <w:r>
        <w:rPr>
          <w:rFonts w:hint="eastAsia" w:ascii="仿宋" w:hAnsi="仿宋"/>
        </w:rPr>
        <w:t>（二）CA证书办理及专区开通</w:t>
      </w:r>
      <w:bookmarkEnd w:id="6"/>
      <w:bookmarkEnd w:id="7"/>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深圳证券交易所CA中心、对应公司管理部门</w:t>
      </w:r>
    </w:p>
    <w:p>
      <w:pPr>
        <w:pStyle w:val="4"/>
        <w:adjustRightInd w:val="0"/>
        <w:snapToGrid w:val="0"/>
        <w:ind w:firstLine="643" w:firstLineChars="200"/>
      </w:pPr>
      <w:bookmarkStart w:id="8" w:name="_Toc132810311"/>
      <w:bookmarkStart w:id="9" w:name="_Toc132812810"/>
      <w:r>
        <w:rPr>
          <w:rFonts w:hint="eastAsia"/>
        </w:rPr>
        <w:t>（三）股份登记及结算事项</w:t>
      </w:r>
      <w:bookmarkEnd w:id="8"/>
      <w:bookmarkEnd w:id="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中国证券登记结算有限责任公司（以下简称中国结算）深圳分公司发行人业务部、结算业务部</w:t>
      </w:r>
    </w:p>
    <w:p>
      <w:pPr>
        <w:pStyle w:val="4"/>
        <w:adjustRightInd w:val="0"/>
        <w:snapToGrid w:val="0"/>
        <w:ind w:firstLine="643" w:firstLineChars="200"/>
      </w:pPr>
      <w:bookmarkStart w:id="10" w:name="_Toc132810312"/>
      <w:bookmarkStart w:id="11" w:name="_Toc132812811"/>
      <w:r>
        <w:rPr>
          <w:rFonts w:hint="eastAsia"/>
        </w:rPr>
        <w:t>（四）摇号事项</w:t>
      </w:r>
      <w:bookmarkEnd w:id="10"/>
      <w:bookmarkEnd w:id="1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深圳证券信息有限公司</w:t>
      </w:r>
    </w:p>
    <w:p>
      <w:pPr>
        <w:pStyle w:val="3"/>
        <w:adjustRightInd w:val="0"/>
        <w:snapToGrid w:val="0"/>
        <w:ind w:firstLine="640" w:firstLineChars="200"/>
      </w:pPr>
      <w:bookmarkStart w:id="12" w:name="_Toc132812812"/>
      <w:r>
        <w:rPr>
          <w:rFonts w:hint="eastAsia"/>
        </w:rPr>
        <w:t>五、收费标准及依据</w:t>
      </w:r>
      <w:bookmarkEnd w:id="1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在本所办理首发及转板上市的发行承销业务、CA证书办理及开通业务不收费。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发行人上市初费及上市年费按照本所《关于下调股票上市费收费标准的通知》（深证上〔2021〕533号）、《关于减免2023年度相关费用的通知》（深证上〔2022〕1183号）等相关标准收取。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其余业务办理收费情况请咨询业务办理部门。</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13" w:name="_Toc132812813"/>
      <w:r>
        <w:rPr>
          <w:rFonts w:hint="eastAsia"/>
        </w:rPr>
        <w:t>六、办理时限</w:t>
      </w:r>
      <w:bookmarkEnd w:id="13"/>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本所在收到发行与承销方案后5个工作日内无异议的，发行人和主承销商可以依法刊登招股意向书或者招股说明书，启动发行工作。</w:t>
      </w:r>
      <w:r>
        <w:rPr>
          <w:rFonts w:hint="eastAsia" w:ascii="Times New Roman" w:hAnsi="Times New Roman" w:eastAsia="仿宋" w:cs="方正仿宋简体"/>
          <w:sz w:val="32"/>
          <w:szCs w:val="32"/>
        </w:rPr>
        <w:t>发行与承销方案</w:t>
      </w:r>
      <w:r>
        <w:rPr>
          <w:rFonts w:hint="eastAsia" w:ascii="仿宋" w:hAnsi="仿宋" w:eastAsia="仿宋"/>
          <w:sz w:val="32"/>
          <w:szCs w:val="32"/>
        </w:rPr>
        <w:t>如需补正，补正时间不计入前述的5个工作日内。</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14" w:name="_Toc53666999"/>
      <w:bookmarkStart w:id="15" w:name="_Toc132812814"/>
      <w:r>
        <w:rPr>
          <w:rFonts w:hint="eastAsia"/>
        </w:rPr>
        <w:t>七、办理情形和条件</w:t>
      </w:r>
      <w:bookmarkEnd w:id="14"/>
      <w:bookmarkEnd w:id="15"/>
    </w:p>
    <w:p>
      <w:pPr>
        <w:pStyle w:val="4"/>
        <w:adjustRightInd w:val="0"/>
        <w:snapToGrid w:val="0"/>
        <w:ind w:firstLine="643" w:firstLineChars="200"/>
      </w:pPr>
      <w:bookmarkStart w:id="16" w:name="_Toc132812815"/>
      <w:r>
        <w:rPr>
          <w:rFonts w:hint="eastAsia"/>
        </w:rPr>
        <w:t>（一）提交发行与承销方案</w:t>
      </w:r>
      <w:bookmarkEnd w:id="1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首次公开发行股票并在本所上市的发行人，</w:t>
      </w:r>
      <w:r>
        <w:rPr>
          <w:rFonts w:hint="eastAsia" w:eastAsia="仿宋" w:cs="方正仿宋简体"/>
          <w:sz w:val="32"/>
          <w:szCs w:val="32"/>
        </w:rPr>
        <w:t>取得中国证监会予以注册的决定后</w:t>
      </w:r>
      <w:r>
        <w:rPr>
          <w:rFonts w:hint="eastAsia" w:ascii="仿宋" w:hAnsi="仿宋" w:eastAsia="仿宋"/>
          <w:sz w:val="32"/>
          <w:szCs w:val="32"/>
        </w:rPr>
        <w:t>，应当及时向本所报备发行与承销方案相关文件。发行与承销方案需按《证券发行与承销管理办法》</w:t>
      </w:r>
      <w:r>
        <w:rPr>
          <w:rFonts w:hint="eastAsia" w:ascii="仿宋" w:hAnsi="仿宋" w:eastAsia="仿宋"/>
          <w:bCs/>
          <w:sz w:val="32"/>
          <w:szCs w:val="32"/>
        </w:rPr>
        <w:t>（以下简称《承销办法》）</w:t>
      </w:r>
      <w:r>
        <w:rPr>
          <w:rFonts w:hint="eastAsia" w:ascii="仿宋" w:hAnsi="仿宋" w:eastAsia="仿宋"/>
          <w:sz w:val="32"/>
          <w:szCs w:val="32"/>
        </w:rPr>
        <w:t>、《</w:t>
      </w:r>
      <w:r>
        <w:rPr>
          <w:rFonts w:hint="eastAsia" w:ascii="仿宋" w:hAnsi="仿宋" w:eastAsia="仿宋"/>
          <w:bCs/>
          <w:sz w:val="32"/>
          <w:szCs w:val="32"/>
        </w:rPr>
        <w:t>深圳证券交易所首次公开发行证券发行与承销业务实施细则</w:t>
      </w:r>
      <w:r>
        <w:rPr>
          <w:rFonts w:hint="eastAsia" w:ascii="仿宋" w:hAnsi="仿宋" w:eastAsia="仿宋"/>
          <w:sz w:val="32"/>
          <w:szCs w:val="32"/>
        </w:rPr>
        <w:t>》（以下简称《首发承销细则》）等相关规定明确本次发行的基本条款与流程安排。</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承销商提交发行与承销方案相关文件前应当参照《首次公开发行证券发行与承销方案及投资价值研究报告自查关注要点》进行逐项核对自查，履行内部程序后作为方案备案材料之一同步提交</w:t>
      </w:r>
      <w:r>
        <w:rPr>
          <w:rFonts w:ascii="仿宋" w:hAnsi="仿宋" w:eastAsia="仿宋"/>
          <w:sz w:val="32"/>
          <w:szCs w:val="32"/>
        </w:rPr>
        <w:t xml:space="preserve">。 </w:t>
      </w:r>
    </w:p>
    <w:p>
      <w:pPr>
        <w:pStyle w:val="4"/>
        <w:adjustRightInd w:val="0"/>
        <w:snapToGrid w:val="0"/>
        <w:ind w:firstLine="643" w:firstLineChars="200"/>
      </w:pPr>
      <w:bookmarkStart w:id="17" w:name="_Toc132812816"/>
      <w:r>
        <w:rPr>
          <w:rFonts w:hint="eastAsia"/>
        </w:rPr>
        <w:t>（二）</w:t>
      </w:r>
      <w:r>
        <w:rPr>
          <w:rFonts w:ascii="仿宋" w:hAnsi="仿宋"/>
        </w:rPr>
        <w:t>拟定发行时间表</w:t>
      </w:r>
      <w:bookmarkEnd w:id="17"/>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本所在收到发行与承销方案相关文件后5个工作日内无异议的，发行人与主承销商可向本所预约T日（T日为新股申购日，下同）、确定具体发行时间表，准备启动发行。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发行人与主承销商应当按照发行时间表和方案中列明的工作安排推进发行上市工作。如确有必要对发行与承销方案作出调整，应当及时通知本所并重新报备。</w:t>
      </w:r>
    </w:p>
    <w:p>
      <w:pPr>
        <w:pStyle w:val="4"/>
        <w:adjustRightInd w:val="0"/>
        <w:snapToGrid w:val="0"/>
        <w:ind w:firstLine="643" w:firstLineChars="200"/>
      </w:pPr>
      <w:bookmarkStart w:id="18" w:name="_Toc132812817"/>
      <w:r>
        <w:rPr>
          <w:rFonts w:hint="eastAsia"/>
        </w:rPr>
        <w:t>（三）证券简称及证券代码申请</w:t>
      </w:r>
      <w:bookmarkEnd w:id="18"/>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具体发行时间表确定后，</w:t>
      </w:r>
      <w:r>
        <w:rPr>
          <w:rFonts w:ascii="仿宋" w:hAnsi="仿宋" w:eastAsia="仿宋"/>
          <w:sz w:val="32"/>
          <w:szCs w:val="32"/>
        </w:rPr>
        <w:t>发行人</w:t>
      </w:r>
      <w:r>
        <w:rPr>
          <w:rFonts w:hint="eastAsia" w:ascii="仿宋" w:hAnsi="仿宋" w:eastAsia="仿宋"/>
          <w:sz w:val="32"/>
          <w:szCs w:val="32"/>
        </w:rPr>
        <w:t>与</w:t>
      </w:r>
      <w:r>
        <w:rPr>
          <w:rFonts w:ascii="仿宋" w:hAnsi="仿宋" w:eastAsia="仿宋"/>
          <w:sz w:val="32"/>
          <w:szCs w:val="32"/>
        </w:rPr>
        <w:t>主承销商</w:t>
      </w:r>
      <w:r>
        <w:rPr>
          <w:rFonts w:hint="eastAsia" w:ascii="仿宋" w:hAnsi="仿宋" w:eastAsia="仿宋"/>
          <w:sz w:val="32"/>
          <w:szCs w:val="32"/>
        </w:rPr>
        <w:t>通过</w:t>
      </w:r>
      <w:r>
        <w:rPr>
          <w:rFonts w:ascii="仿宋" w:hAnsi="仿宋" w:eastAsia="仿宋"/>
          <w:sz w:val="32"/>
          <w:szCs w:val="32"/>
        </w:rPr>
        <w:t>保荐业务专区</w:t>
      </w:r>
      <w:r>
        <w:rPr>
          <w:rFonts w:hint="eastAsia" w:ascii="仿宋" w:hAnsi="仿宋" w:eastAsia="仿宋"/>
          <w:sz w:val="32"/>
          <w:szCs w:val="32"/>
        </w:rPr>
        <w:t>填写证券代码申请基本信息表等内容并上传相关文件，并同步提交《不存在影响启动发行重大事项的承诺函》。本所</w:t>
      </w:r>
      <w:r>
        <w:rPr>
          <w:rFonts w:ascii="仿宋" w:hAnsi="仿宋" w:eastAsia="仿宋"/>
          <w:sz w:val="32"/>
          <w:szCs w:val="32"/>
        </w:rPr>
        <w:t>受理申请并通过后，</w:t>
      </w:r>
      <w:r>
        <w:rPr>
          <w:rFonts w:hint="eastAsia" w:ascii="仿宋" w:hAnsi="仿宋" w:eastAsia="仿宋"/>
          <w:sz w:val="32"/>
          <w:szCs w:val="32"/>
        </w:rPr>
        <w:t>发行人与</w:t>
      </w:r>
      <w:r>
        <w:rPr>
          <w:rFonts w:ascii="仿宋" w:hAnsi="仿宋" w:eastAsia="仿宋"/>
          <w:sz w:val="32"/>
          <w:szCs w:val="32"/>
        </w:rPr>
        <w:t>主承销商</w:t>
      </w:r>
      <w:r>
        <w:rPr>
          <w:rFonts w:hint="eastAsia" w:ascii="仿宋" w:hAnsi="仿宋" w:eastAsia="仿宋"/>
          <w:sz w:val="32"/>
          <w:szCs w:val="32"/>
        </w:rPr>
        <w:t>可以</w:t>
      </w:r>
      <w:r>
        <w:rPr>
          <w:rFonts w:ascii="仿宋" w:hAnsi="仿宋" w:eastAsia="仿宋"/>
          <w:sz w:val="32"/>
          <w:szCs w:val="32"/>
        </w:rPr>
        <w:t>确定证券简称与证券代码</w:t>
      </w:r>
      <w:r>
        <w:rPr>
          <w:rFonts w:hint="eastAsia" w:ascii="仿宋" w:hAnsi="仿宋" w:eastAsia="仿宋"/>
          <w:sz w:val="32"/>
          <w:szCs w:val="32"/>
        </w:rPr>
        <w:t>。申请时间原则上为披露《招股意向书》（或者《招股说明书》）前一日，发行人应当在提交申请当日确定股票代码。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证券简称设置的具体要求详见附件参考格式之“IPO证券简称及证券代码申请书”。股票代码管理按照《深圳证券交易所股票发行与承销业务指南第3号——股票代码管理》（以下简称《股票代码指南》）相关规定执行。发行人可以采用摇号选号或者直接选号等方式确定股票代码，股票代码确定后不可更改。</w:t>
      </w:r>
    </w:p>
    <w:p>
      <w:pPr>
        <w:pStyle w:val="4"/>
        <w:adjustRightInd w:val="0"/>
        <w:snapToGrid w:val="0"/>
        <w:ind w:firstLine="643" w:firstLineChars="200"/>
      </w:pPr>
      <w:bookmarkStart w:id="19" w:name="_Toc132812818"/>
      <w:r>
        <w:rPr>
          <w:rFonts w:hint="eastAsia"/>
        </w:rPr>
        <w:t>（四）信息披露</w:t>
      </w:r>
      <w:bookmarkEnd w:id="1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启动发行后，发行人和主承销商应当按照中国证监会及本所相关规定编制信息披露文件。信息披露分为直通披露和非直通披露两种方式。主承销商应当完整、准确地选择公告类别，不得错选、漏选，不得以直通披露的公告类别代替非直通披露。主承销商应当通过本所保荐业务专区提交信息披露文件。</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20" w:name="_Toc53667002"/>
      <w:bookmarkStart w:id="21" w:name="_Toc132812819"/>
      <w:r>
        <w:rPr>
          <w:rFonts w:hint="eastAsia"/>
        </w:rPr>
        <w:t>八、不予受理情形</w:t>
      </w:r>
      <w:bookmarkEnd w:id="20"/>
      <w:bookmarkEnd w:id="2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存在下列情形之一的，本所不予受理发行承销业务相关文件：</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sz w:val="32"/>
          <w:szCs w:val="32"/>
        </w:rPr>
        <w:t>（一）</w:t>
      </w:r>
      <w:r>
        <w:rPr>
          <w:rFonts w:hint="eastAsia" w:ascii="仿宋" w:hAnsi="仿宋" w:eastAsia="仿宋"/>
          <w:bCs/>
          <w:sz w:val="32"/>
          <w:szCs w:val="32"/>
        </w:rPr>
        <w:t>首次公开发行股票并在本所上市的发行人未</w:t>
      </w:r>
      <w:r>
        <w:rPr>
          <w:rFonts w:hint="eastAsia" w:ascii="仿宋" w:hAnsi="仿宋" w:eastAsia="仿宋" w:cs="方正仿宋简体"/>
          <w:sz w:val="32"/>
          <w:szCs w:val="32"/>
        </w:rPr>
        <w:t>取得中国证监会予以注册的决定，或者</w:t>
      </w:r>
      <w:r>
        <w:rPr>
          <w:rFonts w:hint="eastAsia" w:ascii="仿宋" w:hAnsi="仿宋" w:eastAsia="仿宋"/>
          <w:sz w:val="32"/>
          <w:szCs w:val="32"/>
        </w:rPr>
        <w:t>转板公司未取得本所作出同意转板的决定。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（二）保荐人、承销商、证券服务机构及其相关人员因证券违法违规被采取认定为不适当人选、一定期限内不接受其出具的证券承销业务相关文件等相关措施，尚未解除。</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22" w:name="_Toc47970895"/>
      <w:bookmarkStart w:id="23" w:name="_Toc132812820"/>
      <w:bookmarkStart w:id="24" w:name="_Toc41551527"/>
      <w:bookmarkStart w:id="25" w:name="_Toc74986928"/>
      <w:r>
        <w:rPr>
          <w:rFonts w:hint="eastAsia"/>
        </w:rPr>
        <w:t>九</w:t>
      </w:r>
      <w:r>
        <w:t>、</w:t>
      </w:r>
      <w:bookmarkEnd w:id="22"/>
      <w:r>
        <w:rPr>
          <w:rFonts w:hint="eastAsia"/>
        </w:rPr>
        <w:t>申请材料清单</w:t>
      </w:r>
      <w:bookmarkEnd w:id="23"/>
    </w:p>
    <w:p>
      <w:pPr>
        <w:pStyle w:val="4"/>
        <w:adjustRightInd w:val="0"/>
        <w:snapToGrid w:val="0"/>
        <w:ind w:firstLine="643" w:firstLineChars="200"/>
        <w:rPr>
          <w:rFonts w:ascii="仿宋" w:hAnsi="仿宋"/>
        </w:rPr>
      </w:pPr>
      <w:bookmarkStart w:id="26" w:name="_Toc74986932"/>
      <w:bookmarkStart w:id="27" w:name="_Toc47970902"/>
      <w:bookmarkStart w:id="28" w:name="_Toc132812821"/>
      <w:r>
        <w:rPr>
          <w:rFonts w:ascii="仿宋" w:hAnsi="仿宋"/>
        </w:rPr>
        <w:t>（一）</w:t>
      </w:r>
      <w:bookmarkEnd w:id="26"/>
      <w:bookmarkEnd w:id="27"/>
      <w:r>
        <w:rPr>
          <w:rFonts w:hint="eastAsia" w:ascii="仿宋" w:hAnsi="仿宋"/>
        </w:rPr>
        <w:t>IPO发行上市申请文件</w:t>
      </w:r>
      <w:bookmarkEnd w:id="28"/>
    </w:p>
    <w:p>
      <w:pPr>
        <w:adjustRightInd w:val="0"/>
        <w:snapToGrid w:val="0"/>
        <w:spacing w:line="560" w:lineRule="exact"/>
        <w:ind w:firstLine="640" w:firstLineChars="200"/>
        <w:rPr>
          <w:rFonts w:ascii="仿宋" w:hAnsi="仿宋" w:eastAsia="仿宋"/>
          <w:b/>
        </w:rPr>
      </w:pPr>
      <w:r>
        <w:rPr>
          <w:rFonts w:ascii="仿宋" w:hAnsi="仿宋" w:eastAsia="仿宋"/>
          <w:sz w:val="32"/>
          <w:szCs w:val="32"/>
        </w:rPr>
        <w:t>1.</w:t>
      </w:r>
      <w:r>
        <w:rPr>
          <w:rFonts w:hint="eastAsia" w:ascii="仿宋" w:hAnsi="仿宋" w:eastAsia="仿宋"/>
          <w:sz w:val="32"/>
          <w:szCs w:val="32"/>
        </w:rPr>
        <w:t>发行与承销方案相关文件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7"/>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5103"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2602"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1</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发行与承销方案</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初步询价及推介公告</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询价发行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投资价值研究报告</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询价发行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证监会予以注册的决定</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战略配售方案（如有）</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主承销商对参与战略配售的投资者选取标准、配售资格及是否存在禁止性情形进行核查的专项核查报告，发行人、参与战略配售的投资者就核查事项出具的承诺函，律师事务所出具的法律意见书（如有）</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高管和核心员工参与战略配售的，设立专项资产管理计划的合同、专项资产管理计划完成基金业协会备案的证明文件（如有）</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超额配售选择权实施方案（如有），方案中应写明使用超额配售股票募集的资金买入股票的账户</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9</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关于延期交付的相关协议等（如有）</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10</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一致性承诺函</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11</w:t>
            </w:r>
          </w:p>
        </w:tc>
        <w:tc>
          <w:tcPr>
            <w:tcW w:w="5103"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本所要求的其他文件</w:t>
            </w:r>
          </w:p>
        </w:tc>
        <w:tc>
          <w:tcPr>
            <w:tcW w:w="2602"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1：上述文件如在当日13:00后提交的，当日不纳入《首发</w:t>
      </w:r>
      <w:r>
        <w:rPr>
          <w:rFonts w:hint="eastAsia" w:ascii="仿宋" w:hAnsi="仿宋" w:eastAsia="仿宋"/>
          <w:sz w:val="24"/>
          <w:szCs w:val="24"/>
        </w:rPr>
        <w:t>承销</w:t>
      </w:r>
      <w:r>
        <w:rPr>
          <w:rFonts w:ascii="仿宋" w:hAnsi="仿宋" w:eastAsia="仿宋"/>
          <w:sz w:val="24"/>
          <w:szCs w:val="24"/>
        </w:rPr>
        <w:t>细则》第七条规定的5个工作日内。</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注2：一致性承诺内容应当包括：①网下发行电子平台上传的投资价值研究报告和填报的网下发行参数设置与发行与承销方案相关内容一致（适用于询价发行）；②报送申请文件中的发行申报文件与在本所上市审核中心最后定稿的文件一致；③报送的书面文件与电子文件内容一致；④对外披露的公告与发行与承销方案内容及经本所审核的公告一致；⑤刊登的《招股意向书》（或者《招股说明书》）内容与注册稿内容一致（如有差异，应当明确差异内容及原因）；⑥关于信息披露费用的相关承诺等。</w:t>
      </w:r>
    </w:p>
    <w:p>
      <w:pPr>
        <w:adjustRightInd w:val="0"/>
        <w:snapToGrid w:val="0"/>
        <w:spacing w:line="400" w:lineRule="exact"/>
        <w:ind w:firstLine="480" w:firstLineChars="200"/>
        <w:rPr>
          <w:rFonts w:ascii="仿宋" w:hAnsi="仿宋" w:eastAsia="仿宋"/>
        </w:rPr>
      </w:pPr>
      <w:r>
        <w:rPr>
          <w:rFonts w:hint="eastAsia" w:ascii="仿宋" w:hAnsi="仿宋" w:eastAsia="仿宋"/>
          <w:sz w:val="24"/>
          <w:szCs w:val="24"/>
        </w:rPr>
        <w:t>注</w:t>
      </w:r>
      <w:r>
        <w:rPr>
          <w:rFonts w:ascii="仿宋" w:hAnsi="仿宋" w:eastAsia="仿宋"/>
          <w:sz w:val="24"/>
          <w:szCs w:val="24"/>
        </w:rPr>
        <w:t>3：方案备案时需同步提交承销商经办</w:t>
      </w:r>
      <w:r>
        <w:rPr>
          <w:rFonts w:hint="eastAsia" w:ascii="仿宋" w:hAnsi="仿宋" w:eastAsia="仿宋"/>
          <w:sz w:val="24"/>
          <w:szCs w:val="24"/>
        </w:rPr>
        <w:t>人员、复核人员关于自查关注要点核对确认无误并签字的扫描件。</w:t>
      </w:r>
    </w:p>
    <w:p>
      <w:pPr>
        <w:adjustRightInd w:val="0"/>
        <w:snapToGrid w:val="0"/>
        <w:spacing w:before="120" w:beforeLines="50"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IPO</w:t>
      </w:r>
      <w:r>
        <w:rPr>
          <w:rFonts w:hint="eastAsia" w:ascii="仿宋" w:hAnsi="仿宋" w:eastAsia="仿宋"/>
          <w:sz w:val="32"/>
          <w:szCs w:val="32"/>
        </w:rPr>
        <w:t>证券简称及证券代码申请相关文件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68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tabs>
                <w:tab w:val="left" w:pos="772"/>
                <w:tab w:val="center" w:pos="1464"/>
              </w:tabs>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证券简称及证券代码申请书</w:t>
            </w:r>
          </w:p>
        </w:tc>
        <w:tc>
          <w:tcPr>
            <w:tcW w:w="3027" w:type="dxa"/>
            <w:vAlign w:val="center"/>
          </w:tcPr>
          <w:p>
            <w:pPr>
              <w:adjustRightInd w:val="0"/>
              <w:snapToGrid w:val="0"/>
              <w:rPr>
                <w:rFonts w:ascii="仿宋" w:hAnsi="仿宋" w:eastAsia="仿宋"/>
                <w:sz w:val="24"/>
                <w:szCs w:val="24"/>
              </w:rPr>
            </w:pPr>
            <w:r>
              <w:rPr>
                <w:rFonts w:hint="eastAsia" w:ascii="仿宋" w:hAnsi="仿宋" w:eastAsia="仿宋"/>
                <w:sz w:val="24"/>
                <w:szCs w:val="24"/>
              </w:rPr>
              <w:t>参考格式见本所《股票发行与承销业务指南第2号——首发及转板上市业务办理》“五、部分申请文件参考格式”部分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预计发行时间表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不存在影响启动发行重大事项的承诺函</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后续需报送纸质版原件，邮寄至相应的公司管理部门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行业分类情况表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3.IPO</w:t>
      </w:r>
      <w:r>
        <w:rPr>
          <w:rFonts w:hint="eastAsia" w:ascii="仿宋" w:hAnsi="仿宋" w:eastAsia="仿宋"/>
          <w:sz w:val="32"/>
          <w:szCs w:val="32"/>
        </w:rPr>
        <w:t>上市申请文件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68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上市申请书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申请上市的董事会、股东大会决议</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发行人营业执照复印件及本次股票发行完成后三个月内办理完成工商变更登记的承诺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发行人公司章程（草案）</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依法经会计师事务所审计的发行人最近三年的财务会计报告</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拟聘任或已聘任的董事会秘书及证券事务代表的资料。发行人已聘任董事会秘书和证券事务代表的，在提供以下材料的同时应提供董事会聘任书；发行人拟聘任董事会秘书和证券事务代表的，应同时提供包括被推荐人符合《深圳证券交易所股票上市规则》/《深圳证券交易所创业板股票上市规则》任职资格的说明、董事会推荐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6-1</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个人简历、学历证明</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6-2</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联系方式，至少应包括办公电话、住宅电话、移动电话、传真、通信地址及专用电子邮件信箱地址，董事会秘书应当保证本所可以随时与其联系；</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6-3</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董事会秘书资格证书（如有）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需报送的承诺与说明</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需报送纸质版原件，邮寄至相应的公司管理部门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7-1</w:t>
            </w:r>
          </w:p>
        </w:tc>
        <w:tc>
          <w:tcPr>
            <w:tcW w:w="4678" w:type="dxa"/>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控股股东、实际控制人的承诺书，内容为自发行人股票上市之日起三十六个月内，不转让或者委托他人管理其直接或间接持有的发行人股份，也不由发行人回购其直接或间接持有的股份；其他股东就所持股份作出的锁定承诺</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①如控股股东、实际控制人或者相关股东为法人，需法定代表人签字；</w:t>
            </w:r>
          </w:p>
          <w:p>
            <w:pPr>
              <w:adjustRightInd w:val="0"/>
              <w:snapToGrid w:val="0"/>
              <w:jc w:val="left"/>
              <w:rPr>
                <w:rFonts w:hint="eastAsia" w:ascii="仿宋" w:hAnsi="仿宋" w:eastAsia="仿宋"/>
                <w:b/>
                <w:sz w:val="24"/>
                <w:szCs w:val="24"/>
                <w:lang w:val="en-US" w:eastAsia="zh-CN"/>
              </w:rPr>
            </w:pPr>
            <w:r>
              <w:rPr>
                <w:rFonts w:hint="eastAsia" w:ascii="仿宋" w:hAnsi="仿宋" w:eastAsia="仿宋"/>
                <w:b w:val="0"/>
                <w:bCs/>
                <w:sz w:val="24"/>
                <w:szCs w:val="24"/>
              </w:rPr>
              <w:t>②对于创业板，承诺主体还应当包括实际控制人的一致行动人（如有）</w:t>
            </w:r>
            <w:r>
              <w:rPr>
                <w:rFonts w:hint="eastAsia" w:ascii="仿宋" w:hAnsi="仿宋" w:eastAsia="仿宋"/>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7-2</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控股股东、持有发行人股份的董事和高级管理人员承诺书，内容为所持股票在锁定期满后两年内减持的，其减持价格不低于发行价；发行人上市后6个月内如公司股票连续20个交易日的收盘价均低于发行价，或者上市后</w:t>
            </w:r>
            <w:r>
              <w:rPr>
                <w:rFonts w:ascii="仿宋" w:hAnsi="仿宋" w:eastAsia="仿宋"/>
                <w:color w:val="000000" w:themeColor="text1"/>
                <w:sz w:val="24"/>
                <w:szCs w:val="24"/>
                <w14:textFill>
                  <w14:solidFill>
                    <w14:schemeClr w14:val="tx1"/>
                  </w14:solidFill>
                </w14:textFill>
              </w:rPr>
              <w:t>6个月期末</w:t>
            </w:r>
            <w:r>
              <w:rPr>
                <w:rFonts w:hint="eastAsia" w:ascii="仿宋" w:hAnsi="仿宋" w:eastAsia="仿宋"/>
                <w:color w:val="000000" w:themeColor="text1"/>
                <w:sz w:val="24"/>
                <w:szCs w:val="24"/>
                <w14:textFill>
                  <w14:solidFill>
                    <w14:schemeClr w14:val="tx1"/>
                  </w14:solidFill>
                </w14:textFill>
              </w:rPr>
              <w:t>收盘价低于发行价，持有公司股票的锁定期限自动延长至少6个月</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7-3</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发行人及其控股股东、实际控制人承诺书，内容为发行人存在欺诈发行的，发行人及其控股股东、实际控制人将按规定购回已上市的股份</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7-4</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控股股东、实际控制人、董事、监事、高级管理人员等相关责任主体的承诺书，内容为因发行人招股说明书及其他信息披露资料有虚假记载、误导性陈述或者重大遗漏，致使投资者在证券交易中遭受损失的，将依法赔偿投资者损失</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7-5</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保荐人、会计师事务所等证券服务机构承诺书，内容为因其为发行人首次公开发行制作、出具的文件有虚假记载、误导性陈述或者重大遗漏，给投资者造成损失的，将依法赔偿投资者损失</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7-6</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红筹企业及其控股股东、实际控制人、董事、监事、高级管理人员等信息披露义务人承诺书，内容为因发行人在境内发行股票并在本所上市发生的纠纷适用中国法律，并由中国境内有管辖权的人民法院管辖</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7-7</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发行人及其控股股东、实际控制人、董事、监事、高级管理人员等责任主体作出公开承诺事项的，应同时提出未能履行承诺时的约束措施说明</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7-8</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发行人董事、监事和高级管理人员持有股份情况及《董事（监事、高级管理人员）声明与承诺书》</w:t>
            </w:r>
          </w:p>
        </w:tc>
        <w:tc>
          <w:tcPr>
            <w:tcW w:w="3027" w:type="dxa"/>
            <w:vMerge w:val="restart"/>
            <w:vAlign w:val="center"/>
          </w:tcPr>
          <w:p>
            <w:pPr>
              <w:adjustRightInd w:val="0"/>
              <w:snapToGrid w:val="0"/>
              <w:rPr>
                <w:rFonts w:ascii="仿宋" w:hAnsi="仿宋" w:eastAsia="仿宋"/>
                <w:sz w:val="24"/>
                <w:szCs w:val="24"/>
              </w:rPr>
            </w:pPr>
            <w:r>
              <w:rPr>
                <w:rFonts w:hint="eastAsia" w:ascii="仿宋" w:hAnsi="仿宋" w:eastAsia="仿宋"/>
                <w:sz w:val="24"/>
                <w:szCs w:val="24"/>
              </w:rPr>
              <w:t>①声明与承诺书签订须经律师见证；请注意声明中关于持股情况的项目需填写直接和间接持股股份情况</w:t>
            </w:r>
          </w:p>
          <w:p>
            <w:pPr>
              <w:adjustRightInd w:val="0"/>
              <w:snapToGrid w:val="0"/>
              <w:rPr>
                <w:rFonts w:ascii="仿宋" w:hAnsi="仿宋" w:eastAsia="仿宋"/>
                <w:sz w:val="24"/>
                <w:szCs w:val="24"/>
              </w:rPr>
            </w:pPr>
            <w:r>
              <w:rPr>
                <w:rFonts w:hint="eastAsia" w:ascii="仿宋" w:hAnsi="仿宋" w:eastAsia="仿宋"/>
                <w:sz w:val="24"/>
                <w:szCs w:val="24"/>
              </w:rPr>
              <w:t>②模板详见本所《上市公司自律监管指引第1</w:t>
            </w:r>
            <w:r>
              <w:rPr>
                <w:rFonts w:ascii="仿宋" w:hAnsi="仿宋" w:eastAsia="仿宋"/>
                <w:sz w:val="24"/>
                <w:szCs w:val="24"/>
              </w:rPr>
              <w:t>号——</w:t>
            </w:r>
            <w:r>
              <w:rPr>
                <w:rFonts w:hint="eastAsia" w:ascii="仿宋" w:hAnsi="仿宋" w:eastAsia="仿宋"/>
                <w:sz w:val="24"/>
                <w:szCs w:val="24"/>
              </w:rPr>
              <w:t>主板</w:t>
            </w:r>
            <w:r>
              <w:rPr>
                <w:rFonts w:ascii="仿宋" w:hAnsi="仿宋" w:eastAsia="仿宋"/>
                <w:sz w:val="24"/>
                <w:szCs w:val="24"/>
              </w:rPr>
              <w:t>上市公司规范运作</w:t>
            </w:r>
            <w:r>
              <w:rPr>
                <w:rFonts w:hint="eastAsia" w:ascii="仿宋" w:hAnsi="仿宋" w:eastAsia="仿宋"/>
                <w:sz w:val="24"/>
                <w:szCs w:val="24"/>
              </w:rPr>
              <w:t>》《上市公司自律监管指引第</w:t>
            </w:r>
            <w:r>
              <w:rPr>
                <w:rFonts w:ascii="仿宋" w:hAnsi="仿宋" w:eastAsia="仿宋"/>
                <w:sz w:val="24"/>
                <w:szCs w:val="24"/>
              </w:rPr>
              <w:t>2号——创业板上市公司规范运作</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7-9</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《控股股东、实际控制人声明及承诺书》</w:t>
            </w:r>
          </w:p>
        </w:tc>
        <w:tc>
          <w:tcPr>
            <w:tcW w:w="3027" w:type="dxa"/>
            <w:vMerge w:val="continue"/>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7-10</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其他承诺事项</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发行人及其控股股东、公司董事及高级管理人员关于稳定公司股价的措施和承诺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9</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发行人公开发行前持股5%以上股东的持股意向及减持意向说明</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保荐人对保荐代表人的专项授权委托书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11</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发行人全部股票已经中国结算深圳分公司登记的证明文件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12</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会计师事务所出具的验资报告</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13</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保荐承销协议</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14</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律师事务所出具的关于股票发行过程合规性的专项法律意见书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15</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股票发行后至上市前，按规定新增的财务资料和有关重大事项的说明文件（如适用）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16</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发行人及其董事、监事、高级管理人员保证向本所提交的上市申请文件内容真实、准确、完整，不存在虚假记载、误导性陈述或重大遗漏的承诺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17</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涉及国家或国有法人持有公开发行前股份的，需提供国有资产监督管理部门的批复文件（如适用）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18</w:t>
            </w:r>
          </w:p>
        </w:tc>
        <w:tc>
          <w:tcPr>
            <w:tcW w:w="4678" w:type="dxa"/>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保荐人关于发行人独立董事资格证书核查说明。如独立董事上市前无任职资格证书，公司应当出具承诺书，承诺上市后六个月内现任独立董事取得资格证书，或者改聘其他具有任职资格证书的独立董事</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19</w:t>
            </w:r>
          </w:p>
        </w:tc>
        <w:tc>
          <w:tcPr>
            <w:tcW w:w="4678" w:type="dxa"/>
            <w:vAlign w:val="center"/>
          </w:tcPr>
          <w:p>
            <w:pPr>
              <w:adjustRightInd w:val="0"/>
              <w:snapToGrid w:val="0"/>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4.承销总结相关文件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68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承销总结报告</w:t>
            </w:r>
          </w:p>
        </w:tc>
        <w:tc>
          <w:tcPr>
            <w:tcW w:w="3027" w:type="dxa"/>
            <w:vAlign w:val="center"/>
          </w:tcPr>
          <w:p>
            <w:pPr>
              <w:adjustRightInd w:val="0"/>
              <w:snapToGrid w:val="0"/>
              <w:rPr>
                <w:rFonts w:ascii="仿宋" w:hAnsi="仿宋" w:eastAsia="仿宋"/>
                <w:sz w:val="24"/>
                <w:szCs w:val="24"/>
              </w:rPr>
            </w:pPr>
            <w:r>
              <w:rPr>
                <w:rFonts w:hint="eastAsia" w:ascii="仿宋" w:hAnsi="仿宋" w:eastAsia="仿宋"/>
                <w:sz w:val="24"/>
                <w:szCs w:val="24"/>
              </w:rPr>
              <w:t>主承销商需在承销总结报告中对“用于本次发行的信息披露费用”的列支及披露情况进行核查，并发表合规性意见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参与战略配售的投资者缴款验资报告（如有）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承销团协议（如有）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参与战略配售的投资者认股协议（如有）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新股发行数据统计表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募集资金验资报告</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7</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关于股票发行过程合规性的专项法律意见书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pStyle w:val="4"/>
        <w:adjustRightInd w:val="0"/>
        <w:snapToGrid w:val="0"/>
        <w:ind w:firstLine="643" w:firstLineChars="200"/>
      </w:pPr>
      <w:bookmarkStart w:id="29" w:name="_Toc74986933"/>
      <w:bookmarkStart w:id="30" w:name="_Toc47970903"/>
      <w:bookmarkStart w:id="31" w:name="_Toc132812822"/>
      <w:r>
        <w:t>（二）</w:t>
      </w:r>
      <w:bookmarkEnd w:id="29"/>
      <w:bookmarkEnd w:id="30"/>
      <w:r>
        <w:rPr>
          <w:rFonts w:hint="eastAsia"/>
        </w:rPr>
        <w:t>转板公司上市申请文件</w:t>
      </w:r>
      <w:bookmarkEnd w:id="3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1.转板公司证券简称及证券代码申请相关文件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68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证券简称及证券代码申请书</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参考格式见本所《股票发行与承销业务指南第2号——首发及转板上市业务办理》“五、部分申请文件参考格式”部分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预计时间表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一致性承诺函</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承诺内容包括但不限于：报送申请文件与向本所上市审核中心报送最终稿文件一致，以及向本所报送的公告与对外披露的公告一致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不存在影响在创业板上市重大事项的承诺函</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①承诺内容包括但不限于：保荐人自本所上市审核委员会作出同意转板的决定之日至承诺函签署日期间，不存在影响本次转板和对投资者做出投资决策有重大影响的应予披露的事项；</w:t>
            </w:r>
          </w:p>
          <w:p>
            <w:pPr>
              <w:adjustRightInd w:val="0"/>
              <w:snapToGrid w:val="0"/>
              <w:jc w:val="center"/>
              <w:rPr>
                <w:rFonts w:ascii="仿宋" w:hAnsi="仿宋" w:eastAsia="仿宋"/>
                <w:sz w:val="24"/>
                <w:szCs w:val="24"/>
              </w:rPr>
            </w:pPr>
            <w:r>
              <w:rPr>
                <w:rFonts w:hint="eastAsia" w:ascii="仿宋" w:hAnsi="仿宋" w:eastAsia="仿宋"/>
                <w:sz w:val="24"/>
                <w:szCs w:val="24"/>
              </w:rPr>
              <w:t>②需报送纸质版原件，邮寄至本所创业板公司管理部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行业分类情况表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在北交所终止上市的相关证明材料</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转板公司上市申请文件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681"/>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上市申请书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股票基本情况表</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请通过保荐业务专区“发行上市—</w:t>
            </w:r>
            <w:r>
              <w:rPr>
                <w:rFonts w:ascii="仿宋" w:hAnsi="仿宋" w:eastAsia="仿宋"/>
                <w:sz w:val="24"/>
                <w:szCs w:val="24"/>
              </w:rPr>
              <w:t>首发上市数据填报</w:t>
            </w:r>
            <w:r>
              <w:rPr>
                <w:rFonts w:hint="eastAsia" w:ascii="仿宋" w:hAnsi="仿宋" w:eastAsia="仿宋"/>
                <w:sz w:val="24"/>
                <w:szCs w:val="24"/>
              </w:rPr>
              <w:t>”栏目填报和导出电子表格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申请上市的董事会、股东大会决议</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公司营业执照复印件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公司章程（草案）</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依法经会计师事务所审计的公司最近三年的财务会计报告</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公司拟聘任或已聘任的董事会秘书及证券事务代表的资料。公司已聘任董事会秘书和证券事务代表的，在提供以下材料的同时应提供董事会聘任书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个人简历、学历证明</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联系方式，至少应包括办公电话、住宅电话、移动电话、传真、通信地址及专用电子邮件信箱地址，董事会秘书应当保证本所可以随时与其联系</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董事会秘书资格证书（如有）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需报送的承诺与说明</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需报送纸质版原件，邮寄至本所创业板公司管理部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8-1</w:t>
            </w:r>
          </w:p>
        </w:tc>
        <w:tc>
          <w:tcPr>
            <w:tcW w:w="4678" w:type="dxa"/>
            <w:vAlign w:val="center"/>
          </w:tcPr>
          <w:p>
            <w:pPr>
              <w:adjustRightInd w:val="0"/>
              <w:snapToGrid w:val="0"/>
              <w:rPr>
                <w:rFonts w:ascii="仿宋" w:hAnsi="仿宋" w:eastAsia="仿宋"/>
                <w:sz w:val="24"/>
                <w:szCs w:val="24"/>
              </w:rPr>
            </w:pPr>
            <w:r>
              <w:rPr>
                <w:rFonts w:hint="eastAsia" w:ascii="仿宋" w:hAnsi="仿宋" w:eastAsia="仿宋"/>
                <w:sz w:val="24"/>
                <w:szCs w:val="24"/>
              </w:rPr>
              <w:t>根据中国证监会有关规定、《深圳证券交易所创业板股票上市规则》《转板办法》《深圳证券交易所创业板发行上市审核业务指引第3号——全国中小企业股份转让系统挂牌公司向创业板转板上市报告书内容与格式》等相关规定，本次上市前股东所持股份的限售安排、自愿锁定股份、延长锁定期限以及股东持股及减持意向等承诺</w:t>
            </w:r>
          </w:p>
        </w:tc>
        <w:tc>
          <w:tcPr>
            <w:tcW w:w="3027"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如相关股东为法人，需法定代表人签字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稳定股价的措施和承诺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股份回购和股份买回的措施和承诺（如有）</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对欺诈发行上市的股份回购和股份买回承诺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依法承担赔偿责任的承诺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8-6</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公司董事、监事和高级管理人员持有股份情况及《董事（监事、高级管理人员）声明与承诺书》</w:t>
            </w:r>
          </w:p>
        </w:tc>
        <w:tc>
          <w:tcPr>
            <w:tcW w:w="3027" w:type="dxa"/>
            <w:vMerge w:val="restart"/>
            <w:vAlign w:val="center"/>
          </w:tcPr>
          <w:p>
            <w:pPr>
              <w:adjustRightInd w:val="0"/>
              <w:snapToGrid w:val="0"/>
              <w:jc w:val="left"/>
              <w:rPr>
                <w:rFonts w:ascii="仿宋" w:hAnsi="仿宋" w:eastAsia="仿宋"/>
                <w:sz w:val="24"/>
                <w:szCs w:val="24"/>
              </w:rPr>
            </w:pPr>
            <w:r>
              <w:rPr>
                <w:rFonts w:hint="eastAsia" w:ascii="仿宋" w:hAnsi="仿宋" w:eastAsia="仿宋"/>
                <w:sz w:val="24"/>
                <w:szCs w:val="24"/>
              </w:rPr>
              <w:t>①声明与承诺书签订须经律师见证；请注意声明中关于持股情况的项目需填写直接和间接持股股份情况</w:t>
            </w:r>
          </w:p>
          <w:p>
            <w:pPr>
              <w:adjustRightInd w:val="0"/>
              <w:snapToGrid w:val="0"/>
              <w:jc w:val="center"/>
              <w:rPr>
                <w:rFonts w:ascii="仿宋" w:hAnsi="仿宋" w:eastAsia="仿宋"/>
                <w:sz w:val="24"/>
                <w:szCs w:val="24"/>
              </w:rPr>
            </w:pPr>
            <w:r>
              <w:rPr>
                <w:rFonts w:hint="eastAsia" w:ascii="仿宋" w:hAnsi="仿宋" w:eastAsia="仿宋"/>
                <w:sz w:val="24"/>
                <w:szCs w:val="24"/>
              </w:rPr>
              <w:t>②模板详见本所《上市公司自律监管指引第2号——创业板上市公司规范运作》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8-7</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《控股股东、实际控制人声明及承诺书》</w:t>
            </w:r>
          </w:p>
        </w:tc>
        <w:tc>
          <w:tcPr>
            <w:tcW w:w="3027" w:type="dxa"/>
            <w:vMerge w:val="continue"/>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8-8</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其他承诺事项</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9</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保荐人对保荐代表人的专项授权委托书</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10</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公司全部股票已经中国结算深圳分公司登记的证明文件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11</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保荐协议</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12</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取得本所同意转板决定日至上市前，公司按规定新增的财务资料和有关重大事项的说明文件（如适用）</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13</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公司及其董事、监事、高级管理人员保证向本所提交的上市申请文件内容真实、准确、完整，不存在虚假记载、误导性陈述或重大遗漏的承诺</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14</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保荐人关于公司独立董事资格证书核查说明。如独立董事上市前无任职资格证书，公司应当出具承诺书，承诺上市后六个月内现任独立董事取得资格证书，或者改聘其他具有任职资格证书的独立董事</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1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15</w:t>
            </w:r>
          </w:p>
        </w:tc>
        <w:tc>
          <w:tcPr>
            <w:tcW w:w="4678" w:type="dxa"/>
            <w:vAlign w:val="center"/>
          </w:tcPr>
          <w:p>
            <w:pPr>
              <w:adjustRightInd w:val="0"/>
              <w:snapToGrid w:val="0"/>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w:t>
            </w:r>
          </w:p>
        </w:tc>
      </w:tr>
    </w:tbl>
    <w:p>
      <w:pPr>
        <w:adjustRightInd w:val="0"/>
        <w:snapToGrid w:val="0"/>
        <w:spacing w:line="560" w:lineRule="exact"/>
        <w:ind w:firstLine="420" w:firstLineChars="200"/>
      </w:pPr>
    </w:p>
    <w:p>
      <w:pPr>
        <w:pStyle w:val="3"/>
        <w:adjustRightInd w:val="0"/>
        <w:snapToGrid w:val="0"/>
        <w:ind w:firstLine="640" w:firstLineChars="200"/>
      </w:pPr>
      <w:bookmarkStart w:id="32" w:name="_Toc132812823"/>
      <w:r>
        <w:rPr>
          <w:rFonts w:hint="eastAsia"/>
        </w:rPr>
        <w:t>十、申请接收</w:t>
      </w:r>
      <w:bookmarkEnd w:id="32"/>
    </w:p>
    <w:p>
      <w:pPr>
        <w:pStyle w:val="4"/>
        <w:adjustRightInd w:val="0"/>
        <w:snapToGrid w:val="0"/>
        <w:ind w:firstLine="643" w:firstLineChars="200"/>
        <w:rPr>
          <w:rFonts w:ascii="仿宋" w:hAnsi="仿宋"/>
        </w:rPr>
      </w:pPr>
      <w:bookmarkStart w:id="33" w:name="_Toc132812824"/>
      <w:r>
        <w:rPr>
          <w:rFonts w:hint="eastAsia"/>
        </w:rPr>
        <w:t>（一）发行承销业务</w:t>
      </w:r>
      <w:bookmarkEnd w:id="33"/>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承销商（保荐人）应当通过保荐业务专区向本所报备发行与承销方案、提交信息披露文件、报送发行承销业务相关申请文件。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涉及网下发行相关操作，承销商应当通过本所网下发行电子平台（EIPO平台）进行办理。</w:t>
      </w:r>
    </w:p>
    <w:p>
      <w:pPr>
        <w:pStyle w:val="4"/>
        <w:adjustRightInd w:val="0"/>
        <w:snapToGrid w:val="0"/>
        <w:ind w:firstLine="643" w:firstLineChars="200"/>
        <w:rPr>
          <w:rFonts w:ascii="仿宋" w:hAnsi="仿宋"/>
        </w:rPr>
      </w:pPr>
      <w:bookmarkStart w:id="34" w:name="_Toc132812825"/>
      <w:r>
        <w:rPr>
          <w:rFonts w:hint="eastAsia" w:ascii="仿宋" w:hAnsi="仿宋"/>
        </w:rPr>
        <w:t>（二）其他业务</w:t>
      </w:r>
      <w:bookmarkEnd w:id="34"/>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CA证书办理业务请参照附件《上市公司业务专区功能及数字证书办理说明》。股份登记及结算业务、摇号业务请咨询相关办理部门。</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35" w:name="_Toc132812826"/>
      <w:r>
        <w:rPr>
          <w:rFonts w:hint="eastAsia"/>
        </w:rPr>
        <w:t>十一、办理流程</w:t>
      </w:r>
      <w:bookmarkEnd w:id="35"/>
    </w:p>
    <w:p>
      <w:pPr>
        <w:pStyle w:val="4"/>
        <w:adjustRightInd w:val="0"/>
        <w:snapToGrid w:val="0"/>
        <w:ind w:firstLine="643" w:firstLineChars="200"/>
        <w:rPr>
          <w:rFonts w:ascii="仿宋" w:hAnsi="仿宋"/>
        </w:rPr>
      </w:pPr>
      <w:bookmarkStart w:id="36" w:name="_Toc47970896"/>
      <w:bookmarkStart w:id="37" w:name="_Toc132812827"/>
      <w:r>
        <w:rPr>
          <w:rFonts w:ascii="仿宋" w:hAnsi="仿宋"/>
        </w:rPr>
        <w:t>（一）</w:t>
      </w:r>
      <w:bookmarkEnd w:id="36"/>
      <w:r>
        <w:rPr>
          <w:rFonts w:hint="eastAsia" w:ascii="仿宋" w:hAnsi="仿宋"/>
        </w:rPr>
        <w:t>IPO询价发行流程</w:t>
      </w:r>
      <w:bookmarkEnd w:id="37"/>
    </w:p>
    <w:p>
      <w:pPr>
        <w:adjustRightInd w:val="0"/>
        <w:snapToGrid w:val="0"/>
        <w:spacing w:line="560" w:lineRule="exact"/>
        <w:ind w:firstLine="640" w:firstLineChars="200"/>
        <w:rPr>
          <w:rFonts w:ascii="仿宋" w:hAnsi="仿宋" w:eastAsia="仿宋"/>
          <w:sz w:val="32"/>
          <w:szCs w:val="32"/>
        </w:rPr>
      </w:pPr>
      <w:bookmarkStart w:id="38" w:name="_Toc47970897"/>
      <w:r>
        <w:rPr>
          <w:rFonts w:ascii="仿宋" w:hAnsi="仿宋" w:eastAsia="仿宋"/>
          <w:sz w:val="32"/>
          <w:szCs w:val="32"/>
        </w:rPr>
        <w:t>（1）T-</w:t>
      </w:r>
      <w:r>
        <w:rPr>
          <w:rFonts w:hint="eastAsia" w:ascii="仿宋" w:hAnsi="仿宋" w:eastAsia="仿宋"/>
          <w:sz w:val="32"/>
          <w:szCs w:val="32"/>
        </w:rPr>
        <w:t>6</w:t>
      </w:r>
      <w:r>
        <w:rPr>
          <w:rFonts w:ascii="仿宋" w:hAnsi="仿宋" w:eastAsia="仿宋"/>
          <w:sz w:val="32"/>
          <w:szCs w:val="32"/>
        </w:rPr>
        <w:t>日或之前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主承销商提交《初步询价及推介公告》《上市提示公告》《</w:t>
      </w:r>
      <w:r>
        <w:rPr>
          <w:rFonts w:ascii="仿宋" w:hAnsi="仿宋" w:eastAsia="仿宋"/>
          <w:sz w:val="32"/>
          <w:szCs w:val="32"/>
        </w:rPr>
        <w:t>招股</w:t>
      </w:r>
      <w:r>
        <w:rPr>
          <w:rFonts w:hint="eastAsia" w:ascii="仿宋" w:hAnsi="仿宋" w:eastAsia="仿宋"/>
          <w:sz w:val="32"/>
          <w:szCs w:val="32"/>
        </w:rPr>
        <w:t>意向</w:t>
      </w:r>
      <w:r>
        <w:rPr>
          <w:rFonts w:ascii="仿宋" w:hAnsi="仿宋" w:eastAsia="仿宋"/>
          <w:sz w:val="32"/>
          <w:szCs w:val="32"/>
        </w:rPr>
        <w:t>书</w:t>
      </w:r>
      <w:r>
        <w:rPr>
          <w:rFonts w:hint="eastAsia" w:ascii="仿宋" w:hAnsi="仿宋" w:eastAsia="仿宋"/>
          <w:sz w:val="32"/>
          <w:szCs w:val="32"/>
        </w:rPr>
        <w:t>》等启动发行公告披露申请。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发行人、主承销商应当在《初步询价及推介公告》中承诺不存在影响本次发行的重大事项。发行人披露的《招股意向书》除不含发行价格、筹资金额以外，其内容与格式应当与《招股说明书》一致，并应当按照招股说明书相关内容与格式准则要求披露相关附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主承销商</w:t>
      </w:r>
      <w:r>
        <w:rPr>
          <w:rFonts w:hint="eastAsia" w:ascii="仿宋" w:hAnsi="仿宋" w:eastAsia="仿宋"/>
          <w:sz w:val="32"/>
          <w:szCs w:val="32"/>
        </w:rPr>
        <w:t>向</w:t>
      </w:r>
      <w:r>
        <w:rPr>
          <w:rFonts w:ascii="仿宋" w:hAnsi="仿宋" w:eastAsia="仿宋"/>
          <w:sz w:val="32"/>
          <w:szCs w:val="32"/>
        </w:rPr>
        <w:t>中国结算深圳分公司结算业务部</w:t>
      </w:r>
      <w:r>
        <w:rPr>
          <w:rFonts w:hint="eastAsia" w:ascii="仿宋" w:hAnsi="仿宋" w:eastAsia="仿宋"/>
          <w:sz w:val="32"/>
          <w:szCs w:val="32"/>
        </w:rPr>
        <w:t>提交</w:t>
      </w:r>
      <w:r>
        <w:rPr>
          <w:rFonts w:ascii="仿宋" w:hAnsi="仿宋" w:eastAsia="仿宋"/>
          <w:sz w:val="32"/>
          <w:szCs w:val="32"/>
        </w:rPr>
        <w:t>《</w:t>
      </w:r>
      <w:r>
        <w:rPr>
          <w:rFonts w:hint="eastAsia" w:ascii="仿宋" w:hAnsi="仿宋" w:eastAsia="仿宋"/>
          <w:sz w:val="32"/>
          <w:szCs w:val="32"/>
        </w:rPr>
        <w:t>股票首次公开发行认购资金划款委托书</w:t>
      </w:r>
      <w:r>
        <w:rPr>
          <w:rFonts w:ascii="仿宋" w:hAnsi="仿宋" w:eastAsia="仿宋"/>
          <w:sz w:val="32"/>
          <w:szCs w:val="32"/>
        </w:rPr>
        <w:t>》（下载网址：www.chinaclear.cn-服务支持-业务表格-深圳市场-中国结算深圳分公司证券资金结算业务表格）</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）T-</w:t>
      </w:r>
      <w:r>
        <w:rPr>
          <w:rFonts w:hint="eastAsia" w:ascii="仿宋" w:hAnsi="仿宋" w:eastAsia="仿宋"/>
          <w:sz w:val="32"/>
          <w:szCs w:val="32"/>
        </w:rPr>
        <w:t>5</w:t>
      </w:r>
      <w:r>
        <w:rPr>
          <w:rFonts w:ascii="仿宋" w:hAnsi="仿宋" w:eastAsia="仿宋"/>
          <w:sz w:val="32"/>
          <w:szCs w:val="32"/>
        </w:rPr>
        <w:t>日或之前</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w:t>
      </w:r>
      <w:r>
        <w:rPr>
          <w:rFonts w:ascii="仿宋" w:hAnsi="仿宋" w:eastAsia="仿宋"/>
          <w:sz w:val="32"/>
          <w:szCs w:val="32"/>
        </w:rPr>
        <w:t>初步询价及推介公告</w:t>
      </w:r>
      <w:r>
        <w:rPr>
          <w:rFonts w:hint="eastAsia" w:ascii="仿宋" w:hAnsi="仿宋" w:eastAsia="仿宋"/>
          <w:sz w:val="32"/>
          <w:szCs w:val="32"/>
        </w:rPr>
        <w:t>》《上市提示公告》《</w:t>
      </w:r>
      <w:r>
        <w:rPr>
          <w:rFonts w:ascii="仿宋" w:hAnsi="仿宋" w:eastAsia="仿宋"/>
          <w:sz w:val="32"/>
          <w:szCs w:val="32"/>
        </w:rPr>
        <w:t>招股意向书</w:t>
      </w:r>
      <w:r>
        <w:rPr>
          <w:rFonts w:hint="eastAsia" w:ascii="仿宋" w:hAnsi="仿宋" w:eastAsia="仿宋"/>
          <w:sz w:val="32"/>
          <w:szCs w:val="32"/>
        </w:rPr>
        <w:t>》</w:t>
      </w:r>
      <w:r>
        <w:rPr>
          <w:rFonts w:ascii="仿宋" w:hAnsi="仿宋" w:eastAsia="仿宋"/>
          <w:sz w:val="32"/>
          <w:szCs w:val="32"/>
        </w:rPr>
        <w:t>等</w:t>
      </w:r>
      <w:r>
        <w:rPr>
          <w:rFonts w:hint="eastAsia" w:ascii="仿宋" w:hAnsi="仿宋" w:eastAsia="仿宋"/>
          <w:sz w:val="32"/>
          <w:szCs w:val="32"/>
        </w:rPr>
        <w:t>启动发行公告。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披露《招股意向书》当日</w:t>
      </w:r>
      <w:r>
        <w:rPr>
          <w:rFonts w:ascii="仿宋" w:hAnsi="仿宋" w:eastAsia="仿宋"/>
          <w:sz w:val="32"/>
          <w:szCs w:val="32"/>
        </w:rPr>
        <w:t>，</w:t>
      </w:r>
      <w:r>
        <w:rPr>
          <w:rFonts w:hint="eastAsia" w:ascii="仿宋" w:hAnsi="仿宋" w:eastAsia="仿宋"/>
          <w:sz w:val="32"/>
          <w:szCs w:val="32"/>
        </w:rPr>
        <w:t>发行人、主承销商应当于</w:t>
      </w:r>
      <w:r>
        <w:rPr>
          <w:rFonts w:ascii="仿宋" w:hAnsi="仿宋" w:eastAsia="仿宋"/>
          <w:sz w:val="32"/>
          <w:szCs w:val="32"/>
        </w:rPr>
        <w:t>10:00前在网下发行电子平台（以下简称EIPO平台）提交网下发行申请</w:t>
      </w:r>
      <w:r>
        <w:rPr>
          <w:rFonts w:hint="eastAsia" w:ascii="仿宋" w:hAnsi="仿宋" w:eastAsia="仿宋"/>
          <w:sz w:val="32"/>
          <w:szCs w:val="32"/>
        </w:rPr>
        <w:t>并在同一页面上传投资价值研究报告，同步提交《新股网下发行委托承诺》。</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主承销商需要在EIPO平台上完成的操作请参考《网下发行实施细则》</w:t>
      </w:r>
      <w:r>
        <w:rPr>
          <w:rFonts w:hint="eastAsia" w:ascii="仿宋" w:hAnsi="仿宋" w:eastAsia="仿宋"/>
          <w:sz w:val="32"/>
          <w:szCs w:val="32"/>
        </w:rPr>
        <w:t>《</w:t>
      </w:r>
      <w:r>
        <w:rPr>
          <w:rFonts w:ascii="仿宋" w:hAnsi="仿宋" w:eastAsia="仿宋"/>
          <w:sz w:val="32"/>
          <w:szCs w:val="32"/>
        </w:rPr>
        <w:t>深圳证券交易所</w:t>
      </w:r>
      <w:r>
        <w:rPr>
          <w:rFonts w:hint="eastAsia" w:ascii="仿宋" w:hAnsi="仿宋" w:eastAsia="仿宋"/>
          <w:sz w:val="32"/>
          <w:szCs w:val="32"/>
        </w:rPr>
        <w:t>股票发行与承销业务指南第</w:t>
      </w:r>
      <w:r>
        <w:rPr>
          <w:rFonts w:ascii="仿宋" w:hAnsi="仿宋" w:eastAsia="仿宋"/>
          <w:sz w:val="32"/>
          <w:szCs w:val="32"/>
        </w:rPr>
        <w:t>1号——网下发行电子平台用户手册</w:t>
      </w:r>
      <w:r>
        <w:rPr>
          <w:rFonts w:hint="eastAsia" w:ascii="仿宋" w:hAnsi="仿宋" w:eastAsia="仿宋"/>
          <w:sz w:val="32"/>
          <w:szCs w:val="32"/>
        </w:rPr>
        <w:t>》（以下简称《用户手册》）</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主承销商协助发行人向中国结算深圳分公司发行人业务部了解股份登记、老股转让的税费扣缴等事宜</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）T-</w:t>
      </w:r>
      <w:r>
        <w:rPr>
          <w:rFonts w:hint="eastAsia" w:ascii="仿宋" w:hAnsi="仿宋" w:eastAsia="仿宋"/>
          <w:sz w:val="32"/>
          <w:szCs w:val="32"/>
        </w:rPr>
        <w:t>4</w:t>
      </w:r>
      <w:r>
        <w:rPr>
          <w:rFonts w:ascii="仿宋" w:hAnsi="仿宋" w:eastAsia="仿宋"/>
          <w:sz w:val="32"/>
          <w:szCs w:val="32"/>
        </w:rPr>
        <w:t>日</w:t>
      </w:r>
      <w:r>
        <w:rPr>
          <w:rFonts w:hint="eastAsia" w:ascii="仿宋" w:hAnsi="仿宋" w:eastAsia="仿宋"/>
          <w:sz w:val="32"/>
          <w:szCs w:val="32"/>
        </w:rPr>
        <w:t>或</w:t>
      </w:r>
      <w:r>
        <w:rPr>
          <w:rFonts w:ascii="仿宋" w:hAnsi="仿宋" w:eastAsia="仿宋"/>
          <w:sz w:val="32"/>
          <w:szCs w:val="32"/>
        </w:rPr>
        <w:t>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① 网下询价开始前一工作日，</w:t>
      </w:r>
      <w:r>
        <w:rPr>
          <w:rFonts w:ascii="仿宋" w:hAnsi="仿宋" w:eastAsia="仿宋"/>
          <w:sz w:val="32"/>
          <w:szCs w:val="32"/>
        </w:rPr>
        <w:t>发行人和主承销商</w:t>
      </w:r>
      <w:r>
        <w:rPr>
          <w:rFonts w:hint="eastAsia" w:ascii="仿宋" w:hAnsi="仿宋" w:eastAsia="仿宋"/>
          <w:sz w:val="32"/>
          <w:szCs w:val="32"/>
        </w:rPr>
        <w:t>需</w:t>
      </w:r>
      <w:r>
        <w:rPr>
          <w:rFonts w:ascii="仿宋" w:hAnsi="仿宋" w:eastAsia="仿宋"/>
          <w:sz w:val="32"/>
          <w:szCs w:val="32"/>
        </w:rPr>
        <w:t>剔除不满足其要求的网下投资者及配售对象，</w:t>
      </w:r>
      <w:r>
        <w:rPr>
          <w:rFonts w:hint="eastAsia" w:ascii="仿宋" w:hAnsi="仿宋" w:eastAsia="仿宋"/>
          <w:sz w:val="32"/>
          <w:szCs w:val="32"/>
        </w:rPr>
        <w:t>并确认网下投资者及配售对象是否满足市值要求，最终确定可参与初步询价的网下投资者及配售对象</w:t>
      </w:r>
      <w:r>
        <w:rPr>
          <w:rFonts w:ascii="仿宋" w:hAnsi="仿宋" w:eastAsia="仿宋"/>
          <w:sz w:val="32"/>
          <w:szCs w:val="32"/>
        </w:rPr>
        <w:t>。</w:t>
      </w:r>
      <w:r>
        <w:rPr>
          <w:rFonts w:hint="eastAsia" w:ascii="仿宋" w:hAnsi="仿宋" w:eastAsia="仿宋"/>
          <w:sz w:val="32"/>
          <w:szCs w:val="32"/>
        </w:rPr>
        <w:t>询价投资者确定完成后，主承销商启动询价。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网下询价开始前一工作日上午8:30至询价日当日上午9:30前，网下投资者应当通过EIPO平台提交定价依据，并填写建议价格或者价格区间。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T-3日或之前（初步询价日）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① </w:t>
      </w:r>
      <w:r>
        <w:rPr>
          <w:rFonts w:ascii="仿宋" w:hAnsi="仿宋" w:eastAsia="仿宋"/>
          <w:sz w:val="32"/>
          <w:szCs w:val="32"/>
        </w:rPr>
        <w:t>网下投资者在EIPO平台参与</w:t>
      </w:r>
      <w:r>
        <w:rPr>
          <w:rFonts w:hint="eastAsia" w:ascii="仿宋" w:hAnsi="仿宋" w:eastAsia="仿宋"/>
          <w:sz w:val="32"/>
          <w:szCs w:val="32"/>
        </w:rPr>
        <w:t>初步</w:t>
      </w:r>
      <w:r>
        <w:rPr>
          <w:rFonts w:ascii="仿宋" w:hAnsi="仿宋" w:eastAsia="仿宋"/>
          <w:sz w:val="32"/>
          <w:szCs w:val="32"/>
        </w:rPr>
        <w:t>询价</w:t>
      </w:r>
      <w:r>
        <w:rPr>
          <w:rFonts w:hint="eastAsia" w:ascii="仿宋" w:hAnsi="仿宋" w:eastAsia="仿宋"/>
          <w:sz w:val="32"/>
          <w:szCs w:val="32"/>
        </w:rPr>
        <w:t>，初步询价原则上安排1天。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 xml:space="preserve"> </w:t>
      </w:r>
      <w:r>
        <w:rPr>
          <w:rFonts w:hint="eastAsia" w:ascii="仿宋" w:hAnsi="仿宋" w:eastAsia="仿宋"/>
          <w:sz w:val="32"/>
          <w:szCs w:val="32"/>
        </w:rPr>
        <w:t>初步询价报价阶段，网下投资者可为其管理的不同配售对象分别报价，每个配售对象报价不得超过</w:t>
      </w:r>
      <w:r>
        <w:rPr>
          <w:rFonts w:ascii="仿宋" w:hAnsi="仿宋" w:eastAsia="仿宋"/>
          <w:sz w:val="32"/>
          <w:szCs w:val="32"/>
        </w:rPr>
        <w:t>1个，同一网下投资者的不同报价不得超过3个</w:t>
      </w:r>
      <w:r>
        <w:rPr>
          <w:rFonts w:hint="eastAsia" w:ascii="仿宋" w:hAnsi="仿宋" w:eastAsia="仿宋"/>
          <w:sz w:val="32"/>
          <w:szCs w:val="32"/>
        </w:rPr>
        <w:t>，</w:t>
      </w:r>
      <w:r>
        <w:rPr>
          <w:rFonts w:hint="eastAsia" w:eastAsia="仿宋" w:cs="方正仿宋简体"/>
          <w:sz w:val="32"/>
          <w:szCs w:val="32"/>
        </w:rPr>
        <w:t>且最高报价不得高于最低报价</w:t>
      </w:r>
      <w:r>
        <w:rPr>
          <w:rFonts w:hint="eastAsia" w:ascii="仿宋" w:hAnsi="仿宋" w:eastAsia="仿宋"/>
          <w:sz w:val="32"/>
          <w:szCs w:val="32"/>
        </w:rPr>
        <w:t>的</w:t>
      </w:r>
      <w:r>
        <w:rPr>
          <w:rFonts w:ascii="仿宋" w:hAnsi="仿宋" w:eastAsia="仿宋"/>
          <w:sz w:val="32"/>
          <w:szCs w:val="32"/>
        </w:rPr>
        <w:t>120%</w:t>
      </w:r>
      <w:r>
        <w:rPr>
          <w:rFonts w:hint="eastAsia" w:ascii="仿宋" w:hAnsi="仿宋" w:eastAsia="仿宋"/>
          <w:sz w:val="32"/>
          <w:szCs w:val="32"/>
        </w:rPr>
        <w:t>。网下</w:t>
      </w:r>
      <w:r>
        <w:rPr>
          <w:rFonts w:ascii="仿宋" w:hAnsi="仿宋" w:eastAsia="仿宋"/>
          <w:sz w:val="32"/>
          <w:szCs w:val="32"/>
        </w:rPr>
        <w:t>投资者需要在</w:t>
      </w:r>
      <w:r>
        <w:rPr>
          <w:rFonts w:hint="eastAsia" w:ascii="仿宋" w:hAnsi="仿宋" w:eastAsia="仿宋"/>
          <w:sz w:val="32"/>
          <w:szCs w:val="32"/>
        </w:rPr>
        <w:t>EIPO平台</w:t>
      </w:r>
      <w:r>
        <w:rPr>
          <w:rFonts w:ascii="仿宋" w:hAnsi="仿宋" w:eastAsia="仿宋"/>
          <w:sz w:val="32"/>
          <w:szCs w:val="32"/>
        </w:rPr>
        <w:t>上完成的操作请参考《网下发行实施细则》和</w:t>
      </w:r>
      <w:r>
        <w:rPr>
          <w:rFonts w:hint="eastAsia" w:ascii="仿宋" w:hAnsi="仿宋" w:eastAsia="仿宋"/>
          <w:sz w:val="32"/>
          <w:szCs w:val="32"/>
        </w:rPr>
        <w:t>《</w:t>
      </w:r>
      <w:r>
        <w:rPr>
          <w:rFonts w:ascii="仿宋" w:hAnsi="仿宋" w:eastAsia="仿宋"/>
          <w:sz w:val="32"/>
          <w:szCs w:val="32"/>
        </w:rPr>
        <w:t>用户手册</w:t>
      </w:r>
      <w:r>
        <w:rPr>
          <w:rFonts w:hint="eastAsia" w:ascii="仿宋" w:hAnsi="仿宋" w:eastAsia="仿宋"/>
          <w:sz w:val="32"/>
          <w:szCs w:val="32"/>
        </w:rPr>
        <w:t>》</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 主承销商提交《网上路演公告》披露申请。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）T-2日</w:t>
      </w:r>
      <w:r>
        <w:rPr>
          <w:rFonts w:hint="eastAsia" w:ascii="仿宋" w:hAnsi="仿宋" w:eastAsia="仿宋"/>
          <w:sz w:val="32"/>
          <w:szCs w:val="32"/>
        </w:rPr>
        <w:t>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① </w:t>
      </w:r>
      <w:r>
        <w:rPr>
          <w:rFonts w:ascii="仿宋" w:hAnsi="仿宋" w:eastAsia="仿宋"/>
          <w:sz w:val="32"/>
          <w:szCs w:val="32"/>
        </w:rPr>
        <w:t>主承销商根据初步询价结果，确定有效报价配售对象名单、发行价格</w:t>
      </w:r>
      <w:r>
        <w:rPr>
          <w:rFonts w:hint="eastAsia" w:ascii="仿宋" w:hAnsi="仿宋" w:eastAsia="仿宋"/>
          <w:sz w:val="32"/>
          <w:szCs w:val="32"/>
        </w:rPr>
        <w:t>（或发行价格区间）</w:t>
      </w:r>
      <w:r>
        <w:rPr>
          <w:rFonts w:ascii="仿宋" w:hAnsi="仿宋" w:eastAsia="仿宋"/>
          <w:sz w:val="32"/>
          <w:szCs w:val="32"/>
        </w:rPr>
        <w:t>及最终新股发行数量</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 xml:space="preserve">② </w:t>
      </w:r>
      <w:r>
        <w:rPr>
          <w:rFonts w:ascii="仿宋" w:hAnsi="仿宋" w:eastAsia="仿宋"/>
          <w:sz w:val="32"/>
          <w:szCs w:val="32"/>
        </w:rPr>
        <w:t>主承销商</w:t>
      </w:r>
      <w:r>
        <w:rPr>
          <w:rFonts w:hint="eastAsia" w:ascii="仿宋" w:hAnsi="仿宋" w:eastAsia="仿宋"/>
          <w:sz w:val="32"/>
          <w:szCs w:val="32"/>
        </w:rPr>
        <w:t>通过“发行上市—公司资料填报”栏目填写并提交公司基本信息、中介信息等内容。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T-2日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 xml:space="preserve">① </w:t>
      </w:r>
      <w:r>
        <w:rPr>
          <w:rFonts w:hint="eastAsia" w:ascii="仿宋" w:hAnsi="仿宋" w:eastAsia="仿宋"/>
          <w:sz w:val="32"/>
          <w:szCs w:val="32"/>
        </w:rPr>
        <w:t>在符合条件媒体披露《网上路演公告》。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主承销商在“</w:t>
      </w:r>
      <w:r>
        <w:rPr>
          <w:rFonts w:ascii="仿宋" w:hAnsi="仿宋" w:eastAsia="仿宋"/>
          <w:sz w:val="32"/>
          <w:szCs w:val="32"/>
        </w:rPr>
        <w:t>发行上市－</w:t>
      </w:r>
      <w:r>
        <w:rPr>
          <w:rFonts w:hint="eastAsia" w:ascii="仿宋" w:hAnsi="仿宋" w:eastAsia="仿宋"/>
          <w:sz w:val="32"/>
          <w:szCs w:val="32"/>
        </w:rPr>
        <w:t>首发</w:t>
      </w:r>
      <w:r>
        <w:rPr>
          <w:rFonts w:ascii="仿宋" w:hAnsi="仿宋" w:eastAsia="仿宋"/>
          <w:sz w:val="32"/>
          <w:szCs w:val="32"/>
        </w:rPr>
        <w:t>基本情况表</w:t>
      </w:r>
      <w:r>
        <w:rPr>
          <w:rFonts w:hint="eastAsia" w:ascii="仿宋" w:hAnsi="仿宋" w:eastAsia="仿宋"/>
          <w:sz w:val="32"/>
          <w:szCs w:val="32"/>
        </w:rPr>
        <w:t>填报”</w:t>
      </w:r>
      <w:r>
        <w:rPr>
          <w:rFonts w:ascii="仿宋" w:hAnsi="仿宋" w:eastAsia="仿宋"/>
          <w:sz w:val="32"/>
          <w:szCs w:val="32"/>
        </w:rPr>
        <w:t>栏目填写</w:t>
      </w:r>
      <w:r>
        <w:rPr>
          <w:rFonts w:hint="eastAsia" w:ascii="仿宋" w:hAnsi="仿宋" w:eastAsia="仿宋"/>
          <w:sz w:val="32"/>
          <w:szCs w:val="32"/>
        </w:rPr>
        <w:t>并</w:t>
      </w:r>
      <w:r>
        <w:rPr>
          <w:rFonts w:ascii="仿宋" w:hAnsi="仿宋" w:eastAsia="仿宋"/>
          <w:sz w:val="32"/>
          <w:szCs w:val="32"/>
        </w:rPr>
        <w:t>提交</w:t>
      </w:r>
      <w:r>
        <w:rPr>
          <w:rFonts w:hint="eastAsia" w:ascii="仿宋" w:hAnsi="仿宋" w:eastAsia="仿宋"/>
          <w:sz w:val="32"/>
          <w:szCs w:val="32"/>
        </w:rPr>
        <w:t>业务申请信息、发行方式等内容，并在该页面同步提交《股票发行申请书》《股票发行基本情况表》作为报备文件。其中，《股票发行申请书》可参考本指南附件的参考格式；《股票发行基本情况表》可以在完成填报首发基本情况表相关内容后直接导出表格并由主承销商盖章扫描上传，也可以在下载空白模板后完成填写并盖章扫描上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③ </w:t>
      </w:r>
      <w:r>
        <w:rPr>
          <w:rFonts w:ascii="仿宋" w:hAnsi="仿宋" w:eastAsia="仿宋"/>
          <w:sz w:val="32"/>
          <w:szCs w:val="32"/>
        </w:rPr>
        <w:t>主承销商</w:t>
      </w:r>
      <w:r>
        <w:rPr>
          <w:rFonts w:hint="eastAsia" w:ascii="仿宋" w:hAnsi="仿宋" w:eastAsia="仿宋"/>
          <w:sz w:val="32"/>
          <w:szCs w:val="32"/>
        </w:rPr>
        <w:t>15:00前提交《发行公告》（或者《初步询价结果及发行价格区间公告》）、《投资风险特别公告》（如有）披露申请。《发行公告》（或者《初步询价结果及发行价格区间公告》）后附投资者报价信息表只需在本所网站及符合证监会规定条件的网站（以下统称相关信息披露网站）披露，无需登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④ 如存在战略配售，主承销商应当15:00前提交《主承销商关于参与战略配售投资者的专项核查报告》及《律师事务所关于参与战略配售投资者核查事项的法律意见书》披露申请。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7</w:t>
      </w:r>
      <w:r>
        <w:rPr>
          <w:rFonts w:ascii="仿宋" w:hAnsi="仿宋" w:eastAsia="仿宋"/>
          <w:sz w:val="32"/>
          <w:szCs w:val="32"/>
        </w:rPr>
        <w:t>）T-1日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发行人、主承销商进行网上路演。</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在符合条件媒体</w:t>
      </w:r>
      <w:r>
        <w:rPr>
          <w:rFonts w:ascii="仿宋" w:hAnsi="仿宋" w:eastAsia="仿宋"/>
          <w:sz w:val="32"/>
          <w:szCs w:val="32"/>
        </w:rPr>
        <w:t>披露</w:t>
      </w:r>
      <w:r>
        <w:rPr>
          <w:rFonts w:hint="eastAsia" w:ascii="仿宋" w:hAnsi="仿宋" w:eastAsia="仿宋"/>
          <w:sz w:val="32"/>
          <w:szCs w:val="32"/>
        </w:rPr>
        <w:t>《</w:t>
      </w:r>
      <w:r>
        <w:rPr>
          <w:rFonts w:ascii="仿宋" w:hAnsi="仿宋" w:eastAsia="仿宋"/>
          <w:sz w:val="32"/>
          <w:szCs w:val="32"/>
        </w:rPr>
        <w:t>发行公告</w:t>
      </w:r>
      <w:r>
        <w:rPr>
          <w:rFonts w:hint="eastAsia" w:ascii="仿宋" w:hAnsi="仿宋" w:eastAsia="仿宋"/>
          <w:sz w:val="32"/>
          <w:szCs w:val="32"/>
        </w:rPr>
        <w:t>》（或者《初步询价结果及发行价格区间公告》）、《投资风险特别公告》（如有）、《主承销商关于参与战略配售投资者的专项核查报告》以及《律师事务所关于参与战略配售投资者核查事项的法律意见书》（如有）。《发行公告》（或者《初步询价结果及发行价格区间公告》）全文（含附表）见相关信息披露网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 xml:space="preserve"> </w:t>
      </w:r>
      <w:r>
        <w:rPr>
          <w:rFonts w:ascii="仿宋" w:hAnsi="仿宋" w:eastAsia="仿宋"/>
          <w:sz w:val="32"/>
          <w:szCs w:val="32"/>
        </w:rPr>
        <w:t>主承销商15:00前在EIPO平台录入发行参数，并启动申购。</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8</w:t>
      </w:r>
      <w:r>
        <w:rPr>
          <w:rFonts w:ascii="仿宋" w:hAnsi="仿宋" w:eastAsia="仿宋"/>
          <w:sz w:val="32"/>
          <w:szCs w:val="32"/>
        </w:rPr>
        <w:t>）T日</w:t>
      </w:r>
      <w:r>
        <w:rPr>
          <w:rFonts w:hint="eastAsia" w:ascii="仿宋" w:hAnsi="仿宋" w:eastAsia="仿宋"/>
          <w:sz w:val="32"/>
          <w:szCs w:val="32"/>
        </w:rPr>
        <w:t>（新股申购日）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投资者</w:t>
      </w:r>
      <w:r>
        <w:rPr>
          <w:rFonts w:hint="eastAsia" w:ascii="仿宋" w:hAnsi="仿宋" w:eastAsia="仿宋"/>
          <w:sz w:val="32"/>
          <w:szCs w:val="32"/>
        </w:rPr>
        <w:t>进行</w:t>
      </w:r>
      <w:r>
        <w:rPr>
          <w:rFonts w:ascii="仿宋" w:hAnsi="仿宋" w:eastAsia="仿宋"/>
          <w:sz w:val="32"/>
          <w:szCs w:val="32"/>
        </w:rPr>
        <w:t>申购</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采用累计投标询价方式的，入围的网下投资者应当在发行价格区间内重新报价，申购数量应当与其初步询价时申购数量一致；网上投资者按发行价格区间上限申购。</w:t>
      </w:r>
    </w:p>
    <w:p>
      <w:pPr>
        <w:adjustRightInd w:val="0"/>
        <w:snapToGrid w:val="0"/>
        <w:spacing w:line="560" w:lineRule="exact"/>
        <w:ind w:firstLine="640" w:firstLineChars="200"/>
        <w:rPr>
          <w:rFonts w:ascii="仿宋" w:hAnsi="仿宋" w:eastAsia="仿宋"/>
          <w:kern w:val="0"/>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主承销商16:</w:t>
      </w:r>
      <w:r>
        <w:rPr>
          <w:rFonts w:hint="eastAsia" w:ascii="仿宋" w:hAnsi="仿宋" w:eastAsia="仿宋"/>
          <w:sz w:val="32"/>
          <w:szCs w:val="32"/>
        </w:rPr>
        <w:t>3</w:t>
      </w:r>
      <w:r>
        <w:rPr>
          <w:rFonts w:ascii="仿宋" w:hAnsi="仿宋" w:eastAsia="仿宋"/>
          <w:sz w:val="32"/>
          <w:szCs w:val="32"/>
        </w:rPr>
        <w:t>0后</w:t>
      </w:r>
      <w:r>
        <w:rPr>
          <w:rFonts w:hint="eastAsia" w:ascii="仿宋" w:hAnsi="仿宋" w:eastAsia="仿宋"/>
          <w:sz w:val="32"/>
          <w:szCs w:val="32"/>
        </w:rPr>
        <w:t>通过“发行上市—首发上市业务签收”栏目签收</w:t>
      </w:r>
      <w:r>
        <w:rPr>
          <w:rFonts w:ascii="仿宋" w:hAnsi="仿宋" w:eastAsia="仿宋"/>
          <w:sz w:val="32"/>
          <w:szCs w:val="32"/>
        </w:rPr>
        <w:t>新股发行初步结果，并结合发行</w:t>
      </w:r>
      <w:r>
        <w:rPr>
          <w:rFonts w:hint="eastAsia" w:ascii="仿宋" w:hAnsi="仿宋" w:eastAsia="仿宋"/>
          <w:sz w:val="32"/>
          <w:szCs w:val="32"/>
        </w:rPr>
        <w:t>与承销</w:t>
      </w:r>
      <w:r>
        <w:rPr>
          <w:rFonts w:ascii="仿宋" w:hAnsi="仿宋" w:eastAsia="仿宋"/>
          <w:sz w:val="32"/>
          <w:szCs w:val="32"/>
        </w:rPr>
        <w:t>方案确定是否启动回拨</w:t>
      </w:r>
      <w:r>
        <w:rPr>
          <w:rFonts w:hint="eastAsia" w:ascii="仿宋" w:hAnsi="仿宋" w:eastAsia="仿宋"/>
          <w:sz w:val="32"/>
          <w:szCs w:val="32"/>
        </w:rPr>
        <w:t>；</w:t>
      </w:r>
      <w:r>
        <w:rPr>
          <w:rFonts w:ascii="仿宋" w:hAnsi="仿宋" w:eastAsia="仿宋"/>
          <w:sz w:val="32"/>
          <w:szCs w:val="32"/>
        </w:rPr>
        <w:t>如回拨，主承销商</w:t>
      </w:r>
      <w:r>
        <w:rPr>
          <w:rFonts w:hint="eastAsia" w:ascii="仿宋" w:hAnsi="仿宋" w:eastAsia="仿宋"/>
          <w:sz w:val="32"/>
          <w:szCs w:val="32"/>
        </w:rPr>
        <w:t>填写回拨后的网上、网下发行数量，同时</w:t>
      </w:r>
      <w:r>
        <w:rPr>
          <w:rFonts w:ascii="仿宋" w:hAnsi="仿宋" w:eastAsia="仿宋"/>
          <w:kern w:val="0"/>
          <w:sz w:val="32"/>
          <w:szCs w:val="32"/>
        </w:rPr>
        <w:t>将发行基本情况表（表头注明</w:t>
      </w:r>
      <w:r>
        <w:rPr>
          <w:rFonts w:hint="eastAsia" w:ascii="仿宋" w:hAnsi="仿宋" w:eastAsia="仿宋"/>
          <w:kern w:val="0"/>
          <w:sz w:val="32"/>
          <w:szCs w:val="32"/>
        </w:rPr>
        <w:t>“</w:t>
      </w:r>
      <w:r>
        <w:rPr>
          <w:rFonts w:ascii="仿宋" w:hAnsi="仿宋" w:eastAsia="仿宋"/>
          <w:kern w:val="0"/>
          <w:sz w:val="32"/>
          <w:szCs w:val="32"/>
        </w:rPr>
        <w:t>回拨后</w:t>
      </w:r>
      <w:r>
        <w:rPr>
          <w:rFonts w:hint="eastAsia" w:ascii="仿宋" w:hAnsi="仿宋" w:eastAsia="仿宋"/>
          <w:kern w:val="0"/>
          <w:sz w:val="32"/>
          <w:szCs w:val="32"/>
        </w:rPr>
        <w:t>”</w:t>
      </w:r>
      <w:r>
        <w:rPr>
          <w:rFonts w:ascii="仿宋" w:hAnsi="仿宋" w:eastAsia="仿宋"/>
          <w:kern w:val="0"/>
          <w:sz w:val="32"/>
          <w:szCs w:val="32"/>
        </w:rPr>
        <w:t>）</w:t>
      </w:r>
      <w:r>
        <w:rPr>
          <w:rFonts w:hint="eastAsia" w:ascii="仿宋" w:hAnsi="仿宋" w:eastAsia="仿宋"/>
          <w:kern w:val="0"/>
          <w:sz w:val="32"/>
          <w:szCs w:val="32"/>
        </w:rPr>
        <w:t>作为回拨情况说明上传。</w:t>
      </w:r>
    </w:p>
    <w:p>
      <w:pPr>
        <w:adjustRightInd w:val="0"/>
        <w:snapToGrid w:val="0"/>
        <w:spacing w:line="560" w:lineRule="exact"/>
        <w:ind w:firstLine="643" w:firstLineChars="200"/>
        <w:rPr>
          <w:rFonts w:ascii="仿宋" w:hAnsi="仿宋" w:eastAsia="仿宋"/>
          <w:b/>
          <w:kern w:val="0"/>
          <w:sz w:val="32"/>
          <w:szCs w:val="32"/>
        </w:rPr>
      </w:pPr>
      <w:r>
        <w:rPr>
          <w:rFonts w:hint="eastAsia" w:ascii="仿宋" w:hAnsi="仿宋" w:eastAsia="仿宋"/>
          <w:b/>
          <w:kern w:val="0"/>
          <w:sz w:val="32"/>
          <w:szCs w:val="32"/>
        </w:rPr>
        <w:t>特别提示：主承销商应当注意主板、创业板在初始网下发行比例及回拨机制等方面的差异，准确计算并填写回拨后网上、网下发行数量。</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fldChar w:fldCharType="begin"/>
      </w:r>
      <w:r>
        <w:rPr>
          <w:rFonts w:ascii="仿宋" w:hAnsi="仿宋" w:eastAsia="仿宋"/>
          <w:kern w:val="0"/>
          <w:sz w:val="32"/>
          <w:szCs w:val="32"/>
        </w:rPr>
        <w:instrText xml:space="preserve"> </w:instrText>
      </w:r>
      <w:r>
        <w:rPr>
          <w:rFonts w:hint="eastAsia" w:ascii="仿宋" w:hAnsi="仿宋" w:eastAsia="仿宋"/>
          <w:kern w:val="0"/>
          <w:sz w:val="32"/>
          <w:szCs w:val="32"/>
        </w:rPr>
        <w:instrText xml:space="preserve">= 3 \* GB3</w:instrText>
      </w:r>
      <w:r>
        <w:rPr>
          <w:rFonts w:ascii="仿宋" w:hAnsi="仿宋" w:eastAsia="仿宋"/>
          <w:kern w:val="0"/>
          <w:sz w:val="32"/>
          <w:szCs w:val="32"/>
        </w:rPr>
        <w:instrText xml:space="preserve"> </w:instrText>
      </w:r>
      <w:r>
        <w:rPr>
          <w:rFonts w:ascii="仿宋" w:hAnsi="仿宋" w:eastAsia="仿宋"/>
          <w:kern w:val="0"/>
          <w:sz w:val="32"/>
          <w:szCs w:val="32"/>
        </w:rPr>
        <w:fldChar w:fldCharType="separate"/>
      </w:r>
      <w:r>
        <w:rPr>
          <w:rFonts w:hint="eastAsia" w:ascii="仿宋" w:hAnsi="仿宋" w:eastAsia="仿宋"/>
          <w:kern w:val="0"/>
          <w:sz w:val="32"/>
          <w:szCs w:val="32"/>
        </w:rPr>
        <w:t>③</w:t>
      </w:r>
      <w:r>
        <w:rPr>
          <w:rFonts w:ascii="仿宋" w:hAnsi="仿宋" w:eastAsia="仿宋"/>
          <w:kern w:val="0"/>
          <w:sz w:val="32"/>
          <w:szCs w:val="32"/>
        </w:rPr>
        <w:fldChar w:fldCharType="end"/>
      </w:r>
      <w:r>
        <w:rPr>
          <w:rFonts w:hint="eastAsia" w:ascii="仿宋" w:hAnsi="仿宋" w:eastAsia="仿宋"/>
          <w:kern w:val="0"/>
          <w:sz w:val="32"/>
          <w:szCs w:val="32"/>
        </w:rPr>
        <w:t xml:space="preserve"> </w:t>
      </w:r>
      <w:r>
        <w:rPr>
          <w:rFonts w:ascii="仿宋" w:hAnsi="仿宋" w:eastAsia="仿宋"/>
          <w:sz w:val="32"/>
          <w:szCs w:val="32"/>
        </w:rPr>
        <w:t>主承销商</w:t>
      </w:r>
      <w:r>
        <w:rPr>
          <w:rFonts w:hint="eastAsia" w:ascii="仿宋" w:hAnsi="仿宋" w:eastAsia="仿宋"/>
          <w:sz w:val="32"/>
          <w:szCs w:val="32"/>
        </w:rPr>
        <w:t>签收</w:t>
      </w:r>
      <w:r>
        <w:rPr>
          <w:rFonts w:ascii="仿宋" w:hAnsi="仿宋" w:eastAsia="仿宋"/>
          <w:sz w:val="32"/>
          <w:szCs w:val="32"/>
        </w:rPr>
        <w:t>新股发行结果</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④ </w:t>
      </w:r>
      <w:r>
        <w:rPr>
          <w:rFonts w:ascii="仿宋" w:hAnsi="仿宋" w:eastAsia="仿宋"/>
          <w:sz w:val="32"/>
          <w:szCs w:val="32"/>
        </w:rPr>
        <w:t>主承销商</w:t>
      </w:r>
      <w:r>
        <w:rPr>
          <w:rFonts w:hint="eastAsia" w:ascii="仿宋" w:hAnsi="仿宋" w:eastAsia="仿宋"/>
          <w:sz w:val="32"/>
          <w:szCs w:val="32"/>
        </w:rPr>
        <w:t>18:00前提交《</w:t>
      </w:r>
      <w:r>
        <w:rPr>
          <w:rFonts w:ascii="仿宋" w:hAnsi="仿宋" w:eastAsia="仿宋"/>
          <w:sz w:val="32"/>
          <w:szCs w:val="32"/>
        </w:rPr>
        <w:t>网上申购情况及中签率公告</w:t>
      </w:r>
      <w:r>
        <w:rPr>
          <w:rFonts w:hint="eastAsia" w:ascii="仿宋" w:hAnsi="仿宋" w:eastAsia="仿宋"/>
          <w:sz w:val="32"/>
          <w:szCs w:val="32"/>
        </w:rPr>
        <w:t>》披露申请。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采用累计投标询价方式的，</w:t>
      </w:r>
      <w:r>
        <w:rPr>
          <w:rFonts w:ascii="仿宋" w:hAnsi="仿宋" w:eastAsia="仿宋"/>
          <w:sz w:val="32"/>
          <w:szCs w:val="32"/>
        </w:rPr>
        <w:t>主承销商</w:t>
      </w:r>
      <w:r>
        <w:rPr>
          <w:rFonts w:hint="eastAsia" w:ascii="仿宋" w:hAnsi="仿宋" w:eastAsia="仿宋"/>
          <w:sz w:val="32"/>
          <w:szCs w:val="32"/>
        </w:rPr>
        <w:t>应于21</w:t>
      </w:r>
      <w:r>
        <w:rPr>
          <w:rFonts w:ascii="仿宋" w:hAnsi="仿宋" w:eastAsia="仿宋"/>
          <w:sz w:val="32"/>
          <w:szCs w:val="32"/>
        </w:rPr>
        <w:t>:00</w:t>
      </w:r>
      <w:r>
        <w:rPr>
          <w:rFonts w:hint="eastAsia" w:ascii="仿宋" w:hAnsi="仿宋" w:eastAsia="仿宋"/>
          <w:sz w:val="32"/>
          <w:szCs w:val="32"/>
        </w:rPr>
        <w:t>前确定填报发行价格，并提交《定价公告》及《</w:t>
      </w:r>
      <w:r>
        <w:rPr>
          <w:rFonts w:ascii="仿宋" w:hAnsi="仿宋" w:eastAsia="仿宋"/>
          <w:sz w:val="32"/>
          <w:szCs w:val="32"/>
        </w:rPr>
        <w:t>网上申购情况及中签率公告</w:t>
      </w:r>
      <w:r>
        <w:rPr>
          <w:rFonts w:hint="eastAsia" w:ascii="仿宋" w:hAnsi="仿宋" w:eastAsia="仿宋"/>
          <w:sz w:val="32"/>
          <w:szCs w:val="32"/>
        </w:rPr>
        <w:t>》披露申请。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⑤</w:t>
      </w:r>
      <w:r>
        <w:rPr>
          <w:rFonts w:hint="eastAsia" w:ascii="仿宋" w:hAnsi="仿宋" w:eastAsia="仿宋"/>
          <w:sz w:val="32"/>
          <w:szCs w:val="32"/>
        </w:rPr>
        <w:t xml:space="preserve"> </w:t>
      </w:r>
      <w:r>
        <w:rPr>
          <w:rFonts w:ascii="仿宋" w:hAnsi="仿宋" w:eastAsia="仿宋"/>
          <w:sz w:val="32"/>
          <w:szCs w:val="32"/>
        </w:rPr>
        <w:t>如网上发行需要摇号，主承销商联系摇号机构，准备T+1日摇号事宜</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9</w:t>
      </w:r>
      <w:r>
        <w:rPr>
          <w:rFonts w:ascii="仿宋" w:hAnsi="仿宋" w:eastAsia="仿宋"/>
          <w:sz w:val="32"/>
          <w:szCs w:val="32"/>
        </w:rPr>
        <w:t>）T+1日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w:t>
      </w:r>
      <w:r>
        <w:rPr>
          <w:rFonts w:ascii="仿宋" w:hAnsi="仿宋" w:eastAsia="仿宋"/>
          <w:sz w:val="32"/>
          <w:szCs w:val="32"/>
        </w:rPr>
        <w:t>网上申购情况及中签率公告</w:t>
      </w:r>
      <w:r>
        <w:rPr>
          <w:rFonts w:hint="eastAsia" w:ascii="仿宋" w:hAnsi="仿宋" w:eastAsia="仿宋"/>
          <w:sz w:val="32"/>
          <w:szCs w:val="32"/>
        </w:rPr>
        <w:t>》；如采用累计投标询价方式的，还需在符合条件媒体披露《定价公告》。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如网上发行需要摇号，主承销商上午主持摇号仪式</w:t>
      </w:r>
      <w:r>
        <w:rPr>
          <w:rFonts w:hint="eastAsia" w:ascii="仿宋" w:hAnsi="仿宋" w:eastAsia="仿宋"/>
          <w:sz w:val="32"/>
          <w:szCs w:val="32"/>
        </w:rPr>
        <w:t>。</w:t>
      </w:r>
      <w:r>
        <w:rPr>
          <w:rFonts w:ascii="仿宋" w:hAnsi="仿宋" w:eastAsia="仿宋"/>
          <w:sz w:val="32"/>
          <w:szCs w:val="32"/>
        </w:rPr>
        <w:t xml:space="preserve"> </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③ </w:t>
      </w:r>
      <w:r>
        <w:rPr>
          <w:rFonts w:ascii="仿宋" w:hAnsi="仿宋" w:eastAsia="仿宋"/>
          <w:sz w:val="32"/>
          <w:szCs w:val="32"/>
        </w:rPr>
        <w:t>主承销商15:00前将新股网下初步配售结果文件通过EIPO平台</w:t>
      </w:r>
      <w:r>
        <w:rPr>
          <w:rFonts w:hint="eastAsia" w:ascii="仿宋" w:hAnsi="仿宋" w:eastAsia="仿宋"/>
          <w:sz w:val="32"/>
          <w:szCs w:val="32"/>
        </w:rPr>
        <w:t>发送至</w:t>
      </w:r>
      <w:r>
        <w:rPr>
          <w:rFonts w:ascii="仿宋" w:hAnsi="仿宋" w:eastAsia="仿宋"/>
          <w:sz w:val="32"/>
          <w:szCs w:val="32"/>
        </w:rPr>
        <w:t>中国结算深圳分公司</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④ </w:t>
      </w:r>
      <w:r>
        <w:rPr>
          <w:rFonts w:ascii="仿宋" w:hAnsi="仿宋" w:eastAsia="仿宋"/>
          <w:sz w:val="32"/>
          <w:szCs w:val="32"/>
        </w:rPr>
        <w:t>主承销商</w:t>
      </w:r>
      <w:r>
        <w:rPr>
          <w:rFonts w:hint="eastAsia" w:ascii="仿宋" w:hAnsi="仿宋" w:eastAsia="仿宋"/>
          <w:sz w:val="32"/>
          <w:szCs w:val="32"/>
        </w:rPr>
        <w:t>15:00前提交《网上摇号中签结果公告》及《</w:t>
      </w:r>
      <w:r>
        <w:rPr>
          <w:rFonts w:ascii="仿宋" w:hAnsi="仿宋" w:eastAsia="仿宋"/>
          <w:sz w:val="32"/>
          <w:szCs w:val="32"/>
        </w:rPr>
        <w:t>网下</w:t>
      </w:r>
      <w:r>
        <w:rPr>
          <w:rFonts w:hint="eastAsia" w:ascii="仿宋" w:hAnsi="仿宋" w:eastAsia="仿宋"/>
          <w:sz w:val="32"/>
          <w:szCs w:val="32"/>
        </w:rPr>
        <w:t>发行</w:t>
      </w:r>
      <w:r>
        <w:rPr>
          <w:rFonts w:ascii="仿宋" w:hAnsi="仿宋" w:eastAsia="仿宋"/>
          <w:sz w:val="32"/>
          <w:szCs w:val="32"/>
        </w:rPr>
        <w:t>初步配售结果公告</w:t>
      </w:r>
      <w:r>
        <w:rPr>
          <w:rFonts w:hint="eastAsia" w:ascii="仿宋" w:hAnsi="仿宋" w:eastAsia="仿宋"/>
          <w:sz w:val="32"/>
          <w:szCs w:val="32"/>
        </w:rPr>
        <w:t>》披露申请，并在该页面同步上传摇号公证书作为报备文件。其中，《</w:t>
      </w:r>
      <w:r>
        <w:rPr>
          <w:rFonts w:ascii="仿宋" w:hAnsi="仿宋" w:eastAsia="仿宋"/>
          <w:sz w:val="32"/>
          <w:szCs w:val="32"/>
        </w:rPr>
        <w:t>网下</w:t>
      </w:r>
      <w:r>
        <w:rPr>
          <w:rFonts w:hint="eastAsia" w:ascii="仿宋" w:hAnsi="仿宋" w:eastAsia="仿宋"/>
          <w:sz w:val="32"/>
          <w:szCs w:val="32"/>
        </w:rPr>
        <w:t>发行</w:t>
      </w:r>
      <w:r>
        <w:rPr>
          <w:rFonts w:ascii="仿宋" w:hAnsi="仿宋" w:eastAsia="仿宋"/>
          <w:sz w:val="32"/>
          <w:szCs w:val="32"/>
        </w:rPr>
        <w:t>初步配售结果公告</w:t>
      </w:r>
      <w:r>
        <w:rPr>
          <w:rFonts w:hint="eastAsia" w:ascii="仿宋" w:hAnsi="仿宋" w:eastAsia="仿宋"/>
          <w:sz w:val="32"/>
          <w:szCs w:val="32"/>
        </w:rPr>
        <w:t>》后附网下投资者初步配售明细表只需在相关信息披露网站披露，无需登报。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10</w:t>
      </w:r>
      <w:r>
        <w:rPr>
          <w:rFonts w:ascii="仿宋" w:hAnsi="仿宋" w:eastAsia="仿宋"/>
          <w:sz w:val="32"/>
          <w:szCs w:val="32"/>
        </w:rPr>
        <w:t>）T+2日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w:t>
      </w:r>
      <w:r>
        <w:rPr>
          <w:rFonts w:ascii="仿宋" w:hAnsi="仿宋" w:eastAsia="仿宋"/>
          <w:sz w:val="32"/>
          <w:szCs w:val="32"/>
        </w:rPr>
        <w:t>网上</w:t>
      </w:r>
      <w:r>
        <w:rPr>
          <w:rFonts w:hint="eastAsia" w:ascii="仿宋" w:hAnsi="仿宋" w:eastAsia="仿宋"/>
          <w:sz w:val="32"/>
          <w:szCs w:val="32"/>
        </w:rPr>
        <w:t>摇号</w:t>
      </w:r>
      <w:r>
        <w:rPr>
          <w:rFonts w:ascii="仿宋" w:hAnsi="仿宋" w:eastAsia="仿宋"/>
          <w:sz w:val="32"/>
          <w:szCs w:val="32"/>
        </w:rPr>
        <w:t>中签结果公告</w:t>
      </w:r>
      <w:r>
        <w:rPr>
          <w:rFonts w:hint="eastAsia" w:ascii="仿宋" w:hAnsi="仿宋" w:eastAsia="仿宋"/>
          <w:sz w:val="32"/>
          <w:szCs w:val="32"/>
        </w:rPr>
        <w:t>》《</w:t>
      </w:r>
      <w:r>
        <w:rPr>
          <w:rFonts w:ascii="仿宋" w:hAnsi="仿宋" w:eastAsia="仿宋"/>
          <w:sz w:val="32"/>
          <w:szCs w:val="32"/>
        </w:rPr>
        <w:t>网下</w:t>
      </w:r>
      <w:r>
        <w:rPr>
          <w:rFonts w:hint="eastAsia" w:ascii="仿宋" w:hAnsi="仿宋" w:eastAsia="仿宋"/>
          <w:sz w:val="32"/>
          <w:szCs w:val="32"/>
        </w:rPr>
        <w:t>发行</w:t>
      </w:r>
      <w:r>
        <w:rPr>
          <w:rFonts w:ascii="仿宋" w:hAnsi="仿宋" w:eastAsia="仿宋"/>
          <w:sz w:val="32"/>
          <w:szCs w:val="32"/>
        </w:rPr>
        <w:t>初步配售结果公告</w:t>
      </w:r>
      <w:r>
        <w:rPr>
          <w:rFonts w:hint="eastAsia" w:ascii="仿宋" w:hAnsi="仿宋" w:eastAsia="仿宋"/>
          <w:sz w:val="32"/>
          <w:szCs w:val="32"/>
        </w:rPr>
        <w:t>》。《</w:t>
      </w:r>
      <w:r>
        <w:rPr>
          <w:rFonts w:ascii="仿宋" w:hAnsi="仿宋" w:eastAsia="仿宋"/>
          <w:sz w:val="32"/>
          <w:szCs w:val="32"/>
        </w:rPr>
        <w:t>网下</w:t>
      </w:r>
      <w:r>
        <w:rPr>
          <w:rFonts w:hint="eastAsia" w:ascii="仿宋" w:hAnsi="仿宋" w:eastAsia="仿宋"/>
          <w:sz w:val="32"/>
          <w:szCs w:val="32"/>
        </w:rPr>
        <w:t>发行</w:t>
      </w:r>
      <w:r>
        <w:rPr>
          <w:rFonts w:ascii="仿宋" w:hAnsi="仿宋" w:eastAsia="仿宋"/>
          <w:sz w:val="32"/>
          <w:szCs w:val="32"/>
        </w:rPr>
        <w:t>初步配售结果公告</w:t>
      </w:r>
      <w:r>
        <w:rPr>
          <w:rFonts w:hint="eastAsia" w:ascii="仿宋" w:hAnsi="仿宋" w:eastAsia="仿宋"/>
          <w:sz w:val="32"/>
          <w:szCs w:val="32"/>
        </w:rPr>
        <w:t>》全文（含附表）见相关信息披露网站。</w:t>
      </w:r>
    </w:p>
    <w:p>
      <w:pPr>
        <w:adjustRightInd w:val="0"/>
        <w:snapToGrid w:val="0"/>
        <w:spacing w:line="560" w:lineRule="exact"/>
        <w:ind w:firstLine="640" w:firstLineChars="200"/>
        <w:rPr>
          <w:rFonts w:ascii="仿宋" w:hAnsi="仿宋" w:eastAsia="仿宋"/>
          <w:bCs/>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网上中签投资者向其结算参与人足额缴纳认购资金。网下投资者T+2日8:30-16:00向中国结算深圳分公司网下发行专户足额划付认购资金，</w:t>
      </w:r>
      <w:r>
        <w:rPr>
          <w:rFonts w:ascii="仿宋" w:hAnsi="仿宋" w:eastAsia="仿宋"/>
          <w:bCs/>
          <w:sz w:val="32"/>
          <w:szCs w:val="32"/>
        </w:rPr>
        <w:t>主承销商可于17:30后通过EIPO平台查询各网下获配对象截至当日16:00的认购资金到账情况</w:t>
      </w:r>
      <w:r>
        <w:rPr>
          <w:rFonts w:hint="eastAsia" w:ascii="仿宋" w:hAnsi="仿宋" w:eastAsia="仿宋"/>
          <w:bCs/>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如按照发行与承销方案对网下获配对象进行摇号限售的，主承销商根据《用户手册》相关要求在EIPO平台为有效缴款的配售对象进行配号。主承销商应当于21:30前将“网下摇号限售中签率及配号区间文件”（压缩文件）发送至摇号机构，网下投资者可于22:00后通过EIPO平台查询配号情况。</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11</w:t>
      </w:r>
      <w:r>
        <w:rPr>
          <w:rFonts w:ascii="仿宋" w:hAnsi="仿宋" w:eastAsia="仿宋"/>
          <w:sz w:val="32"/>
          <w:szCs w:val="32"/>
        </w:rPr>
        <w:t>）T+3日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如对网下获配对象进行摇号限售，主承销商上午主持摇号仪式，于12:00前将网下限售摇号公证书电子版上传至EIPO平台，并将网下限售摇号中签结果录入EIPO平台。</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15:00前，主承销商将新股网下配售结果文件通过EIPO平台</w:t>
      </w:r>
      <w:r>
        <w:rPr>
          <w:rFonts w:hint="eastAsia" w:ascii="仿宋" w:hAnsi="仿宋" w:eastAsia="仿宋"/>
          <w:sz w:val="32"/>
          <w:szCs w:val="32"/>
        </w:rPr>
        <w:t>发送至</w:t>
      </w:r>
      <w:r>
        <w:rPr>
          <w:rFonts w:ascii="仿宋" w:hAnsi="仿宋" w:eastAsia="仿宋"/>
          <w:sz w:val="32"/>
          <w:szCs w:val="32"/>
        </w:rPr>
        <w:t>中国结算深圳分公司</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中国结算深圳分公司将网上认购资金划入主承销商</w:t>
      </w:r>
      <w:r>
        <w:rPr>
          <w:rFonts w:hint="eastAsia" w:ascii="仿宋" w:hAnsi="仿宋" w:eastAsia="仿宋"/>
          <w:sz w:val="32"/>
          <w:szCs w:val="32"/>
        </w:rPr>
        <w:t>指定的自营结算备付金账户。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④ </w:t>
      </w:r>
      <w:r>
        <w:rPr>
          <w:rFonts w:ascii="仿宋" w:hAnsi="仿宋" w:eastAsia="仿宋"/>
          <w:sz w:val="32"/>
          <w:szCs w:val="32"/>
        </w:rPr>
        <w:t>主承销商</w:t>
      </w:r>
      <w:r>
        <w:rPr>
          <w:rFonts w:hint="eastAsia" w:ascii="仿宋" w:hAnsi="仿宋" w:eastAsia="仿宋"/>
          <w:sz w:val="32"/>
          <w:szCs w:val="32"/>
        </w:rPr>
        <w:t>16:30后签收</w:t>
      </w:r>
      <w:r>
        <w:rPr>
          <w:rFonts w:ascii="仿宋" w:hAnsi="仿宋" w:eastAsia="仿宋"/>
          <w:sz w:val="32"/>
          <w:szCs w:val="32"/>
        </w:rPr>
        <w:t>新股认购结果（含放弃认购结果），18:00前</w:t>
      </w:r>
      <w:r>
        <w:rPr>
          <w:rFonts w:hint="eastAsia" w:ascii="仿宋" w:hAnsi="仿宋" w:eastAsia="仿宋"/>
          <w:sz w:val="32"/>
          <w:szCs w:val="32"/>
        </w:rPr>
        <w:t>提交《发行</w:t>
      </w:r>
      <w:r>
        <w:rPr>
          <w:rFonts w:ascii="仿宋" w:hAnsi="仿宋" w:eastAsia="仿宋"/>
          <w:sz w:val="32"/>
          <w:szCs w:val="32"/>
        </w:rPr>
        <w:t>结果公告</w:t>
      </w:r>
      <w:r>
        <w:rPr>
          <w:rFonts w:hint="eastAsia" w:ascii="仿宋" w:hAnsi="仿宋" w:eastAsia="仿宋"/>
          <w:sz w:val="32"/>
          <w:szCs w:val="32"/>
        </w:rPr>
        <w:t>》《招股说明书》等披露申请。采用摇号限售方式的，需同步上传网下限售摇号公证书作为报备材料。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采用网下摇号限售方式的，网下摇号限售中签情况需在《发行结果公告》中披露；《发行结果公告》后附网下摇号限售中签结果明细表只需在相关信息披露网站披露，无需登报。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如出现发行与承销方案约定实施二次配售的情形</w:t>
      </w:r>
      <w:r>
        <w:rPr>
          <w:rFonts w:hint="eastAsia" w:ascii="仿宋" w:hAnsi="仿宋" w:eastAsia="仿宋"/>
          <w:bCs/>
          <w:sz w:val="32"/>
          <w:szCs w:val="32"/>
        </w:rPr>
        <w:t>，发行人和主承销商应当及时告知本所。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12</w:t>
      </w:r>
      <w:r>
        <w:rPr>
          <w:rFonts w:ascii="仿宋" w:hAnsi="仿宋" w:eastAsia="仿宋"/>
          <w:sz w:val="32"/>
          <w:szCs w:val="32"/>
        </w:rPr>
        <w:t>）T+4日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《发行</w:t>
      </w:r>
      <w:r>
        <w:rPr>
          <w:rFonts w:ascii="仿宋" w:hAnsi="仿宋" w:eastAsia="仿宋"/>
          <w:sz w:val="32"/>
          <w:szCs w:val="32"/>
        </w:rPr>
        <w:t>结果公告</w:t>
      </w:r>
      <w:r>
        <w:rPr>
          <w:rFonts w:hint="eastAsia" w:ascii="仿宋" w:hAnsi="仿宋" w:eastAsia="仿宋"/>
          <w:sz w:val="32"/>
          <w:szCs w:val="32"/>
        </w:rPr>
        <w:t>》《招股说明书》等公告。《发行结果公告》全文（含附表）见相关信息披露网站。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②</w:t>
      </w:r>
      <w:r>
        <w:rPr>
          <w:rFonts w:hint="eastAsia" w:ascii="仿宋" w:hAnsi="仿宋" w:eastAsia="仿宋"/>
          <w:sz w:val="32"/>
          <w:szCs w:val="32"/>
        </w:rPr>
        <w:t xml:space="preserve"> </w:t>
      </w:r>
      <w:r>
        <w:rPr>
          <w:rFonts w:ascii="仿宋" w:hAnsi="仿宋" w:eastAsia="仿宋"/>
          <w:sz w:val="32"/>
          <w:szCs w:val="32"/>
        </w:rPr>
        <w:t>9:00前，中国结算深圳分公司将网下认购</w:t>
      </w:r>
      <w:r>
        <w:rPr>
          <w:rFonts w:hint="eastAsia" w:ascii="仿宋" w:hAnsi="仿宋" w:eastAsia="仿宋"/>
          <w:sz w:val="32"/>
          <w:szCs w:val="32"/>
        </w:rPr>
        <w:t>资金</w:t>
      </w:r>
      <w:r>
        <w:rPr>
          <w:rFonts w:ascii="仿宋" w:hAnsi="仿宋" w:eastAsia="仿宋"/>
          <w:sz w:val="32"/>
          <w:szCs w:val="32"/>
        </w:rPr>
        <w:t>划</w:t>
      </w:r>
      <w:r>
        <w:rPr>
          <w:rFonts w:hint="eastAsia" w:ascii="仿宋" w:hAnsi="仿宋" w:eastAsia="仿宋"/>
          <w:sz w:val="32"/>
          <w:szCs w:val="32"/>
        </w:rPr>
        <w:t>入</w:t>
      </w:r>
      <w:r>
        <w:rPr>
          <w:rFonts w:ascii="仿宋" w:hAnsi="仿宋" w:eastAsia="仿宋"/>
          <w:sz w:val="32"/>
          <w:szCs w:val="32"/>
        </w:rPr>
        <w:t>主承销商</w:t>
      </w:r>
      <w:r>
        <w:rPr>
          <w:rFonts w:hint="eastAsia" w:ascii="仿宋" w:hAnsi="仿宋" w:eastAsia="仿宋"/>
          <w:sz w:val="32"/>
          <w:szCs w:val="32"/>
        </w:rPr>
        <w:t>指定的自营结算备付金账户。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 xml:space="preserve"> </w:t>
      </w:r>
      <w:r>
        <w:rPr>
          <w:rFonts w:ascii="仿宋" w:hAnsi="仿宋" w:eastAsia="仿宋"/>
          <w:sz w:val="32"/>
          <w:szCs w:val="32"/>
        </w:rPr>
        <w:t>主承销商将认购资金（含包销）扣除承销费用后划给发行人指定的银行账户</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④</w:t>
      </w:r>
      <w:r>
        <w:rPr>
          <w:rFonts w:hint="eastAsia" w:ascii="仿宋" w:hAnsi="仿宋" w:eastAsia="仿宋"/>
          <w:sz w:val="32"/>
          <w:szCs w:val="32"/>
        </w:rPr>
        <w:t xml:space="preserve"> </w:t>
      </w:r>
      <w:r>
        <w:rPr>
          <w:rFonts w:ascii="仿宋" w:hAnsi="仿宋" w:eastAsia="仿宋"/>
          <w:sz w:val="32"/>
          <w:szCs w:val="32"/>
        </w:rPr>
        <w:t>发行人请会计师事务所验资并出具验资报告</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⑤ 如有需要，</w:t>
      </w:r>
      <w:r>
        <w:rPr>
          <w:rFonts w:ascii="仿宋" w:hAnsi="仿宋" w:eastAsia="仿宋"/>
          <w:sz w:val="32"/>
          <w:szCs w:val="32"/>
        </w:rPr>
        <w:t>主承销商</w:t>
      </w:r>
      <w:r>
        <w:rPr>
          <w:rFonts w:hint="eastAsia" w:ascii="仿宋" w:hAnsi="仿宋" w:eastAsia="仿宋"/>
          <w:sz w:val="32"/>
          <w:szCs w:val="32"/>
        </w:rPr>
        <w:t>可向</w:t>
      </w:r>
      <w:r>
        <w:rPr>
          <w:rFonts w:ascii="仿宋" w:hAnsi="仿宋" w:eastAsia="仿宋"/>
          <w:sz w:val="32"/>
          <w:szCs w:val="32"/>
        </w:rPr>
        <w:t>中国结算深圳分公司结算业务部领取《关于新股发行认购资金划款的通知》。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13</w:t>
      </w:r>
      <w:r>
        <w:rPr>
          <w:rFonts w:ascii="仿宋" w:hAnsi="仿宋" w:eastAsia="仿宋"/>
          <w:sz w:val="32"/>
          <w:szCs w:val="32"/>
        </w:rPr>
        <w:t>）T+5日及以后</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主承销商协助发行人尽快办理工商登记变更手续。</w:t>
      </w:r>
    </w:p>
    <w:p>
      <w:pPr>
        <w:pStyle w:val="4"/>
        <w:adjustRightInd w:val="0"/>
        <w:snapToGrid w:val="0"/>
        <w:ind w:firstLine="643" w:firstLineChars="200"/>
        <w:rPr>
          <w:rFonts w:ascii="仿宋" w:hAnsi="仿宋"/>
        </w:rPr>
      </w:pPr>
      <w:bookmarkStart w:id="39" w:name="_Toc132812828"/>
      <w:r>
        <w:rPr>
          <w:rFonts w:hint="eastAsia" w:ascii="仿宋" w:hAnsi="仿宋"/>
        </w:rPr>
        <w:t>（二）</w:t>
      </w:r>
      <w:bookmarkEnd w:id="38"/>
      <w:r>
        <w:rPr>
          <w:rFonts w:hint="eastAsia" w:ascii="仿宋" w:hAnsi="仿宋"/>
        </w:rPr>
        <w:t>IPO直接定价发行流程</w:t>
      </w:r>
      <w:bookmarkEnd w:id="39"/>
    </w:p>
    <w:bookmarkEnd w:id="24"/>
    <w:bookmarkEnd w:id="25"/>
    <w:p>
      <w:pPr>
        <w:adjustRightInd w:val="0"/>
        <w:snapToGrid w:val="0"/>
        <w:spacing w:line="560" w:lineRule="exact"/>
        <w:ind w:firstLine="640" w:firstLineChars="200"/>
        <w:rPr>
          <w:rFonts w:ascii="仿宋" w:hAnsi="仿宋" w:eastAsia="仿宋"/>
          <w:sz w:val="32"/>
          <w:szCs w:val="32"/>
        </w:rPr>
      </w:pPr>
      <w:bookmarkStart w:id="40" w:name="_Toc47970898"/>
      <w:r>
        <w:rPr>
          <w:rFonts w:hint="eastAsia" w:ascii="仿宋" w:hAnsi="仿宋" w:eastAsia="仿宋"/>
          <w:sz w:val="32"/>
          <w:szCs w:val="32"/>
        </w:rPr>
        <w:t>（1）T-3日或之前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主承销商提交《上市提示公告》《</w:t>
      </w:r>
      <w:r>
        <w:rPr>
          <w:rFonts w:ascii="仿宋" w:hAnsi="仿宋" w:eastAsia="仿宋"/>
          <w:sz w:val="32"/>
          <w:szCs w:val="32"/>
        </w:rPr>
        <w:t>招股说明书</w:t>
      </w:r>
      <w:r>
        <w:rPr>
          <w:rFonts w:hint="eastAsia" w:ascii="仿宋" w:hAnsi="仿宋" w:eastAsia="仿宋"/>
          <w:sz w:val="32"/>
          <w:szCs w:val="32"/>
        </w:rPr>
        <w:t>》《网上路演公告》等公告的信息披露申请。《招股说明书》应当按照相关内容与格式准则要求披露相关附件。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主承销商</w:t>
      </w:r>
      <w:r>
        <w:rPr>
          <w:rFonts w:hint="eastAsia" w:ascii="仿宋" w:hAnsi="仿宋" w:eastAsia="仿宋"/>
          <w:sz w:val="32"/>
          <w:szCs w:val="32"/>
        </w:rPr>
        <w:t>向</w:t>
      </w:r>
      <w:r>
        <w:rPr>
          <w:rFonts w:ascii="仿宋" w:hAnsi="仿宋" w:eastAsia="仿宋"/>
          <w:sz w:val="32"/>
          <w:szCs w:val="32"/>
        </w:rPr>
        <w:t>中国结算深圳分公司结算业务部</w:t>
      </w:r>
      <w:r>
        <w:rPr>
          <w:rFonts w:hint="eastAsia" w:ascii="仿宋" w:hAnsi="仿宋" w:eastAsia="仿宋"/>
          <w:sz w:val="32"/>
          <w:szCs w:val="32"/>
        </w:rPr>
        <w:t>提交</w:t>
      </w:r>
      <w:r>
        <w:rPr>
          <w:rFonts w:ascii="仿宋" w:hAnsi="仿宋" w:eastAsia="仿宋"/>
          <w:sz w:val="32"/>
          <w:szCs w:val="32"/>
        </w:rPr>
        <w:t>《</w:t>
      </w:r>
      <w:r>
        <w:rPr>
          <w:rFonts w:hint="eastAsia" w:ascii="仿宋" w:hAnsi="仿宋" w:eastAsia="仿宋"/>
          <w:sz w:val="32"/>
          <w:szCs w:val="32"/>
        </w:rPr>
        <w:t>股票首次公开发行认购资金划款委托书</w:t>
      </w:r>
      <w:r>
        <w:rPr>
          <w:rFonts w:ascii="仿宋" w:hAnsi="仿宋" w:eastAsia="仿宋"/>
          <w:sz w:val="32"/>
          <w:szCs w:val="32"/>
        </w:rPr>
        <w:t>》（下载网址：www.chinaclear.cn-服务支持-业务表格-深圳市场-中国结算深圳分公司证券资金结算业务表格）</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T-2</w:t>
      </w:r>
      <w:r>
        <w:rPr>
          <w:rFonts w:hint="eastAsia" w:ascii="仿宋" w:hAnsi="仿宋" w:eastAsia="仿宋"/>
          <w:sz w:val="32"/>
          <w:szCs w:val="32"/>
        </w:rPr>
        <w:t>日</w:t>
      </w:r>
      <w:r>
        <w:rPr>
          <w:rFonts w:ascii="仿宋" w:hAnsi="仿宋" w:eastAsia="仿宋"/>
          <w:sz w:val="32"/>
          <w:szCs w:val="32"/>
        </w:rPr>
        <w:t>或之前</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《上市提示公告》《</w:t>
      </w:r>
      <w:r>
        <w:rPr>
          <w:rFonts w:ascii="仿宋" w:hAnsi="仿宋" w:eastAsia="仿宋"/>
          <w:sz w:val="32"/>
          <w:szCs w:val="32"/>
        </w:rPr>
        <w:t>招股说明书</w:t>
      </w:r>
      <w:r>
        <w:rPr>
          <w:rFonts w:hint="eastAsia" w:ascii="仿宋" w:hAnsi="仿宋" w:eastAsia="仿宋"/>
          <w:sz w:val="32"/>
          <w:szCs w:val="32"/>
        </w:rPr>
        <w:t>》等启动发行公告。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w:t>
      </w:r>
      <w:r>
        <w:rPr>
          <w:rFonts w:hint="eastAsia" w:ascii="仿宋" w:hAnsi="仿宋" w:eastAsia="仿宋"/>
          <w:sz w:val="32"/>
          <w:szCs w:val="32"/>
        </w:rPr>
        <w:t>通过“发行上市—公司资料填报”栏目填写并提交公司基本信息、中介信息等内容。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 主承销商协助发行人向中国结算深圳分公司发行人业务部了解股份登记等事宜，相关业务办理请参照中国结算相关业务指南。</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T-2</w:t>
      </w:r>
      <w:r>
        <w:rPr>
          <w:rFonts w:hint="eastAsia" w:ascii="仿宋" w:hAnsi="仿宋" w:eastAsia="仿宋"/>
          <w:sz w:val="32"/>
          <w:szCs w:val="32"/>
        </w:rPr>
        <w:t>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① 在符合条件媒体披露《网上路演公告》。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主承销商通过“</w:t>
      </w:r>
      <w:r>
        <w:rPr>
          <w:rFonts w:ascii="仿宋" w:hAnsi="仿宋" w:eastAsia="仿宋"/>
          <w:sz w:val="32"/>
          <w:szCs w:val="32"/>
        </w:rPr>
        <w:t>发行上市－</w:t>
      </w:r>
      <w:r>
        <w:rPr>
          <w:rFonts w:hint="eastAsia" w:ascii="仿宋" w:hAnsi="仿宋" w:eastAsia="仿宋"/>
          <w:sz w:val="32"/>
          <w:szCs w:val="32"/>
        </w:rPr>
        <w:t>首发</w:t>
      </w:r>
      <w:r>
        <w:rPr>
          <w:rFonts w:ascii="仿宋" w:hAnsi="仿宋" w:eastAsia="仿宋"/>
          <w:sz w:val="32"/>
          <w:szCs w:val="32"/>
        </w:rPr>
        <w:t>基本情况表</w:t>
      </w:r>
      <w:r>
        <w:rPr>
          <w:rFonts w:hint="eastAsia" w:ascii="仿宋" w:hAnsi="仿宋" w:eastAsia="仿宋"/>
          <w:sz w:val="32"/>
          <w:szCs w:val="32"/>
        </w:rPr>
        <w:t>填报”</w:t>
      </w:r>
      <w:r>
        <w:rPr>
          <w:rFonts w:ascii="仿宋" w:hAnsi="仿宋" w:eastAsia="仿宋"/>
          <w:sz w:val="32"/>
          <w:szCs w:val="32"/>
        </w:rPr>
        <w:t>栏目填写</w:t>
      </w:r>
      <w:r>
        <w:rPr>
          <w:rFonts w:hint="eastAsia" w:ascii="仿宋" w:hAnsi="仿宋" w:eastAsia="仿宋"/>
          <w:sz w:val="32"/>
          <w:szCs w:val="32"/>
        </w:rPr>
        <w:t>并</w:t>
      </w:r>
      <w:r>
        <w:rPr>
          <w:rFonts w:ascii="仿宋" w:hAnsi="仿宋" w:eastAsia="仿宋"/>
          <w:sz w:val="32"/>
          <w:szCs w:val="32"/>
        </w:rPr>
        <w:t>提交</w:t>
      </w:r>
      <w:r>
        <w:rPr>
          <w:rFonts w:hint="eastAsia" w:ascii="仿宋" w:hAnsi="仿宋" w:eastAsia="仿宋"/>
          <w:sz w:val="32"/>
          <w:szCs w:val="32"/>
        </w:rPr>
        <w:t>业务申请信息、发行方式等内容，并在该页面同步提交《股票发行申请书》《股票发行基本情况表》作为报备文件。其中，《股票发行申请书》可参考本指南附件的参考格式；《股票发行基本情况表》可以在完成填报首发基本情况表相关内容后直接导出表格并由主承销商盖章扫描上传，也可以在下载空白模板后完成填写并盖章扫描上传。</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③ </w:t>
      </w:r>
      <w:r>
        <w:rPr>
          <w:rFonts w:ascii="仿宋" w:hAnsi="仿宋" w:eastAsia="仿宋"/>
          <w:sz w:val="32"/>
          <w:szCs w:val="32"/>
        </w:rPr>
        <w:t>主承销商</w:t>
      </w:r>
      <w:r>
        <w:rPr>
          <w:rFonts w:hint="eastAsia" w:ascii="仿宋" w:hAnsi="仿宋" w:eastAsia="仿宋"/>
          <w:sz w:val="32"/>
          <w:szCs w:val="32"/>
        </w:rPr>
        <w:t>15:00前提交《发行公告》及《投资风险特别公告》（如有）披露申请。发行人、主承销商应当在《发行公告》中承诺不存在影响本次发行的重大事项。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T-1日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发行人、主承销商进行网上路演。</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在符合条件媒体</w:t>
      </w:r>
      <w:r>
        <w:rPr>
          <w:rFonts w:ascii="仿宋" w:hAnsi="仿宋" w:eastAsia="仿宋"/>
          <w:sz w:val="32"/>
          <w:szCs w:val="32"/>
        </w:rPr>
        <w:t>披露</w:t>
      </w:r>
      <w:r>
        <w:rPr>
          <w:rFonts w:hint="eastAsia" w:ascii="仿宋" w:hAnsi="仿宋" w:eastAsia="仿宋"/>
          <w:sz w:val="32"/>
          <w:szCs w:val="32"/>
        </w:rPr>
        <w:t>《发行公告》及《投资风险特别公告》（如有）。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T日</w:t>
      </w:r>
      <w:r>
        <w:rPr>
          <w:rFonts w:hint="eastAsia" w:ascii="仿宋" w:hAnsi="仿宋" w:eastAsia="仿宋"/>
          <w:sz w:val="32"/>
          <w:szCs w:val="32"/>
        </w:rPr>
        <w:t>（新股申购日）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投资者</w:t>
      </w:r>
      <w:r>
        <w:rPr>
          <w:rFonts w:hint="eastAsia" w:ascii="仿宋" w:hAnsi="仿宋" w:eastAsia="仿宋"/>
          <w:sz w:val="32"/>
          <w:szCs w:val="32"/>
        </w:rPr>
        <w:t>进行</w:t>
      </w:r>
      <w:r>
        <w:rPr>
          <w:rFonts w:ascii="仿宋" w:hAnsi="仿宋" w:eastAsia="仿宋"/>
          <w:sz w:val="32"/>
          <w:szCs w:val="32"/>
        </w:rPr>
        <w:t>申购</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主承销商16:30后</w:t>
      </w:r>
      <w:r>
        <w:rPr>
          <w:rFonts w:hint="eastAsia" w:ascii="仿宋" w:hAnsi="仿宋" w:eastAsia="仿宋"/>
          <w:sz w:val="32"/>
          <w:szCs w:val="32"/>
        </w:rPr>
        <w:t>通过“发行上市—首发上市业务签收”栏目签收新股发行结果，</w:t>
      </w:r>
      <w:r>
        <w:rPr>
          <w:rFonts w:ascii="仿宋" w:hAnsi="仿宋" w:eastAsia="仿宋"/>
          <w:sz w:val="32"/>
          <w:szCs w:val="32"/>
        </w:rPr>
        <w:t>18:00</w:t>
      </w:r>
      <w:r>
        <w:rPr>
          <w:rFonts w:hint="eastAsia" w:ascii="仿宋" w:hAnsi="仿宋" w:eastAsia="仿宋"/>
          <w:sz w:val="32"/>
          <w:szCs w:val="32"/>
        </w:rPr>
        <w:t>前提交《</w:t>
      </w:r>
      <w:r>
        <w:rPr>
          <w:rFonts w:ascii="仿宋" w:hAnsi="仿宋" w:eastAsia="仿宋"/>
          <w:sz w:val="32"/>
          <w:szCs w:val="32"/>
        </w:rPr>
        <w:t>网上申购情况及中签率公告</w:t>
      </w:r>
      <w:r>
        <w:rPr>
          <w:rFonts w:hint="eastAsia" w:ascii="仿宋" w:hAnsi="仿宋" w:eastAsia="仿宋"/>
          <w:sz w:val="32"/>
          <w:szCs w:val="32"/>
        </w:rPr>
        <w:t>》披露申请</w:t>
      </w:r>
      <w:r>
        <w:rPr>
          <w:rFonts w:hint="eastAsia" w:ascii="仿宋" w:hAnsi="仿宋" w:eastAsia="仿宋"/>
          <w:kern w:val="0"/>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③ </w:t>
      </w:r>
      <w:r>
        <w:rPr>
          <w:rFonts w:ascii="仿宋" w:hAnsi="仿宋" w:eastAsia="仿宋"/>
          <w:sz w:val="32"/>
          <w:szCs w:val="32"/>
        </w:rPr>
        <w:t>如网上发行需要摇号，主承销商联系摇号机构，准备T+1日摇号事宜</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T+1日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w:t>
      </w:r>
      <w:r>
        <w:rPr>
          <w:rFonts w:ascii="仿宋" w:hAnsi="仿宋" w:eastAsia="仿宋"/>
          <w:sz w:val="32"/>
          <w:szCs w:val="32"/>
        </w:rPr>
        <w:t>网上申购情况及中签率公告</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如网上发行需要摇号，主承销商上午主持摇号仪式</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w:t>
      </w:r>
      <w:r>
        <w:rPr>
          <w:rFonts w:hint="eastAsia" w:ascii="仿宋" w:hAnsi="仿宋" w:eastAsia="仿宋"/>
          <w:sz w:val="32"/>
          <w:szCs w:val="32"/>
        </w:rPr>
        <w:t>15:00前提交《网上摇号中签结果公告》披露申请，并在该页面同步上传网上摇号公证书作为报备文件。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T+2日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在符合条件媒体</w:t>
      </w:r>
      <w:r>
        <w:rPr>
          <w:rFonts w:ascii="仿宋" w:hAnsi="仿宋" w:eastAsia="仿宋"/>
          <w:sz w:val="32"/>
          <w:szCs w:val="32"/>
        </w:rPr>
        <w:t>披露</w:t>
      </w:r>
      <w:r>
        <w:rPr>
          <w:rFonts w:hint="eastAsia" w:ascii="仿宋" w:hAnsi="仿宋" w:eastAsia="仿宋"/>
          <w:sz w:val="32"/>
          <w:szCs w:val="32"/>
        </w:rPr>
        <w:t>《网上摇号中签结果公告》。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中签投资者向其结算参与人足额缴纳认购资金。</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T+3日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中国结算深圳分公司结算业务部将</w:t>
      </w:r>
      <w:r>
        <w:rPr>
          <w:rFonts w:hint="eastAsia" w:ascii="仿宋" w:hAnsi="仿宋" w:eastAsia="仿宋"/>
          <w:sz w:val="32"/>
          <w:szCs w:val="32"/>
        </w:rPr>
        <w:t>网上</w:t>
      </w:r>
      <w:r>
        <w:rPr>
          <w:rFonts w:ascii="仿宋" w:hAnsi="仿宋" w:eastAsia="仿宋"/>
          <w:sz w:val="32"/>
          <w:szCs w:val="32"/>
        </w:rPr>
        <w:t>认购资金划入主承销商</w:t>
      </w:r>
      <w:r>
        <w:rPr>
          <w:rFonts w:hint="eastAsia" w:ascii="仿宋" w:hAnsi="仿宋" w:eastAsia="仿宋"/>
          <w:sz w:val="32"/>
          <w:szCs w:val="32"/>
        </w:rPr>
        <w:t>指定的自营结算备付金账户。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主承销商16:30后</w:t>
      </w:r>
      <w:r>
        <w:rPr>
          <w:rFonts w:hint="eastAsia" w:ascii="仿宋" w:hAnsi="仿宋" w:eastAsia="仿宋"/>
          <w:kern w:val="0"/>
          <w:sz w:val="32"/>
          <w:szCs w:val="32"/>
        </w:rPr>
        <w:t>签收</w:t>
      </w:r>
      <w:r>
        <w:rPr>
          <w:rFonts w:ascii="仿宋" w:hAnsi="仿宋" w:eastAsia="仿宋"/>
          <w:sz w:val="32"/>
          <w:szCs w:val="32"/>
        </w:rPr>
        <w:t>新股认购结果（含放弃认购结果），18:00</w:t>
      </w:r>
      <w:r>
        <w:rPr>
          <w:rFonts w:hint="eastAsia" w:ascii="仿宋" w:hAnsi="仿宋" w:eastAsia="仿宋"/>
          <w:sz w:val="32"/>
          <w:szCs w:val="32"/>
        </w:rPr>
        <w:t>前提交《发行</w:t>
      </w:r>
      <w:r>
        <w:rPr>
          <w:rFonts w:ascii="仿宋" w:hAnsi="仿宋" w:eastAsia="仿宋"/>
          <w:sz w:val="32"/>
          <w:szCs w:val="32"/>
        </w:rPr>
        <w:t>结果公告</w:t>
      </w:r>
      <w:r>
        <w:rPr>
          <w:rFonts w:hint="eastAsia" w:ascii="仿宋" w:hAnsi="仿宋" w:eastAsia="仿宋"/>
          <w:sz w:val="32"/>
          <w:szCs w:val="32"/>
        </w:rPr>
        <w:t>》披露申请。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T+4日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主承销商将认购资金（含包销）扣除承销费用后划到发行人指定的银行账户</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hint="eastAsia" w:ascii="仿宋" w:hAnsi="仿宋" w:eastAsia="仿宋"/>
          <w:sz w:val="32"/>
          <w:szCs w:val="32"/>
        </w:rPr>
        <w:t xml:space="preserve"> 在符合条件媒体披露《发行</w:t>
      </w:r>
      <w:r>
        <w:rPr>
          <w:rFonts w:ascii="仿宋" w:hAnsi="仿宋" w:eastAsia="仿宋"/>
          <w:sz w:val="32"/>
          <w:szCs w:val="32"/>
        </w:rPr>
        <w:t>结果公告</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w:t>
      </w:r>
      <w:r>
        <w:rPr>
          <w:rFonts w:ascii="仿宋" w:hAnsi="仿宋" w:eastAsia="仿宋"/>
          <w:sz w:val="32"/>
          <w:szCs w:val="32"/>
        </w:rPr>
        <w:t>发行人请会计师事务所验资并出具验资报告</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④ 如有需要，</w:t>
      </w:r>
      <w:r>
        <w:rPr>
          <w:rFonts w:ascii="仿宋" w:hAnsi="仿宋" w:eastAsia="仿宋"/>
          <w:sz w:val="32"/>
          <w:szCs w:val="32"/>
        </w:rPr>
        <w:t>主承销商可</w:t>
      </w:r>
      <w:r>
        <w:rPr>
          <w:rFonts w:hint="eastAsia" w:ascii="仿宋" w:hAnsi="仿宋" w:eastAsia="仿宋"/>
          <w:sz w:val="32"/>
          <w:szCs w:val="32"/>
        </w:rPr>
        <w:t>向</w:t>
      </w:r>
      <w:r>
        <w:rPr>
          <w:rFonts w:ascii="仿宋" w:hAnsi="仿宋" w:eastAsia="仿宋"/>
          <w:sz w:val="32"/>
          <w:szCs w:val="32"/>
        </w:rPr>
        <w:t>中国结算深圳分公司结算业务部领取《关于新股发行认购资金划款的通知》。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（10）</w:t>
      </w:r>
      <w:r>
        <w:rPr>
          <w:rFonts w:ascii="仿宋" w:hAnsi="仿宋" w:eastAsia="仿宋"/>
          <w:sz w:val="32"/>
          <w:szCs w:val="32"/>
        </w:rPr>
        <w:t>T+5日及以后</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主承销商协助发行人尽快办理工商登记变更手续。</w:t>
      </w:r>
    </w:p>
    <w:bookmarkEnd w:id="40"/>
    <w:p>
      <w:pPr>
        <w:pStyle w:val="4"/>
        <w:adjustRightInd w:val="0"/>
        <w:snapToGrid w:val="0"/>
        <w:ind w:firstLine="643" w:firstLineChars="200"/>
        <w:rPr>
          <w:rFonts w:ascii="仿宋" w:hAnsi="仿宋"/>
        </w:rPr>
      </w:pPr>
      <w:bookmarkStart w:id="41" w:name="_Toc74986929"/>
      <w:bookmarkStart w:id="42" w:name="_Toc47970899"/>
      <w:bookmarkStart w:id="43" w:name="_Toc132812829"/>
      <w:r>
        <w:rPr>
          <w:rFonts w:ascii="仿宋" w:hAnsi="仿宋"/>
        </w:rPr>
        <w:t>（</w:t>
      </w:r>
      <w:r>
        <w:rPr>
          <w:rFonts w:hint="eastAsia" w:ascii="仿宋" w:hAnsi="仿宋"/>
        </w:rPr>
        <w:t>三</w:t>
      </w:r>
      <w:r>
        <w:rPr>
          <w:rFonts w:ascii="仿宋" w:hAnsi="仿宋"/>
        </w:rPr>
        <w:t>）</w:t>
      </w:r>
      <w:bookmarkEnd w:id="41"/>
      <w:bookmarkEnd w:id="42"/>
      <w:r>
        <w:rPr>
          <w:rFonts w:ascii="仿宋" w:hAnsi="仿宋"/>
        </w:rPr>
        <w:t>IPO上市</w:t>
      </w:r>
      <w:r>
        <w:rPr>
          <w:rFonts w:hint="eastAsia" w:ascii="仿宋" w:hAnsi="仿宋"/>
        </w:rPr>
        <w:t>流程</w:t>
      </w:r>
      <w:bookmarkEnd w:id="43"/>
    </w:p>
    <w:p>
      <w:pPr>
        <w:adjustRightInd w:val="0"/>
        <w:snapToGrid w:val="0"/>
        <w:spacing w:line="560" w:lineRule="exact"/>
        <w:ind w:firstLine="640" w:firstLineChars="200"/>
        <w:rPr>
          <w:rFonts w:ascii="仿宋" w:hAnsi="仿宋" w:eastAsia="仿宋"/>
          <w:sz w:val="32"/>
          <w:szCs w:val="32"/>
        </w:rPr>
      </w:pPr>
      <w:bookmarkStart w:id="44" w:name="_Toc74986930"/>
      <w:bookmarkStart w:id="45" w:name="_Toc47970900"/>
      <w:r>
        <w:rPr>
          <w:rFonts w:hint="eastAsia" w:ascii="仿宋" w:hAnsi="仿宋" w:eastAsia="仿宋"/>
          <w:sz w:val="32"/>
          <w:szCs w:val="32"/>
        </w:rPr>
        <w:t>主承销商</w:t>
      </w:r>
      <w:r>
        <w:rPr>
          <w:rFonts w:ascii="仿宋" w:hAnsi="仿宋" w:eastAsia="仿宋"/>
          <w:sz w:val="32"/>
          <w:szCs w:val="32"/>
        </w:rPr>
        <w:t>和保荐代表人应当关注在发行人</w:t>
      </w:r>
      <w:r>
        <w:rPr>
          <w:rFonts w:hint="eastAsia" w:ascii="仿宋" w:hAnsi="仿宋" w:eastAsia="仿宋"/>
          <w:sz w:val="32"/>
          <w:szCs w:val="32"/>
        </w:rPr>
        <w:t>股票取得予以注册决定</w:t>
      </w:r>
      <w:r>
        <w:rPr>
          <w:rFonts w:ascii="仿宋" w:hAnsi="仿宋" w:eastAsia="仿宋"/>
          <w:sz w:val="32"/>
          <w:szCs w:val="32"/>
        </w:rPr>
        <w:t>至上市期间发生的可能</w:t>
      </w:r>
      <w:r>
        <w:rPr>
          <w:rFonts w:hint="eastAsia" w:ascii="仿宋" w:hAnsi="仿宋" w:eastAsia="仿宋"/>
          <w:sz w:val="32"/>
          <w:szCs w:val="32"/>
        </w:rPr>
        <w:t>影响发行上市及</w:t>
      </w:r>
      <w:r>
        <w:rPr>
          <w:rFonts w:ascii="仿宋" w:hAnsi="仿宋" w:eastAsia="仿宋"/>
          <w:sz w:val="32"/>
          <w:szCs w:val="32"/>
        </w:rPr>
        <w:t>对投资者投资决策产生重大影响的事项，并及时</w:t>
      </w:r>
      <w:r>
        <w:rPr>
          <w:rFonts w:hint="eastAsia" w:ascii="仿宋" w:hAnsi="仿宋" w:eastAsia="仿宋"/>
          <w:sz w:val="32"/>
          <w:szCs w:val="32"/>
        </w:rPr>
        <w:t>告知本</w:t>
      </w:r>
      <w:r>
        <w:rPr>
          <w:rFonts w:ascii="仿宋" w:hAnsi="仿宋" w:eastAsia="仿宋"/>
          <w:sz w:val="32"/>
          <w:szCs w:val="32"/>
        </w:rPr>
        <w:t>所。</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本所在征询并尊重发行人和承销商对上市时间意愿基础上，根据申购日、启动发行日、注册批复时间先后顺序安排上市日（以下简称L日），保障新股上市平滑有序。L日一般在T+7日至T+11日之间。</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L-</w:t>
      </w:r>
      <w:r>
        <w:rPr>
          <w:rFonts w:hint="eastAsia" w:ascii="仿宋" w:hAnsi="仿宋" w:eastAsia="仿宋"/>
          <w:sz w:val="32"/>
          <w:szCs w:val="32"/>
        </w:rPr>
        <w:t>3</w:t>
      </w:r>
      <w:r>
        <w:rPr>
          <w:rFonts w:ascii="仿宋" w:hAnsi="仿宋" w:eastAsia="仿宋"/>
          <w:sz w:val="32"/>
          <w:szCs w:val="32"/>
        </w:rPr>
        <w:t>日或之前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（1）主承销商协助发行人及时、准确、完整地准备股份登记办理所需材料，确保L-2日上午可获取股本结构表等登记结果文件。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L-3日，主承销商提交《上市公告书》《上市公告书提示性公告》《上市保荐书》及《律师事务所关于上市的法律意见书》披露申请，并同步上传首次公开发行后上市前股东持股情况说明作为报备材料。如上市前股东人数、前十大股东持股情况等信息暂未确定，提交的《上市公告书》相应内容可暂时留空，待确定后再补充完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其中《上市公告书》只需在相关信息披露网站披露，《</w:t>
      </w:r>
      <w:r>
        <w:rPr>
          <w:rFonts w:ascii="仿宋" w:hAnsi="仿宋" w:eastAsia="仿宋"/>
          <w:sz w:val="32"/>
          <w:szCs w:val="32"/>
        </w:rPr>
        <w:t>上市公告书提示性公告</w:t>
      </w:r>
      <w:r>
        <w:rPr>
          <w:rFonts w:hint="eastAsia" w:ascii="仿宋" w:hAnsi="仿宋" w:eastAsia="仿宋"/>
          <w:sz w:val="32"/>
          <w:szCs w:val="32"/>
        </w:rPr>
        <w:t>》显著位置需包含《上市公告书》全文的网络链接、所属网页二维码等，方便投资者通过网络快速查阅。</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3678555</wp:posOffset>
            </wp:positionH>
            <wp:positionV relativeFrom="paragraph">
              <wp:posOffset>436245</wp:posOffset>
            </wp:positionV>
            <wp:extent cx="586740" cy="602615"/>
            <wp:effectExtent l="0" t="0" r="38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6740" cy="602615"/>
                    </a:xfrm>
                    <a:prstGeom prst="rect">
                      <a:avLst/>
                    </a:prstGeom>
                    <a:noFill/>
                  </pic:spPr>
                </pic:pic>
              </a:graphicData>
            </a:graphic>
          </wp:anchor>
        </w:drawing>
      </w:r>
      <w:r>
        <w:rPr>
          <w:rFonts w:hint="eastAsia" w:ascii="仿宋" w:hAnsi="仿宋" w:eastAsia="仿宋"/>
          <w:sz w:val="32"/>
          <w:szCs w:val="32"/>
        </w:rPr>
        <w:t>《上市公告书》全文网络链接参考地址如</w:t>
      </w:r>
      <w:r>
        <w:rPr>
          <w:rFonts w:ascii="仿宋" w:hAnsi="仿宋" w:eastAsia="仿宋"/>
          <w:sz w:val="32"/>
          <w:szCs w:val="32"/>
        </w:rPr>
        <w:t>cninfo.com.cn</w:t>
      </w:r>
      <w:r>
        <w:rPr>
          <w:rFonts w:hint="eastAsia" w:ascii="仿宋" w:hAnsi="仿宋" w:eastAsia="仿宋"/>
          <w:sz w:val="32"/>
          <w:szCs w:val="32"/>
        </w:rPr>
        <w:t>；所属网页二维码参考如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首次公开发行后上市前股东持股情况说明</w:t>
      </w:r>
      <w:r>
        <w:rPr>
          <w:rFonts w:ascii="仿宋" w:hAnsi="仿宋" w:eastAsia="仿宋"/>
          <w:sz w:val="32"/>
          <w:szCs w:val="32"/>
        </w:rPr>
        <w:t>应当包括但不限于下列内容：（1）非社会公众、社会公众持股数量及比例情况；（2）以表格形式详细列明非社会公众的信息：如为法人，应列明名称、</w:t>
      </w:r>
      <w:r>
        <w:rPr>
          <w:rFonts w:hint="eastAsia" w:ascii="仿宋" w:hAnsi="仿宋" w:eastAsia="仿宋"/>
          <w:sz w:val="32"/>
          <w:szCs w:val="32"/>
        </w:rPr>
        <w:t>统一社会信用</w:t>
      </w:r>
      <w:r>
        <w:rPr>
          <w:rFonts w:ascii="仿宋" w:hAnsi="仿宋" w:eastAsia="仿宋"/>
          <w:sz w:val="32"/>
          <w:szCs w:val="32"/>
        </w:rPr>
        <w:t>代码；如为个人，应列明姓名、身份证号码；（3）公司上市后是否因社会公众持股比例较低而存在较大的退市风险。</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根据《深圳证券交易所股票上市规则》《深圳证券交易所创业板股票上市规则》，社会公众是指除了</w:t>
      </w:r>
      <w:r>
        <w:rPr>
          <w:rFonts w:hint="eastAsia" w:ascii="仿宋" w:hAnsi="仿宋" w:eastAsia="仿宋"/>
          <w:sz w:val="32"/>
          <w:szCs w:val="32"/>
        </w:rPr>
        <w:t>下列</w:t>
      </w:r>
      <w:r>
        <w:rPr>
          <w:rFonts w:ascii="仿宋" w:hAnsi="仿宋" w:eastAsia="仿宋"/>
          <w:sz w:val="32"/>
          <w:szCs w:val="32"/>
        </w:rPr>
        <w:t>股东之外的上市公司其他股东：①持有上市公司10%以上股份的股东及其一致行动人；②上市公司的董事、监事、高级管理人员及其关系密切的家庭成员，上市公司董事、监事、高级管理人员直接或者间接控制的法人或者其他组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2.L-2日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（1）10:00</w:t>
      </w:r>
      <w:r>
        <w:rPr>
          <w:rFonts w:ascii="仿宋" w:hAnsi="仿宋" w:eastAsia="仿宋"/>
          <w:sz w:val="32"/>
          <w:szCs w:val="32"/>
        </w:rPr>
        <w:t>前</w:t>
      </w:r>
      <w:r>
        <w:rPr>
          <w:rFonts w:hint="eastAsia" w:ascii="仿宋" w:hAnsi="仿宋" w:eastAsia="仿宋"/>
          <w:sz w:val="32"/>
          <w:szCs w:val="32"/>
        </w:rPr>
        <w:t>，</w:t>
      </w:r>
      <w:r>
        <w:rPr>
          <w:rFonts w:ascii="仿宋" w:hAnsi="仿宋" w:eastAsia="仿宋"/>
          <w:sz w:val="32"/>
          <w:szCs w:val="32"/>
        </w:rPr>
        <w:t>主承销商</w:t>
      </w:r>
      <w:r>
        <w:rPr>
          <w:rFonts w:hint="eastAsia" w:ascii="仿宋" w:hAnsi="仿宋" w:eastAsia="仿宋"/>
          <w:sz w:val="32"/>
          <w:szCs w:val="32"/>
        </w:rPr>
        <w:t>通过“</w:t>
      </w:r>
      <w:r>
        <w:rPr>
          <w:rFonts w:ascii="仿宋" w:hAnsi="仿宋" w:eastAsia="仿宋"/>
          <w:sz w:val="32"/>
          <w:szCs w:val="32"/>
        </w:rPr>
        <w:t>发行上市－</w:t>
      </w:r>
      <w:r>
        <w:rPr>
          <w:rFonts w:hint="eastAsia" w:ascii="仿宋" w:hAnsi="仿宋" w:eastAsia="仿宋"/>
          <w:sz w:val="32"/>
          <w:szCs w:val="32"/>
        </w:rPr>
        <w:t>首发</w:t>
      </w:r>
      <w:r>
        <w:rPr>
          <w:rFonts w:ascii="仿宋" w:hAnsi="仿宋" w:eastAsia="仿宋"/>
          <w:sz w:val="32"/>
          <w:szCs w:val="32"/>
        </w:rPr>
        <w:t>上市数据填报</w:t>
      </w:r>
      <w:r>
        <w:rPr>
          <w:rFonts w:hint="eastAsia" w:ascii="仿宋" w:hAnsi="仿宋" w:eastAsia="仿宋"/>
          <w:sz w:val="32"/>
          <w:szCs w:val="32"/>
        </w:rPr>
        <w:t>”</w:t>
      </w:r>
      <w:r>
        <w:rPr>
          <w:rFonts w:ascii="仿宋" w:hAnsi="仿宋" w:eastAsia="仿宋"/>
          <w:sz w:val="32"/>
          <w:szCs w:val="32"/>
        </w:rPr>
        <w:t>栏目填写</w:t>
      </w:r>
      <w:r>
        <w:rPr>
          <w:rFonts w:hint="eastAsia" w:ascii="仿宋" w:hAnsi="仿宋" w:eastAsia="仿宋"/>
          <w:sz w:val="32"/>
          <w:szCs w:val="32"/>
        </w:rPr>
        <w:t>并</w:t>
      </w:r>
      <w:r>
        <w:rPr>
          <w:rFonts w:ascii="仿宋" w:hAnsi="仿宋" w:eastAsia="仿宋"/>
          <w:sz w:val="32"/>
          <w:szCs w:val="32"/>
        </w:rPr>
        <w:t>提交</w:t>
      </w:r>
      <w:r>
        <w:rPr>
          <w:rFonts w:hint="eastAsia" w:ascii="仿宋" w:hAnsi="仿宋" w:eastAsia="仿宋"/>
          <w:sz w:val="32"/>
          <w:szCs w:val="32"/>
        </w:rPr>
        <w:t>发行上市基本情况，并同步</w:t>
      </w:r>
      <w:r>
        <w:rPr>
          <w:rFonts w:ascii="仿宋" w:hAnsi="仿宋" w:eastAsia="仿宋"/>
          <w:sz w:val="32"/>
          <w:szCs w:val="32"/>
        </w:rPr>
        <w:t>提交股本结构表</w:t>
      </w:r>
      <w:r>
        <w:rPr>
          <w:rFonts w:hint="eastAsia" w:ascii="仿宋" w:hAnsi="仿宋" w:eastAsia="仿宋"/>
          <w:sz w:val="32"/>
          <w:szCs w:val="32"/>
        </w:rPr>
        <w:t>。发行人可于股份到账日次一交易日起，通过中国结算深圳分公司网上业务平台“首次公开发行新股初始登记业务”下的反馈材料下载股本结构表等登记结果文件。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主承销商</w:t>
      </w:r>
      <w:r>
        <w:rPr>
          <w:rFonts w:hint="eastAsia" w:ascii="仿宋" w:hAnsi="仿宋" w:eastAsia="仿宋"/>
          <w:sz w:val="32"/>
          <w:szCs w:val="32"/>
        </w:rPr>
        <w:t>在“发行上市—上市文件报送”栏目</w:t>
      </w:r>
      <w:r>
        <w:rPr>
          <w:rFonts w:ascii="仿宋" w:hAnsi="仿宋" w:eastAsia="仿宋"/>
          <w:sz w:val="32"/>
          <w:szCs w:val="32"/>
        </w:rPr>
        <w:t>报送</w:t>
      </w:r>
      <w:r>
        <w:rPr>
          <w:rFonts w:hint="eastAsia" w:ascii="仿宋" w:hAnsi="仿宋" w:eastAsia="仿宋"/>
          <w:sz w:val="32"/>
          <w:szCs w:val="32"/>
        </w:rPr>
        <w:t>上市申请文件。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）发行人</w:t>
      </w:r>
      <w:r>
        <w:rPr>
          <w:rFonts w:hint="eastAsia" w:ascii="仿宋" w:hAnsi="仿宋" w:eastAsia="仿宋"/>
          <w:sz w:val="32"/>
          <w:szCs w:val="32"/>
        </w:rPr>
        <w:t>接收短信，在主板或者创业板上市公司业务专区接收诚信与规范第一讲通知、</w:t>
      </w:r>
      <w:r>
        <w:rPr>
          <w:rFonts w:ascii="仿宋" w:hAnsi="仿宋" w:eastAsia="仿宋"/>
          <w:sz w:val="32"/>
          <w:szCs w:val="32"/>
        </w:rPr>
        <w:t>股票上市费</w:t>
      </w:r>
      <w:r>
        <w:rPr>
          <w:rFonts w:hint="eastAsia" w:ascii="仿宋" w:hAnsi="仿宋" w:eastAsia="仿宋"/>
          <w:sz w:val="32"/>
          <w:szCs w:val="32"/>
        </w:rPr>
        <w:t>用</w:t>
      </w:r>
      <w:r>
        <w:rPr>
          <w:rFonts w:ascii="仿宋" w:hAnsi="仿宋" w:eastAsia="仿宋"/>
          <w:sz w:val="32"/>
          <w:szCs w:val="32"/>
        </w:rPr>
        <w:t>通知，</w:t>
      </w:r>
      <w:r>
        <w:rPr>
          <w:rFonts w:hint="eastAsia" w:ascii="仿宋" w:hAnsi="仿宋" w:eastAsia="仿宋"/>
          <w:sz w:val="32"/>
          <w:szCs w:val="32"/>
        </w:rPr>
        <w:t>并及时</w:t>
      </w:r>
      <w:r>
        <w:rPr>
          <w:rFonts w:ascii="仿宋" w:hAnsi="仿宋" w:eastAsia="仿宋"/>
          <w:sz w:val="32"/>
          <w:szCs w:val="32"/>
        </w:rPr>
        <w:t>交纳上市</w:t>
      </w:r>
      <w:r>
        <w:rPr>
          <w:rFonts w:hint="eastAsia" w:ascii="仿宋" w:hAnsi="仿宋" w:eastAsia="仿宋"/>
          <w:sz w:val="32"/>
          <w:szCs w:val="32"/>
        </w:rPr>
        <w:t>费用</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）主承销商</w:t>
      </w:r>
      <w:r>
        <w:rPr>
          <w:rFonts w:hint="eastAsia" w:ascii="仿宋" w:hAnsi="仿宋" w:eastAsia="仿宋"/>
          <w:sz w:val="32"/>
          <w:szCs w:val="32"/>
        </w:rPr>
        <w:t>下午通过“发行上市—首发上市业务签收”栏目签收</w:t>
      </w:r>
      <w:r>
        <w:rPr>
          <w:rFonts w:ascii="仿宋" w:hAnsi="仿宋" w:eastAsia="仿宋"/>
          <w:sz w:val="32"/>
          <w:szCs w:val="32"/>
        </w:rPr>
        <w:t>上市通知书</w:t>
      </w:r>
      <w:r>
        <w:rPr>
          <w:rFonts w:hint="eastAsia" w:ascii="仿宋" w:hAnsi="仿宋" w:eastAsia="仿宋"/>
          <w:sz w:val="32"/>
          <w:szCs w:val="32"/>
        </w:rPr>
        <w:t>（电子版），纸质版上市通知书将在新股上市后邮寄。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L-1日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（1）披露</w:t>
      </w:r>
      <w:r>
        <w:rPr>
          <w:rFonts w:hint="eastAsia" w:ascii="仿宋" w:hAnsi="仿宋" w:eastAsia="仿宋"/>
          <w:sz w:val="32"/>
          <w:szCs w:val="32"/>
        </w:rPr>
        <w:t>《</w:t>
      </w:r>
      <w:r>
        <w:rPr>
          <w:rFonts w:ascii="仿宋" w:hAnsi="仿宋" w:eastAsia="仿宋"/>
          <w:sz w:val="32"/>
          <w:szCs w:val="32"/>
        </w:rPr>
        <w:t>上市公告书</w:t>
      </w:r>
      <w:r>
        <w:rPr>
          <w:rFonts w:hint="eastAsia" w:ascii="仿宋" w:hAnsi="仿宋" w:eastAsia="仿宋"/>
          <w:sz w:val="32"/>
          <w:szCs w:val="32"/>
        </w:rPr>
        <w:t>》《</w:t>
      </w:r>
      <w:r>
        <w:rPr>
          <w:rFonts w:ascii="仿宋" w:hAnsi="仿宋" w:eastAsia="仿宋"/>
          <w:sz w:val="32"/>
          <w:szCs w:val="32"/>
        </w:rPr>
        <w:t>上市公告书提示性公告</w:t>
      </w:r>
      <w:r>
        <w:rPr>
          <w:rFonts w:hint="eastAsia" w:ascii="仿宋" w:hAnsi="仿宋" w:eastAsia="仿宋"/>
          <w:sz w:val="32"/>
          <w:szCs w:val="32"/>
        </w:rPr>
        <w:t>》《上市保荐书》《律师事务所关于上市的法律意见书》等公告。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（2）发行人在</w:t>
      </w:r>
      <w:r>
        <w:rPr>
          <w:rFonts w:hint="eastAsia" w:ascii="仿宋" w:hAnsi="仿宋" w:eastAsia="仿宋"/>
          <w:sz w:val="32"/>
          <w:szCs w:val="32"/>
        </w:rPr>
        <w:t>主板或者创业板</w:t>
      </w:r>
      <w:r>
        <w:rPr>
          <w:rFonts w:ascii="仿宋" w:hAnsi="仿宋" w:eastAsia="仿宋"/>
          <w:sz w:val="32"/>
          <w:szCs w:val="32"/>
        </w:rPr>
        <w:t>上市公司业务专区完成发票信息填报，并联系</w:t>
      </w:r>
      <w:r>
        <w:rPr>
          <w:rFonts w:hint="eastAsia" w:ascii="仿宋" w:hAnsi="仿宋" w:eastAsia="仿宋"/>
          <w:sz w:val="32"/>
          <w:szCs w:val="32"/>
        </w:rPr>
        <w:t>本</w:t>
      </w:r>
      <w:r>
        <w:rPr>
          <w:rFonts w:ascii="仿宋" w:hAnsi="仿宋" w:eastAsia="仿宋"/>
          <w:sz w:val="32"/>
          <w:szCs w:val="32"/>
        </w:rPr>
        <w:t>所财务部领取发票</w:t>
      </w:r>
      <w:r>
        <w:rPr>
          <w:rFonts w:hint="eastAsia"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发行人</w:t>
      </w:r>
      <w:r>
        <w:rPr>
          <w:rFonts w:ascii="仿宋" w:hAnsi="仿宋" w:eastAsia="仿宋"/>
          <w:sz w:val="32"/>
          <w:szCs w:val="32"/>
        </w:rPr>
        <w:t>做好上市准备。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L日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按时参加上市仪式。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5.承销总结文件报备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股票上市之日起10个工作日内，主承销商通过保荐业务专区“发行上市—承销总结报告报送”栏目上传承销总结相关文件。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如行使超额配售选择权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在全部发行工作完成后10个工作日内</w:t>
      </w:r>
      <w:r>
        <w:rPr>
          <w:rFonts w:ascii="仿宋" w:hAnsi="仿宋" w:eastAsia="仿宋"/>
          <w:sz w:val="32"/>
          <w:szCs w:val="32"/>
        </w:rPr>
        <w:t>，获授权的主承销商应将超额配售选择权的实施情况以及使用超额配售股票募集资金买入股票的完整记录通过</w:t>
      </w:r>
      <w:r>
        <w:rPr>
          <w:rFonts w:hint="eastAsia" w:ascii="仿宋" w:hAnsi="仿宋" w:eastAsia="仿宋"/>
          <w:sz w:val="32"/>
          <w:szCs w:val="32"/>
        </w:rPr>
        <w:t>保荐业务专区一并上传。</w:t>
      </w:r>
    </w:p>
    <w:p>
      <w:pPr>
        <w:pStyle w:val="4"/>
        <w:adjustRightInd w:val="0"/>
        <w:snapToGrid w:val="0"/>
        <w:ind w:firstLine="643" w:firstLineChars="200"/>
        <w:rPr>
          <w:rFonts w:ascii="仿宋" w:hAnsi="仿宋"/>
        </w:rPr>
      </w:pPr>
      <w:bookmarkStart w:id="46" w:name="_Toc132812830"/>
      <w:r>
        <w:rPr>
          <w:rFonts w:ascii="仿宋" w:hAnsi="仿宋"/>
        </w:rPr>
        <w:t>（</w:t>
      </w:r>
      <w:r>
        <w:rPr>
          <w:rFonts w:hint="eastAsia" w:ascii="仿宋" w:hAnsi="仿宋"/>
        </w:rPr>
        <w:t>四</w:t>
      </w:r>
      <w:r>
        <w:rPr>
          <w:rFonts w:ascii="仿宋" w:hAnsi="仿宋"/>
        </w:rPr>
        <w:t>）</w:t>
      </w:r>
      <w:bookmarkEnd w:id="44"/>
      <w:bookmarkEnd w:id="45"/>
      <w:r>
        <w:rPr>
          <w:rFonts w:hint="eastAsia" w:ascii="仿宋" w:hAnsi="仿宋"/>
        </w:rPr>
        <w:t>转板公司上市流程</w:t>
      </w:r>
      <w:bookmarkEnd w:id="46"/>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转板公司</w:t>
      </w:r>
      <w:r>
        <w:rPr>
          <w:rFonts w:ascii="仿宋" w:hAnsi="仿宋" w:eastAsia="仿宋"/>
          <w:sz w:val="32"/>
          <w:szCs w:val="32"/>
        </w:rPr>
        <w:t>在取得证券代码</w:t>
      </w:r>
      <w:r>
        <w:rPr>
          <w:rFonts w:hint="eastAsia" w:ascii="仿宋" w:hAnsi="仿宋" w:eastAsia="仿宋"/>
          <w:sz w:val="32"/>
          <w:szCs w:val="32"/>
        </w:rPr>
        <w:t>后</w:t>
      </w:r>
      <w:r>
        <w:rPr>
          <w:rFonts w:ascii="仿宋" w:hAnsi="仿宋" w:eastAsia="仿宋"/>
          <w:sz w:val="32"/>
          <w:szCs w:val="32"/>
        </w:rPr>
        <w:t>，即可</w:t>
      </w:r>
      <w:r>
        <w:rPr>
          <w:rFonts w:hint="eastAsia" w:ascii="仿宋" w:hAnsi="仿宋" w:eastAsia="仿宋"/>
          <w:sz w:val="32"/>
          <w:szCs w:val="32"/>
        </w:rPr>
        <w:t>向本</w:t>
      </w:r>
      <w:r>
        <w:rPr>
          <w:rFonts w:ascii="仿宋" w:hAnsi="仿宋" w:eastAsia="仿宋"/>
          <w:sz w:val="32"/>
          <w:szCs w:val="32"/>
        </w:rPr>
        <w:t>所</w:t>
      </w:r>
      <w:r>
        <w:rPr>
          <w:rFonts w:hint="eastAsia" w:ascii="仿宋" w:hAnsi="仿宋" w:eastAsia="仿宋"/>
          <w:sz w:val="32"/>
          <w:szCs w:val="32"/>
        </w:rPr>
        <w:t>CA中心</w:t>
      </w:r>
      <w:r>
        <w:rPr>
          <w:rFonts w:ascii="仿宋" w:hAnsi="仿宋" w:eastAsia="仿宋"/>
          <w:sz w:val="32"/>
          <w:szCs w:val="32"/>
        </w:rPr>
        <w:t>申请创业板</w:t>
      </w:r>
      <w:r>
        <w:rPr>
          <w:rFonts w:hint="eastAsia" w:ascii="仿宋" w:hAnsi="仿宋" w:eastAsia="仿宋"/>
          <w:sz w:val="32"/>
          <w:szCs w:val="32"/>
        </w:rPr>
        <w:t>上市公司</w:t>
      </w:r>
      <w:r>
        <w:rPr>
          <w:rFonts w:ascii="仿宋" w:hAnsi="仿宋" w:eastAsia="仿宋"/>
          <w:sz w:val="32"/>
          <w:szCs w:val="32"/>
        </w:rPr>
        <w:t>业务专区数字证书</w:t>
      </w:r>
      <w:r>
        <w:rPr>
          <w:rFonts w:hint="eastAsia" w:ascii="仿宋" w:hAnsi="仿宋" w:eastAsia="仿宋"/>
          <w:sz w:val="32"/>
          <w:szCs w:val="32"/>
        </w:rPr>
        <w:t>，</w:t>
      </w:r>
      <w:r>
        <w:rPr>
          <w:rFonts w:ascii="仿宋" w:hAnsi="仿宋" w:eastAsia="仿宋"/>
          <w:sz w:val="32"/>
          <w:szCs w:val="32"/>
        </w:rPr>
        <w:t>开通网上业务专区</w:t>
      </w:r>
      <w:r>
        <w:rPr>
          <w:rFonts w:hint="eastAsia" w:ascii="仿宋" w:hAnsi="仿宋" w:eastAsia="仿宋"/>
          <w:sz w:val="32"/>
          <w:szCs w:val="32"/>
        </w:rPr>
        <w:t>，并</w:t>
      </w:r>
      <w:r>
        <w:rPr>
          <w:rFonts w:ascii="仿宋" w:hAnsi="仿宋" w:eastAsia="仿宋"/>
          <w:sz w:val="32"/>
          <w:szCs w:val="32"/>
        </w:rPr>
        <w:t>到</w:t>
      </w:r>
      <w:r>
        <w:rPr>
          <w:rFonts w:hint="eastAsia" w:ascii="仿宋" w:hAnsi="仿宋" w:eastAsia="仿宋"/>
          <w:sz w:val="32"/>
          <w:szCs w:val="32"/>
        </w:rPr>
        <w:t>本</w:t>
      </w:r>
      <w:r>
        <w:rPr>
          <w:rFonts w:ascii="仿宋" w:hAnsi="仿宋" w:eastAsia="仿宋"/>
          <w:sz w:val="32"/>
          <w:szCs w:val="32"/>
        </w:rPr>
        <w:t>所创业板公司管理部办理业务专区的开通事宜。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转板公司上市流程主要包括上市前准备工作和上市业务流程。转板公司应当在本所作出同意转板决定有效期内，完成上市的所有准备工作并向本所申请股票在创业板上市交易。</w:t>
      </w:r>
    </w:p>
    <w:p>
      <w:pPr>
        <w:adjustRightInd w:val="0"/>
        <w:snapToGrid w:val="0"/>
        <w:spacing w:line="560" w:lineRule="exact"/>
        <w:ind w:firstLine="643" w:firstLineChars="200"/>
        <w:rPr>
          <w:rFonts w:ascii="仿宋" w:hAnsi="仿宋" w:eastAsia="仿宋"/>
          <w:b/>
          <w:sz w:val="32"/>
          <w:szCs w:val="32"/>
        </w:rPr>
      </w:pPr>
      <w:r>
        <w:rPr>
          <w:rFonts w:ascii="仿宋" w:hAnsi="仿宋" w:eastAsia="仿宋"/>
          <w:b/>
          <w:sz w:val="32"/>
          <w:szCs w:val="32"/>
        </w:rPr>
        <w:t>1.上市前准备工作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本所作出同意转板决定后，转板公司及保荐人如有重大疑难事项或者规则理解适用方面有重大问题的，可与本所预沟通。保荐人</w:t>
      </w:r>
      <w:r>
        <w:rPr>
          <w:rFonts w:ascii="仿宋" w:hAnsi="仿宋" w:eastAsia="仿宋"/>
          <w:sz w:val="32"/>
          <w:szCs w:val="32"/>
        </w:rPr>
        <w:t>和保荐代表人应当关注在</w:t>
      </w:r>
      <w:r>
        <w:rPr>
          <w:rFonts w:hint="eastAsia" w:ascii="仿宋" w:hAnsi="仿宋" w:eastAsia="仿宋"/>
          <w:sz w:val="32"/>
          <w:szCs w:val="32"/>
        </w:rPr>
        <w:t>转板公司取得本所同意转板决定日</w:t>
      </w:r>
      <w:r>
        <w:rPr>
          <w:rFonts w:ascii="仿宋" w:hAnsi="仿宋" w:eastAsia="仿宋"/>
          <w:sz w:val="32"/>
          <w:szCs w:val="32"/>
        </w:rPr>
        <w:t>至上市期间发生的可能</w:t>
      </w:r>
      <w:r>
        <w:rPr>
          <w:rFonts w:hint="eastAsia" w:ascii="仿宋" w:hAnsi="仿宋" w:eastAsia="仿宋"/>
          <w:sz w:val="32"/>
          <w:szCs w:val="32"/>
        </w:rPr>
        <w:t>影响在创业板上市及</w:t>
      </w:r>
      <w:r>
        <w:rPr>
          <w:rFonts w:ascii="仿宋" w:hAnsi="仿宋" w:eastAsia="仿宋"/>
          <w:sz w:val="32"/>
          <w:szCs w:val="32"/>
        </w:rPr>
        <w:t>对投资者投资决策产生重大影响的事项，并及时</w:t>
      </w:r>
      <w:r>
        <w:rPr>
          <w:rFonts w:hint="eastAsia" w:ascii="仿宋" w:hAnsi="仿宋" w:eastAsia="仿宋"/>
          <w:sz w:val="32"/>
          <w:szCs w:val="32"/>
        </w:rPr>
        <w:t>告知本</w:t>
      </w:r>
      <w:r>
        <w:rPr>
          <w:rFonts w:ascii="仿宋" w:hAnsi="仿宋" w:eastAsia="仿宋"/>
          <w:sz w:val="32"/>
          <w:szCs w:val="32"/>
        </w:rPr>
        <w:t>所。</w:t>
      </w:r>
    </w:p>
    <w:p>
      <w:pPr>
        <w:adjustRightInd w:val="0"/>
        <w:snapToGrid w:val="0"/>
        <w:spacing w:line="560" w:lineRule="exact"/>
        <w:ind w:firstLine="643" w:firstLineChars="200"/>
        <w:rPr>
          <w:rFonts w:ascii="仿宋" w:hAnsi="仿宋" w:eastAsia="仿宋"/>
          <w:b/>
          <w:sz w:val="32"/>
          <w:szCs w:val="32"/>
        </w:rPr>
      </w:pPr>
      <w:r>
        <w:rPr>
          <w:rFonts w:ascii="仿宋" w:hAnsi="仿宋" w:eastAsia="仿宋"/>
          <w:b/>
          <w:sz w:val="32"/>
          <w:szCs w:val="32"/>
        </w:rPr>
        <w:t>2.上市业务流程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（1）Z日前</w:t>
      </w:r>
      <w:r>
        <w:rPr>
          <w:rFonts w:ascii="仿宋" w:hAnsi="仿宋" w:eastAsia="仿宋"/>
          <w:sz w:val="32"/>
          <w:szCs w:val="32"/>
        </w:rPr>
        <w:t>（</w:t>
      </w:r>
      <w:r>
        <w:rPr>
          <w:rFonts w:hint="eastAsia" w:ascii="仿宋" w:hAnsi="仿宋" w:eastAsia="仿宋"/>
          <w:sz w:val="32"/>
          <w:szCs w:val="32"/>
        </w:rPr>
        <w:t>Z</w:t>
      </w:r>
      <w:r>
        <w:rPr>
          <w:rFonts w:ascii="仿宋" w:hAnsi="仿宋" w:eastAsia="仿宋"/>
          <w:sz w:val="32"/>
          <w:szCs w:val="32"/>
        </w:rPr>
        <w:t>日为</w:t>
      </w:r>
      <w:r>
        <w:rPr>
          <w:rFonts w:hint="eastAsia" w:ascii="仿宋" w:hAnsi="仿宋" w:eastAsia="仿宋"/>
          <w:sz w:val="32"/>
          <w:szCs w:val="32"/>
        </w:rPr>
        <w:t>在北交所终止上市日，下同</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转板公司取得本所同意转板决定后，在北交所终止上市前，向中国结算北京分公司提交跨市场转登记申请。根据中国结算相关规则指南，联系中国结算北京分公司办理跨市场转登记业务。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（2）Z日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北交所终止上市后，转板公司及保荐人原则上在终止上市当日，通过保荐业务专区“发行上市—证券代码申请”栏目填写代码申请基本信息、业务时间表等内容并上传相关文件；本所受理申请并通过后，转板公司及保荐人可以确定证券简称与证券代码。转板公司应当在提交申请当日确定证券代码。</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转板公司证券代码分配方式按照《股票代码指南》相关要求执行；证券简称申请参照适用创业板首次公开发行股票相关要求。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转板公司证券简称及证券代码申请时需报送的文件详见本指南申请材料清单。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（3）Q-3日或之前（Q日为跨市场转登记切换日，下同）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保荐人于19:00前通过保荐业务专区“信息披露—信息披露申请”栏目提交《关于转板至深圳证券交易所实施跨市场转登记数据信息切换事项的公告》披露申请。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（4）Q-2日或之前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披露《关于转板至深圳证券交易所实施跨市场转登记数据信息切换事项的公告》。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（5）Q日前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按照《深圳证券交易所创业板发行上市审核业务指引第</w:t>
      </w:r>
      <w:r>
        <w:rPr>
          <w:rFonts w:ascii="仿宋" w:hAnsi="仿宋" w:eastAsia="仿宋"/>
          <w:sz w:val="32"/>
          <w:szCs w:val="32"/>
        </w:rPr>
        <w:t>5号——转板</w:t>
      </w:r>
      <w:r>
        <w:rPr>
          <w:rFonts w:hint="eastAsia" w:ascii="仿宋" w:hAnsi="仿宋" w:eastAsia="仿宋"/>
          <w:sz w:val="32"/>
          <w:szCs w:val="32"/>
        </w:rPr>
        <w:t>上市</w:t>
      </w:r>
      <w:r>
        <w:rPr>
          <w:rFonts w:ascii="仿宋" w:hAnsi="仿宋" w:eastAsia="仿宋"/>
          <w:sz w:val="32"/>
          <w:szCs w:val="32"/>
        </w:rPr>
        <w:t>股份相关事项》</w:t>
      </w:r>
      <w:r>
        <w:rPr>
          <w:rFonts w:hint="eastAsia" w:ascii="仿宋" w:hAnsi="仿宋" w:eastAsia="仿宋"/>
          <w:sz w:val="32"/>
          <w:szCs w:val="32"/>
        </w:rPr>
        <w:t>及本所相关要求，通过保荐业务专区“转板减持控制数据填报”栏目填报股份限售数据、持股1%以上股东减持控制数据以及深市股票账户等相关信息。本所核对填报数据是否与北交所提供的相关数据一致。核对不一致的，由转板公司查找具体原因。若为转板公司填报或者计算错误，由转板公司修改后再次报送本所。</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6）L-3</w:t>
      </w:r>
      <w:r>
        <w:rPr>
          <w:rFonts w:hint="eastAsia" w:ascii="仿宋" w:hAnsi="仿宋" w:eastAsia="仿宋"/>
          <w:sz w:val="32"/>
          <w:szCs w:val="32"/>
        </w:rPr>
        <w:t>日或之前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 xml:space="preserve">① </w:t>
      </w:r>
      <w:r>
        <w:rPr>
          <w:rFonts w:hint="eastAsia" w:ascii="仿宋" w:hAnsi="仿宋" w:eastAsia="仿宋"/>
          <w:sz w:val="32"/>
          <w:szCs w:val="32"/>
        </w:rPr>
        <w:t>转板公司、保荐人完成跨市场转登记，取得证券登记结果文件。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 保荐人通过保荐业务专区“发行上市—公司资料填报”栏目填写并提交公司基本信息、中介信息等内容。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③ 保荐人通过“信息披露—信息披露申请”栏目提交《向创业板转板上市之上市公告书》《向创业板转板上市之上市公告书提示性公告》《向创业板转板上市报告书》《向创业板转板上市之上市保荐书》《律师事务所关于向创业板转板上市的法律意见书》《公司章程（草案）》等披露申请，需同步上传创业板上市前股东持股情况说明作为报备材料。</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其中《向创业板转板上市之上市公告书》只需在相关信息披露网站披露，《向创业板转板上市之上市公告书提示性公告》显著位置需包含《向创业板转板上市之上市公告书》全文网络链接、所属网页二维码等，方便投资者通过网络快速查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《向创业板转板上市之上市公告书》全文网络链接参考地址如</w:t>
      </w:r>
      <w:r>
        <w:rPr>
          <w:rFonts w:ascii="仿宋" w:hAnsi="仿宋" w:eastAsia="仿宋"/>
          <w:sz w:val="32"/>
          <w:szCs w:val="32"/>
        </w:rPr>
        <w:t>cninfo.com.cn</w:t>
      </w:r>
      <w:r>
        <w:rPr>
          <w:rFonts w:hint="eastAsia" w:ascii="仿宋" w:hAnsi="仿宋" w:eastAsia="仿宋"/>
          <w:sz w:val="32"/>
          <w:szCs w:val="32"/>
        </w:rPr>
        <w:t>；所属网页二维码参考如</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-224790</wp:posOffset>
            </wp:positionV>
            <wp:extent cx="586740" cy="602615"/>
            <wp:effectExtent l="0" t="0" r="381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6740" cy="602615"/>
                    </a:xfrm>
                    <a:prstGeom prst="rect">
                      <a:avLst/>
                    </a:prstGeom>
                    <a:noFill/>
                  </pic:spPr>
                </pic:pic>
              </a:graphicData>
            </a:graphic>
          </wp:anchor>
        </w:drawing>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（7）L-2日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 xml:space="preserve">① </w:t>
      </w:r>
      <w:r>
        <w:rPr>
          <w:rFonts w:hint="eastAsia" w:ascii="仿宋" w:hAnsi="仿宋" w:eastAsia="仿宋"/>
          <w:sz w:val="32"/>
          <w:szCs w:val="32"/>
        </w:rPr>
        <w:t>10:00前，保荐人通过“发行上市－首发上市数据填报”栏目填写并提交上市数据，同步</w:t>
      </w:r>
      <w:r>
        <w:rPr>
          <w:rFonts w:ascii="仿宋" w:hAnsi="仿宋" w:eastAsia="仿宋"/>
          <w:sz w:val="32"/>
          <w:szCs w:val="32"/>
        </w:rPr>
        <w:t>提交</w:t>
      </w:r>
      <w:r>
        <w:rPr>
          <w:rFonts w:hint="eastAsia" w:ascii="仿宋" w:hAnsi="仿宋" w:eastAsia="仿宋"/>
          <w:sz w:val="32"/>
          <w:szCs w:val="32"/>
        </w:rPr>
        <w:t>证券登记结果文件。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②</w:t>
      </w:r>
      <w:r>
        <w:rPr>
          <w:rFonts w:hint="eastAsia" w:ascii="仿宋" w:hAnsi="仿宋" w:eastAsia="仿宋" w:cs="宋体"/>
          <w:sz w:val="32"/>
          <w:szCs w:val="32"/>
        </w:rPr>
        <w:t xml:space="preserve"> </w:t>
      </w:r>
      <w:r>
        <w:rPr>
          <w:rFonts w:hint="eastAsia" w:ascii="仿宋" w:hAnsi="仿宋" w:eastAsia="仿宋"/>
          <w:sz w:val="32"/>
          <w:szCs w:val="32"/>
        </w:rPr>
        <w:t>保荐人通过保荐业务专区“发行上市—上市文件报送”栏目报送上市申请文件。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③</w:t>
      </w:r>
      <w:r>
        <w:rPr>
          <w:rFonts w:hint="eastAsia" w:ascii="仿宋" w:hAnsi="仿宋" w:eastAsia="仿宋"/>
          <w:sz w:val="32"/>
          <w:szCs w:val="32"/>
        </w:rPr>
        <w:t xml:space="preserve"> 转板公司接收通知短信，并在创业板上市公司业务专区接收诚信与规范第一讲通知、股票上市费用通知，并及时交纳上市费用。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 xml:space="preserve">④ </w:t>
      </w:r>
      <w:r>
        <w:rPr>
          <w:rFonts w:hint="eastAsia" w:ascii="仿宋" w:hAnsi="仿宋" w:eastAsia="仿宋"/>
          <w:sz w:val="32"/>
          <w:szCs w:val="32"/>
        </w:rPr>
        <w:t>保荐人下午通过保荐业务专区“发行上市—首发上市业务签收”栏目签收上市通知书（电子版），纸质版上市通知书将在上市后邮寄。</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（8）L-1日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①</w:t>
      </w:r>
      <w:r>
        <w:rPr>
          <w:rFonts w:hint="eastAsia" w:ascii="仿宋" w:hAnsi="仿宋" w:eastAsia="仿宋"/>
          <w:sz w:val="32"/>
          <w:szCs w:val="32"/>
        </w:rPr>
        <w:t xml:space="preserve"> 披露《向创业板转板上市之上市公告书》《向创业板转板上市之上市公告书提示性公告》《向创业板转板上市报告书》《向创业板转板上市之上市保荐书》《律师事务所关于向创业板转板上市的法律意见书》《公司章程（草案）》等相关文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宋体"/>
          <w:sz w:val="32"/>
          <w:szCs w:val="32"/>
        </w:rPr>
        <w:t>② 转板公司</w:t>
      </w:r>
      <w:r>
        <w:rPr>
          <w:rFonts w:hint="eastAsia" w:ascii="仿宋" w:hAnsi="仿宋" w:eastAsia="仿宋"/>
          <w:sz w:val="32"/>
          <w:szCs w:val="32"/>
        </w:rPr>
        <w:t>在创业板上市公司业务专区完成发票信息填报，并联系本所财务部领取发票。</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转板公司做好上市准备。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（9）L日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按时参加上市仪式。</w:t>
      </w:r>
    </w:p>
    <w:p>
      <w:pPr>
        <w:pStyle w:val="3"/>
        <w:adjustRightInd w:val="0"/>
        <w:snapToGrid w:val="0"/>
        <w:ind w:firstLine="640" w:firstLineChars="200"/>
        <w:rPr>
          <w:rFonts w:hint="eastAsia"/>
        </w:rPr>
      </w:pPr>
      <w:bookmarkStart w:id="47" w:name="_Toc132812831"/>
      <w:bookmarkStart w:id="48" w:name="_Toc53667010"/>
    </w:p>
    <w:p>
      <w:pPr>
        <w:pStyle w:val="3"/>
        <w:adjustRightInd w:val="0"/>
        <w:snapToGrid w:val="0"/>
        <w:ind w:firstLine="640" w:firstLineChars="200"/>
      </w:pPr>
      <w:r>
        <w:rPr>
          <w:rFonts w:hint="eastAsia"/>
        </w:rPr>
        <w:t>十二、办理结果及送达</w:t>
      </w:r>
      <w:bookmarkEnd w:id="47"/>
      <w:bookmarkEnd w:id="48"/>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相关业务基本实现电子化、系统化，通过系统交互方式反馈办理结果或者修改意见。本所关于发行承销业务的办理结果将通过保荐业务专区通知承销商。</w:t>
      </w:r>
    </w:p>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49" w:name="_Toc132812832"/>
      <w:r>
        <w:rPr>
          <w:rFonts w:hint="eastAsia"/>
        </w:rPr>
        <w:t>十三、咨询途径</w:t>
      </w:r>
      <w:bookmarkEnd w:id="49"/>
    </w:p>
    <w:p>
      <w:pPr>
        <w:pStyle w:val="4"/>
        <w:adjustRightInd w:val="0"/>
        <w:snapToGrid w:val="0"/>
        <w:ind w:firstLine="643" w:firstLineChars="200"/>
      </w:pPr>
      <w:bookmarkStart w:id="50" w:name="_Toc132812833"/>
      <w:r>
        <w:rPr>
          <w:rFonts w:hint="eastAsia"/>
        </w:rPr>
        <w:t>（一）预沟通安排</w:t>
      </w:r>
      <w:bookmarkEnd w:id="50"/>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发行人首次公开发行股票经本所上市审核委员会审议通过后，如有重大疑难事项或者规则理解适用方面有重大问题的，可与本所预沟通。预沟通邮箱地址为：</w:t>
      </w:r>
      <w:r>
        <w:rPr>
          <w:rFonts w:ascii="仿宋" w:hAnsi="仿宋" w:eastAsia="仿宋"/>
          <w:sz w:val="32"/>
          <w:szCs w:val="32"/>
        </w:rPr>
        <w:t>szfx@szse.cn</w:t>
      </w:r>
      <w:r>
        <w:rPr>
          <w:rFonts w:hint="eastAsia" w:ascii="仿宋" w:hAnsi="仿宋" w:eastAsia="仿宋"/>
          <w:sz w:val="32"/>
          <w:szCs w:val="32"/>
        </w:rPr>
        <w:t>，电话联系方式详见下文。</w:t>
      </w:r>
    </w:p>
    <w:p>
      <w:pPr>
        <w:pStyle w:val="4"/>
        <w:adjustRightInd w:val="0"/>
        <w:snapToGrid w:val="0"/>
        <w:ind w:firstLine="643" w:firstLineChars="200"/>
      </w:pPr>
      <w:bookmarkStart w:id="51" w:name="_Toc132812834"/>
      <w:r>
        <w:rPr>
          <w:rFonts w:hint="eastAsia"/>
        </w:rPr>
        <w:t>（二）相关机构联系方式</w:t>
      </w:r>
      <w:bookmarkEnd w:id="51"/>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58"/>
        <w:gridCol w:w="1701"/>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760"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序号</w:t>
            </w:r>
          </w:p>
        </w:tc>
        <w:tc>
          <w:tcPr>
            <w:tcW w:w="3459" w:type="dxa"/>
            <w:gridSpan w:val="2"/>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部门</w:t>
            </w:r>
          </w:p>
        </w:tc>
        <w:tc>
          <w:tcPr>
            <w:tcW w:w="2126"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电  话</w:t>
            </w:r>
          </w:p>
        </w:tc>
        <w:tc>
          <w:tcPr>
            <w:tcW w:w="2268" w:type="dxa"/>
            <w:vAlign w:val="center"/>
          </w:tcPr>
          <w:p>
            <w:pPr>
              <w:adjustRightInd w:val="0"/>
              <w:snapToGrid w:val="0"/>
              <w:jc w:val="center"/>
              <w:rPr>
                <w:rFonts w:ascii="仿宋" w:hAnsi="仿宋" w:eastAsia="仿宋"/>
                <w:b/>
                <w:sz w:val="24"/>
                <w:szCs w:val="24"/>
              </w:rPr>
            </w:pPr>
            <w:r>
              <w:rPr>
                <w:rFonts w:hint="eastAsia" w:ascii="仿宋" w:hAnsi="仿宋" w:eastAsia="仿宋"/>
                <w:b/>
                <w:sz w:val="24"/>
                <w:szCs w:val="24"/>
              </w:rPr>
              <w:t>传真/邮箱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1</w:t>
            </w:r>
          </w:p>
        </w:tc>
        <w:tc>
          <w:tcPr>
            <w:tcW w:w="3459" w:type="dxa"/>
            <w:gridSpan w:val="2"/>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深交所市场发展部</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0755－8866</w:t>
            </w:r>
            <w:r>
              <w:rPr>
                <w:rFonts w:hint="eastAsia" w:ascii="仿宋" w:hAnsi="仿宋" w:eastAsia="仿宋"/>
                <w:sz w:val="24"/>
                <w:szCs w:val="24"/>
              </w:rPr>
              <w:t>8808</w:t>
            </w:r>
          </w:p>
          <w:p>
            <w:pPr>
              <w:adjustRightInd w:val="0"/>
              <w:snapToGrid w:val="0"/>
              <w:jc w:val="center"/>
              <w:rPr>
                <w:rFonts w:ascii="仿宋" w:hAnsi="仿宋" w:eastAsia="仿宋"/>
                <w:sz w:val="24"/>
                <w:szCs w:val="24"/>
              </w:rPr>
            </w:pPr>
            <w:r>
              <w:rPr>
                <w:rFonts w:ascii="仿宋" w:hAnsi="仿宋" w:eastAsia="仿宋"/>
                <w:sz w:val="24"/>
                <w:szCs w:val="24"/>
              </w:rPr>
              <w:t>0755－8866</w:t>
            </w:r>
            <w:r>
              <w:rPr>
                <w:rFonts w:hint="eastAsia" w:ascii="仿宋" w:hAnsi="仿宋" w:eastAsia="仿宋"/>
                <w:sz w:val="24"/>
                <w:szCs w:val="24"/>
              </w:rPr>
              <w:t>8782</w:t>
            </w:r>
          </w:p>
          <w:p>
            <w:pPr>
              <w:adjustRightInd w:val="0"/>
              <w:snapToGrid w:val="0"/>
              <w:jc w:val="center"/>
              <w:rPr>
                <w:rFonts w:ascii="仿宋" w:hAnsi="仿宋" w:eastAsia="仿宋"/>
                <w:sz w:val="24"/>
                <w:szCs w:val="24"/>
              </w:rPr>
            </w:pPr>
            <w:r>
              <w:rPr>
                <w:rFonts w:ascii="仿宋" w:hAnsi="仿宋" w:eastAsia="仿宋"/>
                <w:sz w:val="24"/>
                <w:szCs w:val="24"/>
              </w:rPr>
              <w:t>0755－8866</w:t>
            </w:r>
            <w:r>
              <w:rPr>
                <w:rFonts w:hint="eastAsia" w:ascii="仿宋" w:hAnsi="仿宋" w:eastAsia="仿宋"/>
                <w:sz w:val="24"/>
                <w:szCs w:val="24"/>
              </w:rPr>
              <w:t>8549</w:t>
            </w:r>
          </w:p>
          <w:p>
            <w:pPr>
              <w:adjustRightInd w:val="0"/>
              <w:snapToGrid w:val="0"/>
              <w:jc w:val="center"/>
              <w:rPr>
                <w:rFonts w:ascii="仿宋" w:hAnsi="仿宋" w:eastAsia="仿宋"/>
                <w:sz w:val="24"/>
                <w:szCs w:val="24"/>
              </w:rPr>
            </w:pPr>
            <w:r>
              <w:rPr>
                <w:rFonts w:ascii="仿宋" w:hAnsi="仿宋" w:eastAsia="仿宋"/>
                <w:sz w:val="24"/>
                <w:szCs w:val="24"/>
              </w:rPr>
              <w:t>0755－8866</w:t>
            </w:r>
            <w:r>
              <w:rPr>
                <w:rFonts w:hint="eastAsia" w:ascii="仿宋" w:hAnsi="仿宋" w:eastAsia="仿宋"/>
                <w:sz w:val="24"/>
                <w:szCs w:val="24"/>
              </w:rPr>
              <w:t>8270</w:t>
            </w:r>
          </w:p>
          <w:p>
            <w:pPr>
              <w:adjustRightInd w:val="0"/>
              <w:snapToGrid w:val="0"/>
              <w:jc w:val="center"/>
              <w:rPr>
                <w:rFonts w:ascii="仿宋" w:hAnsi="仿宋" w:eastAsia="仿宋"/>
                <w:sz w:val="24"/>
                <w:szCs w:val="24"/>
              </w:rPr>
            </w:pPr>
            <w:r>
              <w:rPr>
                <w:rFonts w:ascii="仿宋" w:hAnsi="仿宋" w:eastAsia="仿宋"/>
                <w:sz w:val="24"/>
                <w:szCs w:val="24"/>
              </w:rPr>
              <w:t>0755－8866</w:t>
            </w:r>
            <w:r>
              <w:rPr>
                <w:rFonts w:hint="eastAsia" w:ascii="仿宋" w:hAnsi="仿宋" w:eastAsia="仿宋"/>
                <w:sz w:val="24"/>
                <w:szCs w:val="24"/>
              </w:rPr>
              <w:t>6169</w:t>
            </w:r>
          </w:p>
        </w:tc>
        <w:tc>
          <w:tcPr>
            <w:tcW w:w="2268"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0755-88668254</w:t>
            </w:r>
          </w:p>
          <w:p>
            <w:pPr>
              <w:adjustRightInd w:val="0"/>
              <w:snapToGrid w:val="0"/>
              <w:jc w:val="center"/>
              <w:rPr>
                <w:rFonts w:ascii="仿宋" w:hAnsi="仿宋" w:eastAsia="仿宋"/>
                <w:sz w:val="24"/>
                <w:szCs w:val="24"/>
              </w:rPr>
            </w:pPr>
            <w:r>
              <w:rPr>
                <w:rFonts w:hint="eastAsia" w:ascii="仿宋" w:hAnsi="仿宋" w:eastAsia="仿宋"/>
                <w:sz w:val="24"/>
                <w:szCs w:val="24"/>
              </w:rPr>
              <w:t>szfx@szse.cn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2</w:t>
            </w:r>
          </w:p>
        </w:tc>
        <w:tc>
          <w:tcPr>
            <w:tcW w:w="3459" w:type="dxa"/>
            <w:gridSpan w:val="2"/>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中国结算深圳分公司</w:t>
            </w:r>
          </w:p>
          <w:p>
            <w:pPr>
              <w:adjustRightInd w:val="0"/>
              <w:snapToGrid w:val="0"/>
              <w:jc w:val="center"/>
              <w:rPr>
                <w:rFonts w:ascii="仿宋" w:hAnsi="仿宋" w:eastAsia="仿宋"/>
                <w:sz w:val="24"/>
                <w:szCs w:val="24"/>
              </w:rPr>
            </w:pPr>
            <w:r>
              <w:rPr>
                <w:rFonts w:hint="eastAsia" w:ascii="仿宋" w:hAnsi="仿宋" w:eastAsia="仿宋"/>
                <w:sz w:val="24"/>
                <w:szCs w:val="24"/>
              </w:rPr>
              <w:t>系统运行部</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0755-25987818</w:t>
            </w:r>
          </w:p>
          <w:p>
            <w:pPr>
              <w:adjustRightInd w:val="0"/>
              <w:snapToGrid w:val="0"/>
              <w:jc w:val="center"/>
              <w:rPr>
                <w:rFonts w:ascii="仿宋" w:hAnsi="仿宋" w:eastAsia="仿宋"/>
                <w:sz w:val="24"/>
                <w:szCs w:val="24"/>
              </w:rPr>
            </w:pPr>
            <w:r>
              <w:rPr>
                <w:rFonts w:ascii="仿宋" w:hAnsi="仿宋" w:eastAsia="仿宋"/>
                <w:sz w:val="24"/>
                <w:szCs w:val="24"/>
              </w:rPr>
              <w:t>0755-88666431</w:t>
            </w:r>
          </w:p>
          <w:p>
            <w:pPr>
              <w:adjustRightInd w:val="0"/>
              <w:snapToGrid w:val="0"/>
              <w:jc w:val="center"/>
              <w:rPr>
                <w:rFonts w:ascii="仿宋" w:hAnsi="仿宋" w:eastAsia="仿宋"/>
                <w:sz w:val="24"/>
                <w:szCs w:val="24"/>
              </w:rPr>
            </w:pPr>
            <w:r>
              <w:rPr>
                <w:rFonts w:ascii="仿宋" w:hAnsi="仿宋" w:eastAsia="仿宋"/>
                <w:sz w:val="24"/>
                <w:szCs w:val="24"/>
              </w:rPr>
              <w:t>0755-88666409</w:t>
            </w:r>
          </w:p>
        </w:tc>
        <w:tc>
          <w:tcPr>
            <w:tcW w:w="2268"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0755-88666425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3</w:t>
            </w:r>
          </w:p>
        </w:tc>
        <w:tc>
          <w:tcPr>
            <w:tcW w:w="3459" w:type="dxa"/>
            <w:gridSpan w:val="2"/>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中国结算深圳分公司</w:t>
            </w:r>
          </w:p>
          <w:p>
            <w:pPr>
              <w:adjustRightInd w:val="0"/>
              <w:snapToGrid w:val="0"/>
              <w:jc w:val="center"/>
              <w:rPr>
                <w:rFonts w:ascii="仿宋" w:hAnsi="仿宋" w:eastAsia="仿宋"/>
                <w:sz w:val="24"/>
                <w:szCs w:val="24"/>
              </w:rPr>
            </w:pPr>
            <w:r>
              <w:rPr>
                <w:rFonts w:hint="eastAsia" w:ascii="仿宋" w:hAnsi="仿宋" w:eastAsia="仿宋"/>
                <w:sz w:val="24"/>
                <w:szCs w:val="24"/>
              </w:rPr>
              <w:t>结算业务部</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0755-21899208</w:t>
            </w:r>
          </w:p>
        </w:tc>
        <w:tc>
          <w:tcPr>
            <w:tcW w:w="2268"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0755-25987433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4</w:t>
            </w:r>
          </w:p>
        </w:tc>
        <w:tc>
          <w:tcPr>
            <w:tcW w:w="3459" w:type="dxa"/>
            <w:gridSpan w:val="2"/>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中国结算深圳分公司</w:t>
            </w:r>
          </w:p>
          <w:p>
            <w:pPr>
              <w:adjustRightInd w:val="0"/>
              <w:snapToGrid w:val="0"/>
              <w:jc w:val="center"/>
              <w:rPr>
                <w:rFonts w:ascii="仿宋" w:hAnsi="仿宋" w:eastAsia="仿宋"/>
                <w:sz w:val="24"/>
                <w:szCs w:val="24"/>
              </w:rPr>
            </w:pPr>
            <w:r>
              <w:rPr>
                <w:rFonts w:hint="eastAsia" w:ascii="仿宋" w:hAnsi="仿宋" w:eastAsia="仿宋"/>
                <w:sz w:val="24"/>
                <w:szCs w:val="24"/>
              </w:rPr>
              <w:t>发行人业务部</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0755-21899306</w:t>
            </w:r>
          </w:p>
        </w:tc>
        <w:tc>
          <w:tcPr>
            <w:tcW w:w="2268"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0755-25947609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0" w:type="dxa"/>
            <w:vMerge w:val="restart"/>
            <w:vAlign w:val="center"/>
          </w:tcPr>
          <w:p>
            <w:pPr>
              <w:adjustRightInd w:val="0"/>
              <w:snapToGrid w:val="0"/>
              <w:jc w:val="center"/>
              <w:rPr>
                <w:rFonts w:ascii="仿宋" w:hAnsi="仿宋" w:eastAsia="仿宋"/>
                <w:sz w:val="24"/>
                <w:szCs w:val="24"/>
              </w:rPr>
            </w:pPr>
            <w:r>
              <w:rPr>
                <w:rFonts w:ascii="仿宋" w:hAnsi="仿宋" w:eastAsia="仿宋"/>
                <w:sz w:val="24"/>
                <w:szCs w:val="24"/>
              </w:rPr>
              <w:t>5</w:t>
            </w:r>
          </w:p>
        </w:tc>
        <w:tc>
          <w:tcPr>
            <w:tcW w:w="3459" w:type="dxa"/>
            <w:gridSpan w:val="2"/>
            <w:vMerge w:val="restart"/>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深交所</w:t>
            </w:r>
            <w:r>
              <w:rPr>
                <w:rFonts w:ascii="仿宋" w:hAnsi="仿宋" w:eastAsia="仿宋"/>
                <w:sz w:val="24"/>
                <w:szCs w:val="24"/>
              </w:rPr>
              <w:t>CA</w:t>
            </w:r>
            <w:r>
              <w:rPr>
                <w:rFonts w:hint="eastAsia" w:ascii="仿宋" w:hAnsi="仿宋" w:eastAsia="仿宋"/>
                <w:sz w:val="24"/>
                <w:szCs w:val="24"/>
              </w:rPr>
              <w:t>证书</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0755-88820030</w:t>
            </w:r>
          </w:p>
          <w:p>
            <w:pPr>
              <w:adjustRightInd w:val="0"/>
              <w:snapToGrid w:val="0"/>
              <w:jc w:val="center"/>
              <w:rPr>
                <w:rFonts w:ascii="仿宋" w:hAnsi="仿宋" w:eastAsia="仿宋"/>
                <w:sz w:val="24"/>
                <w:szCs w:val="24"/>
              </w:rPr>
            </w:pPr>
            <w:r>
              <w:rPr>
                <w:rFonts w:ascii="仿宋" w:hAnsi="仿宋" w:eastAsia="仿宋"/>
                <w:sz w:val="24"/>
                <w:szCs w:val="24"/>
              </w:rPr>
              <w:t>（技术支持）</w:t>
            </w:r>
          </w:p>
        </w:tc>
        <w:tc>
          <w:tcPr>
            <w:tcW w:w="2268" w:type="dxa"/>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0" w:type="dxa"/>
            <w:vMerge w:val="continue"/>
            <w:vAlign w:val="center"/>
          </w:tcPr>
          <w:p>
            <w:pPr>
              <w:adjustRightInd w:val="0"/>
              <w:snapToGrid w:val="0"/>
              <w:jc w:val="center"/>
              <w:rPr>
                <w:rFonts w:ascii="仿宋" w:hAnsi="仿宋" w:eastAsia="仿宋"/>
                <w:sz w:val="24"/>
                <w:szCs w:val="24"/>
              </w:rPr>
            </w:pPr>
          </w:p>
        </w:tc>
        <w:tc>
          <w:tcPr>
            <w:tcW w:w="3459" w:type="dxa"/>
            <w:gridSpan w:val="2"/>
            <w:vMerge w:val="continue"/>
            <w:vAlign w:val="center"/>
          </w:tcPr>
          <w:p>
            <w:pPr>
              <w:adjustRightInd w:val="0"/>
              <w:snapToGrid w:val="0"/>
              <w:jc w:val="center"/>
              <w:rPr>
                <w:rFonts w:ascii="仿宋" w:hAnsi="仿宋" w:eastAsia="仿宋"/>
                <w:sz w:val="24"/>
                <w:szCs w:val="24"/>
              </w:rPr>
            </w:pP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0755-88666172</w:t>
            </w:r>
          </w:p>
          <w:p>
            <w:pPr>
              <w:adjustRightInd w:val="0"/>
              <w:snapToGrid w:val="0"/>
              <w:jc w:val="center"/>
              <w:rPr>
                <w:rFonts w:ascii="仿宋" w:hAnsi="仿宋" w:eastAsia="仿宋"/>
                <w:sz w:val="24"/>
                <w:szCs w:val="24"/>
              </w:rPr>
            </w:pPr>
            <w:r>
              <w:rPr>
                <w:rFonts w:hint="eastAsia" w:ascii="仿宋" w:hAnsi="仿宋" w:eastAsia="仿宋"/>
                <w:sz w:val="24"/>
                <w:szCs w:val="24"/>
              </w:rPr>
              <w:t>（业务申请）</w:t>
            </w:r>
          </w:p>
        </w:tc>
        <w:tc>
          <w:tcPr>
            <w:tcW w:w="2268" w:type="dxa"/>
            <w:vAlign w:val="center"/>
          </w:tcPr>
          <w:p>
            <w:pPr>
              <w:adjustRightInd w:val="0"/>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6</w:t>
            </w:r>
          </w:p>
        </w:tc>
        <w:tc>
          <w:tcPr>
            <w:tcW w:w="1758"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信息披露</w:t>
            </w:r>
          </w:p>
        </w:tc>
        <w:tc>
          <w:tcPr>
            <w:tcW w:w="1701"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深圳证券信息有限公司</w:t>
            </w:r>
          </w:p>
        </w:tc>
        <w:tc>
          <w:tcPr>
            <w:tcW w:w="2126"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0755-83991101</w:t>
            </w:r>
          </w:p>
          <w:p>
            <w:pPr>
              <w:adjustRightInd w:val="0"/>
              <w:snapToGrid w:val="0"/>
              <w:jc w:val="center"/>
              <w:rPr>
                <w:rFonts w:ascii="仿宋" w:hAnsi="仿宋" w:eastAsia="仿宋"/>
                <w:sz w:val="24"/>
                <w:szCs w:val="24"/>
              </w:rPr>
            </w:pPr>
            <w:r>
              <w:rPr>
                <w:rFonts w:ascii="仿宋" w:hAnsi="仿宋" w:eastAsia="仿宋"/>
                <w:sz w:val="24"/>
                <w:szCs w:val="24"/>
              </w:rPr>
              <w:t>（值班电话）</w:t>
            </w:r>
          </w:p>
        </w:tc>
        <w:tc>
          <w:tcPr>
            <w:tcW w:w="2268" w:type="dxa"/>
            <w:shd w:val="clear" w:color="auto" w:fill="auto"/>
            <w:vAlign w:val="center"/>
          </w:tcPr>
          <w:p>
            <w:pPr>
              <w:adjustRightInd w:val="0"/>
              <w:snapToGrid w:val="0"/>
              <w:jc w:val="center"/>
              <w:rPr>
                <w:rFonts w:ascii="仿宋" w:hAnsi="仿宋" w:eastAsia="仿宋"/>
                <w:sz w:val="24"/>
                <w:szCs w:val="24"/>
              </w:rPr>
            </w:pPr>
            <w:r>
              <w:rPr>
                <w:rFonts w:ascii="仿宋" w:hAnsi="仿宋" w:eastAsia="仿宋"/>
                <w:sz w:val="24"/>
                <w:szCs w:val="24"/>
              </w:rPr>
              <w:t>ssi@cninfo.com.cn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0" w:type="dxa"/>
            <w:vMerge w:val="restart"/>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7</w:t>
            </w:r>
          </w:p>
        </w:tc>
        <w:tc>
          <w:tcPr>
            <w:tcW w:w="1758" w:type="dxa"/>
            <w:vMerge w:val="restart"/>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新股摇号抽签</w:t>
            </w:r>
          </w:p>
        </w:tc>
        <w:tc>
          <w:tcPr>
            <w:tcW w:w="1701" w:type="dxa"/>
            <w:vAlign w:val="center"/>
          </w:tcPr>
          <w:p>
            <w:pPr>
              <w:adjustRightInd w:val="0"/>
              <w:snapToGrid w:val="0"/>
              <w:jc w:val="center"/>
              <w:rPr>
                <w:rFonts w:ascii="仿宋" w:hAnsi="仿宋" w:eastAsia="仿宋" w:cs="宋体"/>
                <w:sz w:val="24"/>
                <w:szCs w:val="24"/>
              </w:rPr>
            </w:pPr>
            <w:r>
              <w:rPr>
                <w:rFonts w:hint="eastAsia" w:ascii="仿宋" w:hAnsi="仿宋" w:eastAsia="仿宋"/>
                <w:sz w:val="24"/>
                <w:szCs w:val="24"/>
              </w:rPr>
              <w:t>深圳证券信息有限公司</w:t>
            </w:r>
          </w:p>
        </w:tc>
        <w:tc>
          <w:tcPr>
            <w:tcW w:w="2126" w:type="dxa"/>
            <w:vAlign w:val="center"/>
          </w:tcPr>
          <w:p>
            <w:pPr>
              <w:adjustRightInd w:val="0"/>
              <w:snapToGrid w:val="0"/>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755</w:t>
            </w:r>
            <w:r>
              <w:rPr>
                <w:rFonts w:ascii="仿宋" w:hAnsi="仿宋" w:eastAsia="仿宋"/>
                <w:sz w:val="24"/>
                <w:szCs w:val="24"/>
              </w:rPr>
              <w:t>-83991192</w:t>
            </w:r>
          </w:p>
          <w:p>
            <w:pPr>
              <w:adjustRightInd w:val="0"/>
              <w:snapToGrid w:val="0"/>
              <w:jc w:val="center"/>
              <w:rPr>
                <w:rFonts w:ascii="仿宋" w:hAnsi="仿宋" w:eastAsia="仿宋"/>
                <w:sz w:val="24"/>
                <w:szCs w:val="24"/>
              </w:rPr>
            </w:pPr>
            <w:r>
              <w:rPr>
                <w:rFonts w:ascii="仿宋" w:hAnsi="仿宋" w:eastAsia="仿宋"/>
                <w:sz w:val="24"/>
                <w:szCs w:val="24"/>
              </w:rPr>
              <w:t>0755-83991101</w:t>
            </w:r>
          </w:p>
        </w:tc>
        <w:tc>
          <w:tcPr>
            <w:tcW w:w="2268" w:type="dxa"/>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ssi@cninfo.com.cn</w:t>
            </w:r>
          </w:p>
          <w:p>
            <w:pPr>
              <w:adjustRightInd w:val="0"/>
              <w:snapToGrid w:val="0"/>
              <w:jc w:val="center"/>
              <w:rPr>
                <w:rFonts w:ascii="仿宋" w:hAnsi="仿宋" w:eastAsia="仿宋" w:cs="宋体"/>
                <w:sz w:val="24"/>
                <w:szCs w:val="24"/>
              </w:rPr>
            </w:pPr>
            <w:r>
              <w:rPr>
                <w:rFonts w:ascii="仿宋" w:hAnsi="仿宋" w:eastAsia="仿宋"/>
                <w:sz w:val="24"/>
                <w:szCs w:val="24"/>
              </w:rPr>
              <w:t>ipo@cninfo.com.cn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0" w:type="dxa"/>
            <w:vMerge w:val="continue"/>
            <w:vAlign w:val="center"/>
          </w:tcPr>
          <w:p>
            <w:pPr>
              <w:adjustRightInd w:val="0"/>
              <w:snapToGrid w:val="0"/>
              <w:jc w:val="center"/>
              <w:rPr>
                <w:rFonts w:ascii="仿宋" w:hAnsi="仿宋" w:eastAsia="仿宋"/>
                <w:sz w:val="24"/>
                <w:szCs w:val="24"/>
              </w:rPr>
            </w:pPr>
          </w:p>
        </w:tc>
        <w:tc>
          <w:tcPr>
            <w:tcW w:w="1758" w:type="dxa"/>
            <w:vMerge w:val="continue"/>
            <w:vAlign w:val="center"/>
          </w:tcPr>
          <w:p>
            <w:pPr>
              <w:adjustRightInd w:val="0"/>
              <w:snapToGrid w:val="0"/>
              <w:jc w:val="center"/>
              <w:rPr>
                <w:rFonts w:ascii="仿宋" w:hAnsi="仿宋" w:eastAsia="仿宋"/>
                <w:sz w:val="24"/>
                <w:szCs w:val="24"/>
              </w:rPr>
            </w:pPr>
          </w:p>
        </w:tc>
        <w:tc>
          <w:tcPr>
            <w:tcW w:w="6095" w:type="dxa"/>
            <w:gridSpan w:val="3"/>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其他能够进行摇号抽签的独立第三方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0" w:type="dxa"/>
            <w:vAlign w:val="center"/>
          </w:tcPr>
          <w:p>
            <w:pPr>
              <w:adjustRightInd w:val="0"/>
              <w:snapToGrid w:val="0"/>
              <w:jc w:val="center"/>
              <w:rPr>
                <w:rFonts w:ascii="仿宋" w:hAnsi="仿宋" w:eastAsia="仿宋"/>
                <w:sz w:val="24"/>
                <w:szCs w:val="24"/>
              </w:rPr>
            </w:pPr>
            <w:r>
              <w:rPr>
                <w:rFonts w:ascii="仿宋" w:hAnsi="仿宋" w:eastAsia="仿宋"/>
                <w:sz w:val="24"/>
                <w:szCs w:val="24"/>
              </w:rPr>
              <w:t>8</w:t>
            </w:r>
          </w:p>
        </w:tc>
        <w:tc>
          <w:tcPr>
            <w:tcW w:w="1758" w:type="dxa"/>
            <w:vAlign w:val="center"/>
          </w:tcPr>
          <w:p>
            <w:pPr>
              <w:adjustRightInd w:val="0"/>
              <w:snapToGrid w:val="0"/>
              <w:jc w:val="center"/>
              <w:rPr>
                <w:rFonts w:ascii="仿宋" w:hAnsi="仿宋" w:eastAsia="仿宋"/>
                <w:sz w:val="24"/>
                <w:szCs w:val="24"/>
              </w:rPr>
            </w:pPr>
            <w:r>
              <w:rPr>
                <w:rFonts w:hint="eastAsia" w:ascii="仿宋" w:hAnsi="仿宋" w:eastAsia="仿宋"/>
                <w:sz w:val="24"/>
                <w:szCs w:val="24"/>
              </w:rPr>
              <w:t>承诺函等纸质材料邮寄</w:t>
            </w:r>
          </w:p>
        </w:tc>
        <w:tc>
          <w:tcPr>
            <w:tcW w:w="6095" w:type="dxa"/>
            <w:gridSpan w:val="3"/>
            <w:vAlign w:val="center"/>
          </w:tcPr>
          <w:p>
            <w:pPr>
              <w:adjustRightInd w:val="0"/>
              <w:snapToGrid w:val="0"/>
              <w:jc w:val="center"/>
              <w:rPr>
                <w:rFonts w:ascii="仿宋" w:hAnsi="仿宋" w:eastAsia="仿宋" w:cs="宋体"/>
                <w:sz w:val="24"/>
                <w:szCs w:val="24"/>
              </w:rPr>
            </w:pPr>
            <w:r>
              <w:rPr>
                <w:rFonts w:hint="eastAsia" w:ascii="仿宋" w:hAnsi="仿宋" w:eastAsia="仿宋" w:cs="宋体"/>
                <w:sz w:val="24"/>
                <w:szCs w:val="24"/>
              </w:rPr>
              <w:t>本所相应的公司管理部门</w:t>
            </w:r>
          </w:p>
        </w:tc>
      </w:tr>
    </w:tbl>
    <w:p>
      <w:pPr>
        <w:adjustRightInd w:val="0"/>
        <w:snapToGrid w:val="0"/>
        <w:spacing w:line="560" w:lineRule="exact"/>
        <w:ind w:firstLine="640" w:firstLineChars="200"/>
        <w:rPr>
          <w:rFonts w:ascii="仿宋" w:hAnsi="仿宋" w:eastAsia="仿宋"/>
          <w:sz w:val="32"/>
          <w:szCs w:val="32"/>
        </w:rPr>
      </w:pPr>
    </w:p>
    <w:p>
      <w:pPr>
        <w:pStyle w:val="3"/>
        <w:adjustRightInd w:val="0"/>
        <w:snapToGrid w:val="0"/>
        <w:ind w:firstLine="640" w:firstLineChars="200"/>
      </w:pPr>
      <w:bookmarkStart w:id="52" w:name="_Toc132812835"/>
      <w:r>
        <w:rPr>
          <w:rFonts w:hint="eastAsia"/>
        </w:rPr>
        <w:t>十四、办公地址和时间</w:t>
      </w:r>
      <w:bookmarkEnd w:id="52"/>
    </w:p>
    <w:p>
      <w:pPr>
        <w:pStyle w:val="4"/>
        <w:adjustRightInd w:val="0"/>
        <w:snapToGrid w:val="0"/>
        <w:ind w:firstLine="643" w:firstLineChars="200"/>
      </w:pPr>
      <w:bookmarkStart w:id="53" w:name="_Toc132812836"/>
      <w:r>
        <w:rPr>
          <w:rFonts w:hint="eastAsia"/>
        </w:rPr>
        <w:t>（一）办公地址</w:t>
      </w:r>
      <w:bookmarkEnd w:id="53"/>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1.发行承销业务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业务系统：保荐业务专区、网下发行电子平台</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办公地点：深圳市深南大道2012号深圳证券交易所市场发展部</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2.CA证书办理</w:t>
      </w:r>
    </w:p>
    <w:p>
      <w:pPr>
        <w:adjustRightInd w:val="0"/>
        <w:snapToGrid w:val="0"/>
        <w:spacing w:line="560" w:lineRule="exact"/>
        <w:ind w:firstLine="640" w:firstLineChars="200"/>
        <w:jc w:val="left"/>
        <w:rPr>
          <w:rFonts w:ascii="仿宋" w:hAnsi="仿宋" w:eastAsia="仿宋"/>
          <w:b/>
          <w:sz w:val="32"/>
          <w:szCs w:val="32"/>
        </w:rPr>
      </w:pPr>
      <w:r>
        <w:rPr>
          <w:rFonts w:hint="eastAsia" w:ascii="仿宋" w:hAnsi="仿宋" w:eastAsia="仿宋"/>
          <w:sz w:val="32"/>
          <w:szCs w:val="32"/>
        </w:rPr>
        <w:t>业务系统：深圳证券数字证书认证中心网站（http://ca.szse.cn/）</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办公地点：深圳市深南大道2012号深圳证券交易所7楼M725室</w:t>
      </w:r>
    </w:p>
    <w:p>
      <w:pPr>
        <w:pStyle w:val="4"/>
        <w:adjustRightInd w:val="0"/>
        <w:snapToGrid w:val="0"/>
        <w:ind w:firstLine="643" w:firstLineChars="200"/>
      </w:pPr>
      <w:bookmarkStart w:id="54" w:name="_Toc132812837"/>
      <w:r>
        <w:rPr>
          <w:rFonts w:hint="eastAsia"/>
        </w:rPr>
        <w:t>（二）办公时间</w:t>
      </w:r>
      <w:bookmarkEnd w:id="54"/>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周一至周五 8:30-11:30;13:30-17:00</w:t>
      </w:r>
    </w:p>
    <w:p>
      <w:pPr>
        <w:adjustRightInd w:val="0"/>
        <w:snapToGrid w:val="0"/>
        <w:spacing w:line="560" w:lineRule="exact"/>
        <w:ind w:firstLine="640" w:firstLineChars="200"/>
        <w:rPr>
          <w:rFonts w:ascii="仿宋" w:hAnsi="仿宋" w:eastAsia="仿宋"/>
          <w:sz w:val="32"/>
          <w:szCs w:val="32"/>
        </w:rPr>
      </w:pPr>
    </w:p>
    <w:p>
      <w:pPr>
        <w:widowControl/>
        <w:adjustRightInd w:val="0"/>
        <w:snapToGrid w:val="0"/>
        <w:spacing w:line="560" w:lineRule="exact"/>
        <w:ind w:firstLine="420" w:firstLineChars="200"/>
        <w:jc w:val="left"/>
        <w:rPr>
          <w:rFonts w:eastAsia="黑体" w:asciiTheme="majorHAnsi" w:hAnsiTheme="majorHAnsi" w:cstheme="majorBidi"/>
          <w:bCs/>
          <w:sz w:val="32"/>
          <w:szCs w:val="32"/>
        </w:rPr>
      </w:pPr>
      <w:bookmarkStart w:id="55" w:name="_Toc41551542"/>
      <w:r>
        <w:br w:type="page"/>
      </w:r>
    </w:p>
    <w:p>
      <w:pPr>
        <w:pStyle w:val="3"/>
        <w:adjustRightInd w:val="0"/>
        <w:snapToGrid w:val="0"/>
        <w:ind w:firstLine="640" w:firstLineChars="200"/>
        <w:rPr>
          <w:rFonts w:ascii="仿宋" w:hAnsi="仿宋" w:eastAsia="仿宋" w:cs="仿宋"/>
        </w:rPr>
      </w:pPr>
      <w:bookmarkStart w:id="56" w:name="_Toc132812838"/>
      <w:r>
        <w:rPr>
          <w:rFonts w:hint="eastAsia" w:ascii="仿宋" w:hAnsi="仿宋" w:eastAsia="仿宋" w:cs="仿宋"/>
        </w:rPr>
        <w:t>附件</w:t>
      </w:r>
      <w:bookmarkEnd w:id="56"/>
      <w:r>
        <w:rPr>
          <w:rFonts w:hint="eastAsia" w:ascii="仿宋" w:hAnsi="仿宋" w:eastAsia="仿宋" w:cs="仿宋"/>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1.首次公开发行证券发行与承销方案及投资价值研究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报告自查关注要点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2.部分申请文件参考格式</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3.上市公司业务专区功能及数字证书办理说明</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420" w:firstLineChars="200"/>
      </w:pPr>
    </w:p>
    <w:p>
      <w:pPr>
        <w:widowControl/>
        <w:adjustRightInd w:val="0"/>
        <w:snapToGrid w:val="0"/>
        <w:spacing w:line="560" w:lineRule="exact"/>
        <w:ind w:firstLine="420" w:firstLineChars="200"/>
        <w:jc w:val="left"/>
        <w:rPr>
          <w:rFonts w:eastAsia="黑体" w:asciiTheme="majorHAnsi" w:hAnsiTheme="majorHAnsi" w:cstheme="majorBidi"/>
          <w:bCs/>
          <w:sz w:val="32"/>
          <w:szCs w:val="32"/>
        </w:rPr>
      </w:pPr>
      <w:r>
        <w:br w:type="page"/>
      </w:r>
    </w:p>
    <w:bookmarkEnd w:id="55"/>
    <w:p>
      <w:pPr>
        <w:pStyle w:val="4"/>
        <w:adjustRightInd w:val="0"/>
        <w:snapToGrid w:val="0"/>
        <w:ind w:firstLine="640" w:firstLineChars="200"/>
        <w:rPr>
          <w:rFonts w:ascii="黑体" w:hAnsi="黑体" w:eastAsia="黑体"/>
          <w:b w:val="0"/>
        </w:rPr>
        <w:sectPr>
          <w:footerReference r:id="rId3" w:type="default"/>
          <w:type w:val="continuous"/>
          <w:pgSz w:w="11906" w:h="16838"/>
          <w:pgMar w:top="1440" w:right="1797" w:bottom="1440" w:left="1797" w:header="851" w:footer="992" w:gutter="0"/>
          <w:cols w:space="425" w:num="1"/>
          <w:docGrid w:linePitch="312" w:charSpace="0"/>
        </w:sectPr>
      </w:pPr>
    </w:p>
    <w:p>
      <w:pPr>
        <w:pStyle w:val="4"/>
        <w:keepNext w:val="0"/>
        <w:keepLines w:val="0"/>
        <w:rPr>
          <w:rFonts w:ascii="黑体" w:hAnsi="黑体" w:eastAsia="黑体"/>
          <w:b w:val="0"/>
        </w:rPr>
      </w:pPr>
      <w:bookmarkStart w:id="57" w:name="_Toc2292"/>
      <w:bookmarkStart w:id="58" w:name="_Toc5958"/>
      <w:bookmarkStart w:id="59" w:name="_Toc317"/>
      <w:bookmarkStart w:id="60" w:name="_Toc132810337"/>
      <w:bookmarkStart w:id="61" w:name="_Toc129262221"/>
      <w:bookmarkStart w:id="62" w:name="_Toc132811761"/>
      <w:bookmarkStart w:id="63" w:name="_Toc132812839"/>
      <w:bookmarkStart w:id="64" w:name="_Toc83398732"/>
      <w:bookmarkStart w:id="65" w:name="_Toc10820"/>
      <w:bookmarkStart w:id="66" w:name="_Toc20850"/>
      <w:r>
        <w:rPr>
          <w:rFonts w:ascii="黑体" w:hAnsi="黑体" w:eastAsia="黑体"/>
          <w:b w:val="0"/>
        </w:rPr>
        <w:t>附件1</w:t>
      </w:r>
      <w:bookmarkEnd w:id="57"/>
      <w:bookmarkEnd w:id="58"/>
      <w:bookmarkEnd w:id="59"/>
      <w:bookmarkEnd w:id="60"/>
      <w:bookmarkEnd w:id="61"/>
      <w:bookmarkEnd w:id="62"/>
      <w:bookmarkEnd w:id="63"/>
      <w:bookmarkEnd w:id="64"/>
      <w:bookmarkEnd w:id="65"/>
      <w:bookmarkEnd w:id="66"/>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首次公开发行证券发行与承销方案</w:t>
      </w:r>
    </w:p>
    <w:p>
      <w:pPr>
        <w:spacing w:line="560" w:lineRule="exact"/>
        <w:jc w:val="center"/>
        <w:rPr>
          <w:rFonts w:ascii="方正小标宋简体" w:hAnsi="黑体" w:eastAsia="方正小标宋简体"/>
          <w:b/>
          <w:sz w:val="44"/>
          <w:szCs w:val="44"/>
        </w:rPr>
      </w:pPr>
      <w:r>
        <w:rPr>
          <w:rFonts w:hint="eastAsia" w:ascii="方正小标宋简体" w:hAnsi="黑体" w:eastAsia="方正小标宋简体"/>
          <w:sz w:val="44"/>
          <w:szCs w:val="44"/>
        </w:rPr>
        <w:t>及投资价值研究报告自查关注要点</w:t>
      </w:r>
    </w:p>
    <w:p>
      <w:pPr>
        <w:jc w:val="center"/>
        <w:rPr>
          <w:rFonts w:ascii="仿宋" w:hAnsi="仿宋" w:eastAsia="仿宋" w:cs="仿宋"/>
          <w:bCs/>
          <w:color w:val="000000"/>
          <w:kern w:val="0"/>
          <w:sz w:val="32"/>
          <w:szCs w:val="32"/>
        </w:rPr>
      </w:pPr>
    </w:p>
    <w:p>
      <w:pPr>
        <w:rPr>
          <w:rFonts w:ascii="仿宋" w:hAnsi="仿宋" w:eastAsia="仿宋"/>
          <w:b/>
          <w:sz w:val="24"/>
          <w:szCs w:val="24"/>
        </w:rPr>
      </w:pPr>
      <w:bookmarkStart w:id="67" w:name="_Toc27451"/>
      <w:bookmarkStart w:id="68" w:name="_Toc11227"/>
      <w:bookmarkStart w:id="69" w:name="_Toc28733"/>
      <w:bookmarkStart w:id="70" w:name="_Toc493"/>
      <w:bookmarkStart w:id="71" w:name="_Toc26026"/>
      <w:r>
        <w:rPr>
          <w:rFonts w:hint="eastAsia" w:ascii="仿宋" w:hAnsi="仿宋" w:eastAsia="仿宋"/>
          <w:b/>
          <w:sz w:val="24"/>
          <w:szCs w:val="24"/>
        </w:rPr>
        <w:t>一、发行与承销方案</w:t>
      </w:r>
      <w:bookmarkEnd w:id="67"/>
      <w:bookmarkEnd w:id="68"/>
      <w:bookmarkEnd w:id="69"/>
      <w:bookmarkEnd w:id="70"/>
      <w:bookmarkEnd w:id="71"/>
      <w:r>
        <w:rPr>
          <w:rFonts w:hint="eastAsia" w:ascii="仿宋" w:hAnsi="仿宋" w:eastAsia="仿宋"/>
          <w:b/>
          <w:sz w:val="24"/>
          <w:szCs w:val="24"/>
        </w:rPr>
        <w:t>自查关注要点</w:t>
      </w:r>
    </w:p>
    <w:p>
      <w:pPr>
        <w:pStyle w:val="33"/>
        <w:rPr>
          <w:rFonts w:ascii="仿宋" w:hAnsi="仿宋" w:eastAsia="仿宋"/>
          <w:b/>
          <w:szCs w:val="24"/>
        </w:rPr>
      </w:pPr>
      <w:bookmarkStart w:id="72" w:name="_Toc12421"/>
      <w:bookmarkStart w:id="73" w:name="_Toc11306"/>
      <w:bookmarkStart w:id="74" w:name="_Toc16688"/>
      <w:bookmarkStart w:id="75" w:name="_Toc30416"/>
      <w:bookmarkStart w:id="76" w:name="_Toc4913"/>
      <w:r>
        <w:rPr>
          <w:rFonts w:hint="eastAsia" w:ascii="仿宋" w:hAnsi="仿宋" w:eastAsia="仿宋"/>
          <w:b/>
          <w:szCs w:val="24"/>
        </w:rPr>
        <w:t>（一）报备材料的齐备性与一致性</w:t>
      </w:r>
      <w:bookmarkEnd w:id="72"/>
      <w:bookmarkEnd w:id="73"/>
      <w:bookmarkEnd w:id="74"/>
      <w:bookmarkEnd w:id="75"/>
      <w:bookmarkEnd w:id="76"/>
    </w:p>
    <w:p>
      <w:pPr>
        <w:numPr>
          <w:ilvl w:val="0"/>
          <w:numId w:val="1"/>
        </w:numPr>
        <w:rPr>
          <w:rFonts w:ascii="仿宋" w:hAnsi="仿宋" w:eastAsia="仿宋" w:cs="宋体"/>
          <w:sz w:val="24"/>
          <w:szCs w:val="24"/>
        </w:rPr>
      </w:pPr>
      <w:r>
        <w:rPr>
          <w:rFonts w:hint="eastAsia" w:ascii="仿宋" w:hAnsi="仿宋" w:eastAsia="仿宋"/>
          <w:sz w:val="24"/>
          <w:szCs w:val="24"/>
        </w:rPr>
        <w:t>备</w:t>
      </w:r>
      <w:r>
        <w:rPr>
          <w:rFonts w:hint="eastAsia" w:ascii="仿宋" w:hAnsi="仿宋" w:eastAsia="仿宋" w:cs="宋体"/>
          <w:sz w:val="24"/>
          <w:szCs w:val="24"/>
        </w:rPr>
        <w:t>案材料齐备、内容完整，盖章、签字等要素清晰完整。</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
        </w:numPr>
        <w:rPr>
          <w:rFonts w:ascii="仿宋" w:hAnsi="仿宋" w:eastAsia="仿宋"/>
          <w:sz w:val="24"/>
          <w:szCs w:val="24"/>
        </w:rPr>
      </w:pPr>
      <w:r>
        <w:rPr>
          <w:rFonts w:hint="eastAsia" w:ascii="仿宋" w:hAnsi="仿宋" w:eastAsia="仿宋"/>
          <w:sz w:val="24"/>
          <w:szCs w:val="24"/>
        </w:rPr>
        <w:t>初步询价及推介公告（询价发行）、战略配售方案（如有）、关于</w:t>
      </w:r>
      <w:r>
        <w:rPr>
          <w:rFonts w:hint="eastAsia" w:ascii="仿宋" w:hAnsi="仿宋" w:eastAsia="仿宋" w:cs="宋体"/>
          <w:sz w:val="24"/>
          <w:szCs w:val="24"/>
        </w:rPr>
        <w:t>参与战略配售投资者</w:t>
      </w:r>
      <w:r>
        <w:rPr>
          <w:rFonts w:hint="eastAsia" w:ascii="仿宋" w:hAnsi="仿宋" w:eastAsia="仿宋"/>
          <w:sz w:val="24"/>
          <w:szCs w:val="24"/>
        </w:rPr>
        <w:t xml:space="preserve">的专项核查报告（如有）、发行人及参与战略配售的投资者关于核查事项出具的承诺函（如有）、律师事务所关于战略配售事项的法律意见书（如有），高管及核心员工专项资产管理计划的合同（如有）、专项资产管理计划备案文件（如有），超额配售选择权实施方案（如有）、延期交付协议（如有）等文件内容与《发行与承销方案》一致，不存在不一致的情形。   </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
        </w:numPr>
        <w:rPr>
          <w:rFonts w:ascii="仿宋" w:hAnsi="仿宋" w:eastAsia="仿宋"/>
          <w:sz w:val="24"/>
          <w:szCs w:val="24"/>
        </w:rPr>
      </w:pPr>
      <w:r>
        <w:rPr>
          <w:rFonts w:hint="eastAsia" w:ascii="仿宋" w:hAnsi="仿宋" w:eastAsia="仿宋"/>
          <w:sz w:val="24"/>
          <w:szCs w:val="24"/>
        </w:rPr>
        <w:t>方案报备时填写的业务信息、IPO发行数据等相关内容与发行方案、投价报告等内容一致；如备案材料经反馈修改后重新提交，相关填报数据已同步更新修改。</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pStyle w:val="33"/>
        <w:rPr>
          <w:rFonts w:ascii="仿宋" w:hAnsi="仿宋" w:eastAsia="仿宋"/>
          <w:b/>
          <w:szCs w:val="24"/>
        </w:rPr>
      </w:pPr>
      <w:bookmarkStart w:id="77" w:name="_Toc12631"/>
      <w:bookmarkStart w:id="78" w:name="_Toc8221"/>
      <w:bookmarkStart w:id="79" w:name="_Toc11111"/>
      <w:bookmarkStart w:id="80" w:name="_Toc7271"/>
      <w:bookmarkStart w:id="81" w:name="_Toc28219"/>
      <w:r>
        <w:rPr>
          <w:rFonts w:hint="eastAsia" w:ascii="仿宋" w:hAnsi="仿宋" w:eastAsia="仿宋"/>
          <w:b/>
          <w:szCs w:val="24"/>
        </w:rPr>
        <w:t>（二）发行定价方式</w:t>
      </w:r>
      <w:bookmarkEnd w:id="77"/>
      <w:bookmarkEnd w:id="78"/>
      <w:bookmarkEnd w:id="79"/>
      <w:bookmarkEnd w:id="80"/>
      <w:bookmarkEnd w:id="81"/>
    </w:p>
    <w:p>
      <w:pPr>
        <w:numPr>
          <w:ilvl w:val="0"/>
          <w:numId w:val="2"/>
        </w:numPr>
        <w:rPr>
          <w:rFonts w:ascii="仿宋" w:hAnsi="仿宋" w:eastAsia="仿宋" w:cs="宋体"/>
          <w:sz w:val="24"/>
          <w:szCs w:val="24"/>
        </w:rPr>
      </w:pPr>
      <w:r>
        <w:rPr>
          <w:rFonts w:hint="eastAsia" w:ascii="仿宋" w:hAnsi="仿宋" w:eastAsia="仿宋"/>
          <w:sz w:val="24"/>
          <w:szCs w:val="24"/>
        </w:rPr>
        <w:t xml:space="preserve">方案中是否明确发行方式及相关安排。  </w:t>
      </w:r>
      <w:r>
        <w:rPr>
          <w:rFonts w:hint="eastAsia" w:ascii="仿宋" w:hAnsi="仿宋" w:eastAsia="仿宋" w:cs="宋体"/>
          <w:sz w:val="24"/>
          <w:szCs w:val="24"/>
        </w:rPr>
        <w:t xml:space="preserve">                               </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2"/>
        </w:numPr>
        <w:rPr>
          <w:rFonts w:ascii="仿宋" w:hAnsi="仿宋" w:eastAsia="仿宋" w:cs="宋体"/>
          <w:sz w:val="24"/>
          <w:szCs w:val="24"/>
        </w:rPr>
      </w:pPr>
      <w:r>
        <w:rPr>
          <w:rFonts w:hint="eastAsia" w:ascii="仿宋" w:hAnsi="仿宋" w:eastAsia="仿宋" w:cs="宋体"/>
          <w:sz w:val="24"/>
          <w:szCs w:val="24"/>
        </w:rPr>
        <w:t>方案中是否明确股东公开发售股份安排。</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2"/>
        </w:numPr>
        <w:rPr>
          <w:rFonts w:ascii="仿宋" w:hAnsi="仿宋" w:eastAsia="仿宋" w:cs="宋体"/>
          <w:sz w:val="24"/>
          <w:szCs w:val="24"/>
        </w:rPr>
      </w:pPr>
      <w:r>
        <w:rPr>
          <w:rFonts w:hint="eastAsia" w:ascii="仿宋" w:hAnsi="仿宋" w:eastAsia="仿宋" w:cs="宋体"/>
          <w:sz w:val="24"/>
          <w:szCs w:val="24"/>
        </w:rPr>
        <w:t xml:space="preserve">采用直接定价方式的，是否符合《证券发行与承销管理办法》（以下简称《承销办法》）、《深圳证券交易所首次公开发行证券发行与承销业务实施细则》（以下简称《首发承销细则》）中可以直接定价的情形，即发行人本次公开发行证券数量不超过2000万股，无股东公开发售股份且最近一年经审计的财务报表净利润为正值。                      </w:t>
      </w:r>
    </w:p>
    <w:p>
      <w:pPr>
        <w:jc w:val="right"/>
        <w:rPr>
          <w:rFonts w:ascii="仿宋" w:hAnsi="仿宋" w:eastAsia="仿宋" w:cs="宋体"/>
          <w:sz w:val="24"/>
          <w:szCs w:val="24"/>
        </w:rPr>
      </w:pPr>
      <w:r>
        <w:rPr>
          <w:rFonts w:hint="eastAsia" w:ascii="仿宋" w:hAnsi="仿宋" w:eastAsia="仿宋" w:cs="宋体"/>
          <w:sz w:val="24"/>
          <w:szCs w:val="24"/>
        </w:rPr>
        <w:t>□是  □否  □不适用</w:t>
      </w:r>
    </w:p>
    <w:p>
      <w:pPr>
        <w:numPr>
          <w:ilvl w:val="0"/>
          <w:numId w:val="2"/>
        </w:numPr>
        <w:rPr>
          <w:rFonts w:ascii="仿宋" w:hAnsi="仿宋" w:eastAsia="仿宋" w:cs="宋体"/>
          <w:sz w:val="24"/>
          <w:szCs w:val="24"/>
        </w:rPr>
      </w:pPr>
      <w:r>
        <w:rPr>
          <w:rFonts w:hint="eastAsia" w:ascii="仿宋" w:hAnsi="仿宋" w:eastAsia="仿宋" w:cs="宋体"/>
          <w:sz w:val="24"/>
          <w:szCs w:val="24"/>
        </w:rPr>
        <w:t>采用询价定价方式的，是否已同步报备投资价值研究报告。</w:t>
      </w:r>
    </w:p>
    <w:p>
      <w:pPr>
        <w:jc w:val="right"/>
        <w:rPr>
          <w:rFonts w:ascii="仿宋" w:hAnsi="仿宋" w:eastAsia="仿宋" w:cs="宋体"/>
          <w:sz w:val="24"/>
          <w:szCs w:val="24"/>
        </w:rPr>
      </w:pPr>
      <w:r>
        <w:rPr>
          <w:rFonts w:hint="eastAsia" w:ascii="仿宋" w:hAnsi="仿宋" w:eastAsia="仿宋" w:cs="宋体"/>
          <w:sz w:val="24"/>
          <w:szCs w:val="24"/>
        </w:rPr>
        <w:t>□是  □否  □不适用</w:t>
      </w:r>
    </w:p>
    <w:p>
      <w:pPr>
        <w:numPr>
          <w:ilvl w:val="0"/>
          <w:numId w:val="2"/>
        </w:numPr>
        <w:rPr>
          <w:rFonts w:ascii="仿宋" w:hAnsi="仿宋" w:eastAsia="仿宋" w:cs="宋体"/>
          <w:sz w:val="24"/>
          <w:szCs w:val="24"/>
        </w:rPr>
      </w:pPr>
      <w:r>
        <w:rPr>
          <w:rFonts w:hint="eastAsia" w:ascii="仿宋" w:hAnsi="仿宋" w:eastAsia="仿宋" w:cs="宋体"/>
          <w:sz w:val="24"/>
          <w:szCs w:val="24"/>
        </w:rPr>
        <w:t>采用累计投标询价定价方式的，说明是否属于《关于保障全面实行股票发行注册制下新股平稳有序发行的倡议》（以下简称《倡议》）的情形，即发行数量不低于</w:t>
      </w:r>
      <w:r>
        <w:rPr>
          <w:rFonts w:ascii="仿宋" w:hAnsi="仿宋" w:eastAsia="仿宋" w:cs="宋体"/>
          <w:sz w:val="24"/>
          <w:szCs w:val="24"/>
        </w:rPr>
        <w:t xml:space="preserve">8000万或预计募集资金总额不少于15亿元。                   </w:t>
      </w:r>
    </w:p>
    <w:p>
      <w:pPr>
        <w:jc w:val="right"/>
        <w:rPr>
          <w:rFonts w:ascii="仿宋" w:hAnsi="仿宋" w:eastAsia="仿宋" w:cs="宋体"/>
          <w:sz w:val="24"/>
          <w:szCs w:val="24"/>
        </w:rPr>
      </w:pPr>
      <w:r>
        <w:rPr>
          <w:rFonts w:ascii="仿宋" w:hAnsi="仿宋" w:eastAsia="仿宋" w:cs="宋体"/>
          <w:sz w:val="24"/>
          <w:szCs w:val="24"/>
        </w:rPr>
        <w:sym w:font="Wingdings 2" w:char="00A3"/>
      </w:r>
      <w:r>
        <w:rPr>
          <w:rFonts w:hint="eastAsia" w:ascii="仿宋" w:hAnsi="仿宋" w:eastAsia="仿宋" w:cs="宋体"/>
          <w:sz w:val="24"/>
          <w:szCs w:val="24"/>
        </w:rPr>
        <w:t>是</w:t>
      </w:r>
      <w:r>
        <w:rPr>
          <w:rFonts w:ascii="仿宋" w:hAnsi="仿宋" w:eastAsia="仿宋" w:cs="宋体"/>
          <w:sz w:val="24"/>
          <w:szCs w:val="24"/>
        </w:rPr>
        <w:t xml:space="preserve">  </w:t>
      </w:r>
      <w:r>
        <w:rPr>
          <w:rFonts w:hint="eastAsia" w:ascii="仿宋" w:hAnsi="仿宋" w:eastAsia="仿宋" w:cs="宋体"/>
          <w:sz w:val="24"/>
          <w:szCs w:val="24"/>
        </w:rPr>
        <w:t>□否</w:t>
      </w:r>
      <w:r>
        <w:rPr>
          <w:rFonts w:ascii="仿宋" w:hAnsi="仿宋" w:eastAsia="仿宋" w:cs="宋体"/>
          <w:sz w:val="24"/>
          <w:szCs w:val="24"/>
        </w:rPr>
        <w:t xml:space="preserve">  </w:t>
      </w:r>
      <w:r>
        <w:rPr>
          <w:rFonts w:hint="eastAsia" w:ascii="仿宋" w:hAnsi="仿宋" w:eastAsia="仿宋" w:cs="宋体"/>
          <w:sz w:val="24"/>
          <w:szCs w:val="24"/>
        </w:rPr>
        <w:t>□不适用</w:t>
      </w:r>
    </w:p>
    <w:p>
      <w:pPr>
        <w:numPr>
          <w:ilvl w:val="0"/>
          <w:numId w:val="2"/>
        </w:numPr>
        <w:rPr>
          <w:rFonts w:ascii="仿宋" w:hAnsi="仿宋" w:eastAsia="仿宋" w:cs="宋体"/>
          <w:sz w:val="24"/>
          <w:szCs w:val="24"/>
        </w:rPr>
      </w:pPr>
      <w:r>
        <w:rPr>
          <w:rFonts w:hint="eastAsia" w:ascii="仿宋" w:hAnsi="仿宋" w:eastAsia="仿宋" w:cs="宋体"/>
          <w:sz w:val="24"/>
          <w:szCs w:val="24"/>
        </w:rPr>
        <w:t>如发行数量低于</w:t>
      </w:r>
      <w:r>
        <w:rPr>
          <w:rFonts w:ascii="仿宋" w:hAnsi="仿宋" w:eastAsia="仿宋" w:cs="宋体"/>
          <w:sz w:val="24"/>
          <w:szCs w:val="24"/>
        </w:rPr>
        <w:t xml:space="preserve">8000万，仍拟采用累计投标询价定价方式，方案中是否充分说明预计募集资金总额不少于15亿元的判断依据。                        </w:t>
      </w:r>
    </w:p>
    <w:p>
      <w:pPr>
        <w:jc w:val="right"/>
        <w:rPr>
          <w:rFonts w:ascii="仿宋" w:hAnsi="仿宋" w:eastAsia="仿宋" w:cs="宋体"/>
          <w:sz w:val="24"/>
          <w:szCs w:val="24"/>
        </w:rPr>
      </w:pPr>
      <w:r>
        <w:rPr>
          <w:rFonts w:ascii="仿宋" w:hAnsi="仿宋" w:eastAsia="仿宋" w:cs="宋体"/>
          <w:sz w:val="24"/>
          <w:szCs w:val="24"/>
        </w:rPr>
        <w:sym w:font="Wingdings 2" w:char="00A3"/>
      </w:r>
      <w:r>
        <w:rPr>
          <w:rFonts w:hint="eastAsia" w:ascii="仿宋" w:hAnsi="仿宋" w:eastAsia="仿宋" w:cs="宋体"/>
          <w:sz w:val="24"/>
          <w:szCs w:val="24"/>
        </w:rPr>
        <w:t>是</w:t>
      </w:r>
      <w:r>
        <w:rPr>
          <w:rFonts w:ascii="仿宋" w:hAnsi="仿宋" w:eastAsia="仿宋" w:cs="宋体"/>
          <w:sz w:val="24"/>
          <w:szCs w:val="24"/>
        </w:rPr>
        <w:t xml:space="preserve">  </w:t>
      </w:r>
      <w:r>
        <w:rPr>
          <w:rFonts w:hint="eastAsia" w:ascii="仿宋" w:hAnsi="仿宋" w:eastAsia="仿宋" w:cs="宋体"/>
          <w:sz w:val="24"/>
          <w:szCs w:val="24"/>
        </w:rPr>
        <w:t>□否</w:t>
      </w:r>
      <w:r>
        <w:rPr>
          <w:rFonts w:ascii="仿宋" w:hAnsi="仿宋" w:eastAsia="仿宋" w:cs="宋体"/>
          <w:sz w:val="24"/>
          <w:szCs w:val="24"/>
        </w:rPr>
        <w:t xml:space="preserve">  </w:t>
      </w:r>
      <w:r>
        <w:rPr>
          <w:rFonts w:hint="eastAsia" w:ascii="仿宋" w:hAnsi="仿宋" w:eastAsia="仿宋" w:cs="宋体"/>
          <w:sz w:val="24"/>
          <w:szCs w:val="24"/>
        </w:rPr>
        <w:t>□不适用</w:t>
      </w:r>
    </w:p>
    <w:p>
      <w:pPr>
        <w:numPr>
          <w:ilvl w:val="0"/>
          <w:numId w:val="2"/>
        </w:numPr>
        <w:jc w:val="left"/>
        <w:rPr>
          <w:rFonts w:ascii="仿宋" w:hAnsi="仿宋" w:eastAsia="仿宋" w:cs="宋体"/>
          <w:sz w:val="24"/>
          <w:szCs w:val="24"/>
        </w:rPr>
      </w:pPr>
      <w:r>
        <w:rPr>
          <w:rFonts w:hint="eastAsia" w:ascii="仿宋" w:hAnsi="仿宋" w:eastAsia="仿宋" w:cs="宋体"/>
          <w:sz w:val="24"/>
          <w:szCs w:val="24"/>
        </w:rPr>
        <w:t>如累计投标询价适用募集资金的门槛，发行方案中是否约定如询价结果影响募集资金金额的相关安排，是否明确询价结果导致募集资金总额少于</w:t>
      </w:r>
      <w:r>
        <w:rPr>
          <w:rFonts w:ascii="仿宋" w:hAnsi="仿宋" w:eastAsia="仿宋" w:cs="宋体"/>
          <w:sz w:val="24"/>
          <w:szCs w:val="24"/>
        </w:rPr>
        <w:t>15亿元时</w:t>
      </w:r>
      <w:r>
        <w:rPr>
          <w:rFonts w:hint="eastAsia" w:ascii="仿宋" w:hAnsi="仿宋" w:eastAsia="仿宋" w:cs="宋体"/>
          <w:sz w:val="24"/>
          <w:szCs w:val="24"/>
        </w:rPr>
        <w:t>的</w:t>
      </w:r>
      <w:r>
        <w:rPr>
          <w:rFonts w:ascii="仿宋" w:hAnsi="仿宋" w:eastAsia="仿宋" w:cs="宋体"/>
          <w:sz w:val="24"/>
          <w:szCs w:val="24"/>
        </w:rPr>
        <w:t>处理措施。</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 xml:space="preserve">是  □否  □不适用                     </w:t>
      </w:r>
    </w:p>
    <w:p>
      <w:pPr>
        <w:pStyle w:val="33"/>
        <w:spacing w:before="120" w:beforeLines="50"/>
        <w:rPr>
          <w:rFonts w:ascii="仿宋" w:hAnsi="仿宋" w:eastAsia="仿宋"/>
          <w:b/>
          <w:szCs w:val="24"/>
        </w:rPr>
      </w:pPr>
      <w:bookmarkStart w:id="82" w:name="_Toc11573"/>
      <w:bookmarkStart w:id="83" w:name="_Toc24785"/>
      <w:bookmarkStart w:id="84" w:name="_Toc12259"/>
      <w:bookmarkStart w:id="85" w:name="_Toc26769"/>
      <w:bookmarkStart w:id="86" w:name="_Toc2261"/>
      <w:r>
        <w:rPr>
          <w:rFonts w:hint="eastAsia" w:ascii="仿宋" w:hAnsi="仿宋" w:eastAsia="仿宋"/>
          <w:b/>
          <w:szCs w:val="24"/>
        </w:rPr>
        <w:t xml:space="preserve">（三）询价发行网下投资者要求                     </w:t>
      </w:r>
      <w:r>
        <w:rPr>
          <w:rFonts w:hint="eastAsia" w:ascii="仿宋" w:hAnsi="仿宋" w:eastAsia="仿宋"/>
          <w:b/>
          <w:szCs w:val="24"/>
        </w:rPr>
        <w:sym w:font="Wingdings 2" w:char="00A3"/>
      </w:r>
      <w:r>
        <w:rPr>
          <w:rFonts w:hint="eastAsia" w:ascii="仿宋" w:hAnsi="仿宋" w:eastAsia="仿宋"/>
          <w:b/>
          <w:szCs w:val="24"/>
        </w:rPr>
        <w:t>是  □否  □不适用</w:t>
      </w:r>
      <w:bookmarkEnd w:id="82"/>
      <w:bookmarkEnd w:id="83"/>
      <w:bookmarkEnd w:id="84"/>
      <w:bookmarkEnd w:id="85"/>
      <w:bookmarkEnd w:id="86"/>
    </w:p>
    <w:p>
      <w:pPr>
        <w:numPr>
          <w:ilvl w:val="0"/>
          <w:numId w:val="3"/>
        </w:numPr>
        <w:rPr>
          <w:rFonts w:ascii="仿宋" w:hAnsi="仿宋" w:eastAsia="仿宋" w:cs="宋体"/>
          <w:b/>
          <w:sz w:val="24"/>
          <w:szCs w:val="24"/>
          <w:u w:val="single"/>
        </w:rPr>
      </w:pPr>
      <w:r>
        <w:rPr>
          <w:rFonts w:hint="eastAsia" w:ascii="仿宋" w:hAnsi="仿宋" w:eastAsia="仿宋" w:cs="宋体"/>
          <w:sz w:val="24"/>
          <w:szCs w:val="24"/>
        </w:rPr>
        <w:t>方案中是否明确网下投资者选取标准，即：</w:t>
      </w:r>
    </w:p>
    <w:p>
      <w:pPr>
        <w:rPr>
          <w:rFonts w:ascii="仿宋" w:hAnsi="仿宋" w:eastAsia="仿宋" w:cs="宋体"/>
          <w:sz w:val="24"/>
          <w:szCs w:val="24"/>
        </w:rPr>
      </w:pPr>
      <w:r>
        <w:rPr>
          <w:rFonts w:hint="eastAsia" w:ascii="仿宋" w:hAnsi="仿宋" w:eastAsia="仿宋" w:cs="宋体"/>
          <w:sz w:val="24"/>
          <w:szCs w:val="24"/>
        </w:rPr>
        <w:t>①</w:t>
      </w:r>
      <w:r>
        <w:rPr>
          <w:rFonts w:hint="eastAsia" w:ascii="仿宋" w:hAnsi="仿宋" w:eastAsia="仿宋" w:cs="宋体"/>
          <w:b/>
          <w:sz w:val="24"/>
          <w:szCs w:val="24"/>
          <w:u w:val="single"/>
        </w:rPr>
        <w:t>对于创业板</w:t>
      </w:r>
      <w:r>
        <w:rPr>
          <w:rFonts w:hint="eastAsia" w:ascii="仿宋" w:hAnsi="仿宋" w:eastAsia="仿宋" w:cs="宋体"/>
          <w:sz w:val="24"/>
          <w:szCs w:val="24"/>
        </w:rPr>
        <w:t>，网下投资者应为证券公司、基金管理公司、期货公司、信托公司、保险公司、财务公司、合格境外投资者、私募基金管理人等8类专业机构投资者；</w:t>
      </w:r>
    </w:p>
    <w:p>
      <w:pPr>
        <w:rPr>
          <w:rFonts w:ascii="仿宋" w:hAnsi="仿宋" w:eastAsia="仿宋" w:cs="宋体"/>
          <w:sz w:val="24"/>
          <w:szCs w:val="24"/>
        </w:rPr>
      </w:pPr>
      <w:r>
        <w:rPr>
          <w:rFonts w:hint="eastAsia" w:ascii="仿宋" w:hAnsi="仿宋" w:eastAsia="仿宋" w:cs="宋体"/>
          <w:sz w:val="24"/>
          <w:szCs w:val="24"/>
        </w:rPr>
        <w:t>②</w:t>
      </w:r>
      <w:r>
        <w:rPr>
          <w:rFonts w:hint="eastAsia" w:ascii="仿宋" w:hAnsi="仿宋" w:eastAsia="仿宋" w:cs="宋体"/>
          <w:b/>
          <w:sz w:val="24"/>
          <w:szCs w:val="24"/>
          <w:u w:val="single"/>
        </w:rPr>
        <w:t>对于主板</w:t>
      </w:r>
      <w:r>
        <w:rPr>
          <w:rFonts w:hint="eastAsia" w:ascii="仿宋" w:hAnsi="仿宋" w:eastAsia="仿宋" w:cs="宋体"/>
          <w:b/>
          <w:sz w:val="24"/>
          <w:szCs w:val="24"/>
        </w:rPr>
        <w:t>，</w:t>
      </w:r>
      <w:r>
        <w:rPr>
          <w:rFonts w:hint="eastAsia" w:ascii="仿宋" w:hAnsi="仿宋" w:eastAsia="仿宋" w:cs="宋体"/>
          <w:sz w:val="24"/>
          <w:szCs w:val="24"/>
        </w:rPr>
        <w:t>网下投资者除上述8类专业机构投资者外，还应当包括其他法人和组织、个人投资者。</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是否明确配售对象持有深市市值要求，即配售对象持有的深市非限售A股股份和非限售存托凭证总市值应当在6000万元（含）以上；科创和创业等主题封闭运作基金与封闭运作战略配售基金持有的深市非限售A股股份和非限售存托凭证总市值应当在1000万元（含）以上。</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spacing w:before="60" w:beforeLines="25"/>
        <w:rPr>
          <w:rFonts w:ascii="仿宋" w:hAnsi="仿宋" w:eastAsia="仿宋" w:cs="宋体"/>
          <w:sz w:val="24"/>
          <w:szCs w:val="24"/>
        </w:rPr>
      </w:pPr>
      <w:r>
        <w:rPr>
          <w:rFonts w:hint="eastAsia" w:ascii="仿宋" w:hAnsi="仿宋" w:eastAsia="仿宋" w:cs="宋体"/>
          <w:sz w:val="24"/>
          <w:szCs w:val="24"/>
        </w:rPr>
        <w:t>方案中是否明确配售对象持有深市市值的计算基准，即按照X-2日（X日为初步询价开始日，下同）前20个交易日（含X-2日）的日均持有市值计算。配售对象证券账户开户时间不足20个交易日的，按20个交易日计算日均持有市值。</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spacing w:before="60" w:beforeLines="25"/>
        <w:rPr>
          <w:rFonts w:ascii="仿宋" w:hAnsi="仿宋" w:eastAsia="仿宋" w:cs="宋体"/>
          <w:sz w:val="24"/>
          <w:szCs w:val="24"/>
        </w:rPr>
      </w:pPr>
      <w:r>
        <w:rPr>
          <w:rFonts w:hint="eastAsia" w:ascii="仿宋" w:hAnsi="仿宋" w:eastAsia="仿宋" w:cs="宋体"/>
          <w:sz w:val="24"/>
          <w:szCs w:val="24"/>
        </w:rPr>
        <w:t>方案中是否已明确网下投资者提交定价依据的相关安排，即在网下询价开始前一工作日上午8:30至询价日当日上午9:30 前，网下投资者应当通过深交所网下发行电子平台提交定价依据，并填写建议价格或价格区间。</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spacing w:before="60" w:beforeLines="25"/>
        <w:rPr>
          <w:rFonts w:ascii="仿宋" w:hAnsi="仿宋" w:eastAsia="仿宋" w:cs="宋体"/>
          <w:sz w:val="24"/>
          <w:szCs w:val="24"/>
        </w:rPr>
      </w:pPr>
      <w:r>
        <w:rPr>
          <w:rFonts w:hint="eastAsia" w:ascii="仿宋" w:hAnsi="仿宋" w:eastAsia="仿宋" w:cs="宋体"/>
          <w:sz w:val="24"/>
          <w:szCs w:val="24"/>
        </w:rPr>
        <w:t>方案中是否明确配售对象应遵循行业监管要求，申购金额不得超资产规模。网下投资者为配售对象填报的拟申购金额原则上不得超过该配售对象最近一个月末总资产（按招股意向书刊登日的前一个月最后一个自然日计算）与询价前总资产的孰低值，配售对象成立时间不满一个月的，原则上以询价首日前第五个交易日的产品总资产计算孰低值。</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方案中是否明确网下投资者禁止参与询价的情形。</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方案中是否明确网下投资者的资格核查工作安排。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方案中是否明确网下投资者询价报价的要求，即同一投资者的不同报价不得超过三个，且最高报价不得高于最低报价的120%。</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方案中对有效报价投资者数量的要求是否符合《承销办法》第十条的规定，即公开发行证券数量在4 亿股/份（含）以下的，有效报价投资者的数量不少于10 家；公开发行证券数量在4 亿股/份以上的，有效报价投资者的数量不少于20 家。剔除最高报价部分后有效报价投资者数量不足的，应当中止发行。</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3"/>
        </w:numPr>
        <w:rPr>
          <w:rFonts w:ascii="仿宋" w:hAnsi="仿宋" w:eastAsia="仿宋" w:cs="宋体"/>
          <w:sz w:val="24"/>
          <w:szCs w:val="24"/>
        </w:rPr>
      </w:pPr>
      <w:r>
        <w:rPr>
          <w:rFonts w:hint="eastAsia" w:ascii="仿宋" w:hAnsi="仿宋" w:eastAsia="仿宋" w:cs="宋体"/>
          <w:sz w:val="24"/>
          <w:szCs w:val="24"/>
        </w:rPr>
        <w:t>方案中是否已明确发行人、主承销商确定的有效报价条件，以及明确列示网下投资者无效报价的具体情形。</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r>
        <w:rPr>
          <w:rFonts w:hint="eastAsia" w:ascii="仿宋" w:hAnsi="仿宋" w:eastAsia="仿宋"/>
          <w:b/>
          <w:szCs w:val="24"/>
        </w:rPr>
        <w:t xml:space="preserve">（四）网下投资者保证金缴纳安排                    </w:t>
      </w:r>
      <w:r>
        <w:rPr>
          <w:rFonts w:hint="eastAsia" w:ascii="仿宋" w:hAnsi="仿宋" w:eastAsia="仿宋"/>
          <w:b/>
          <w:szCs w:val="24"/>
        </w:rPr>
        <w:sym w:font="Wingdings 2" w:char="00A3"/>
      </w:r>
      <w:r>
        <w:rPr>
          <w:rFonts w:hint="eastAsia" w:ascii="仿宋" w:hAnsi="仿宋" w:eastAsia="仿宋"/>
          <w:b/>
          <w:szCs w:val="24"/>
        </w:rPr>
        <w:t>是  □否  □不适用</w:t>
      </w:r>
    </w:p>
    <w:p>
      <w:pPr>
        <w:numPr>
          <w:ilvl w:val="0"/>
          <w:numId w:val="4"/>
        </w:numPr>
        <w:rPr>
          <w:rFonts w:ascii="仿宋" w:hAnsi="仿宋" w:eastAsia="仿宋" w:cs="宋体"/>
          <w:sz w:val="24"/>
          <w:szCs w:val="24"/>
        </w:rPr>
      </w:pPr>
      <w:r>
        <w:rPr>
          <w:rFonts w:hint="eastAsia" w:ascii="仿宋" w:hAnsi="仿宋" w:eastAsia="仿宋" w:cs="宋体"/>
          <w:sz w:val="24"/>
          <w:szCs w:val="24"/>
        </w:rPr>
        <w:t>方案中</w:t>
      </w:r>
      <w:r>
        <w:rPr>
          <w:rFonts w:hint="eastAsia" w:ascii="仿宋" w:hAnsi="仿宋" w:eastAsia="仿宋"/>
          <w:sz w:val="24"/>
          <w:szCs w:val="24"/>
        </w:rPr>
        <w:t>关于</w:t>
      </w:r>
      <w:r>
        <w:rPr>
          <w:rFonts w:hint="eastAsia" w:ascii="仿宋" w:hAnsi="仿宋" w:eastAsia="仿宋" w:cs="宋体"/>
          <w:sz w:val="24"/>
          <w:szCs w:val="24"/>
        </w:rPr>
        <w:t>网下投资者缴纳保证金的表述是否符合相关规定。</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4"/>
        </w:numPr>
        <w:rPr>
          <w:rFonts w:ascii="仿宋" w:hAnsi="仿宋" w:eastAsia="仿宋" w:cs="宋体"/>
          <w:sz w:val="24"/>
          <w:szCs w:val="24"/>
        </w:rPr>
      </w:pPr>
      <w:r>
        <w:rPr>
          <w:rFonts w:hint="eastAsia" w:ascii="仿宋" w:hAnsi="仿宋" w:eastAsia="仿宋" w:cs="宋体"/>
          <w:sz w:val="24"/>
          <w:szCs w:val="24"/>
        </w:rPr>
        <w:t>如要求网下投资者缴纳保证金，方案中是否充分论证关于市场发生重大变化的判断依据。</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rPr>
        <w:sym w:font="Wingdings 2" w:char="00A3"/>
      </w:r>
      <w:r>
        <w:rPr>
          <w:rFonts w:hint="eastAsia" w:ascii="仿宋" w:hAnsi="仿宋" w:eastAsia="仿宋" w:cs="宋体"/>
          <w:sz w:val="24"/>
          <w:szCs w:val="24"/>
        </w:rPr>
        <w:t xml:space="preserve">否  </w:t>
      </w:r>
      <w:r>
        <w:rPr>
          <w:rFonts w:hint="eastAsia" w:ascii="仿宋" w:hAnsi="仿宋" w:eastAsia="仿宋" w:cs="宋体"/>
          <w:sz w:val="24"/>
          <w:szCs w:val="24"/>
        </w:rPr>
        <w:sym w:font="Wingdings 2" w:char="00A3"/>
      </w:r>
      <w:r>
        <w:rPr>
          <w:rFonts w:hint="eastAsia" w:ascii="仿宋" w:hAnsi="仿宋" w:eastAsia="仿宋" w:cs="宋体"/>
          <w:sz w:val="24"/>
          <w:szCs w:val="24"/>
        </w:rPr>
        <w:t>不适用</w:t>
      </w:r>
    </w:p>
    <w:p>
      <w:pPr>
        <w:numPr>
          <w:ilvl w:val="0"/>
          <w:numId w:val="4"/>
        </w:numPr>
        <w:rPr>
          <w:rFonts w:ascii="仿宋" w:hAnsi="仿宋" w:eastAsia="仿宋" w:cs="宋体"/>
          <w:sz w:val="24"/>
          <w:szCs w:val="24"/>
        </w:rPr>
      </w:pPr>
      <w:r>
        <w:rPr>
          <w:rFonts w:hint="eastAsia" w:ascii="仿宋" w:hAnsi="仿宋" w:eastAsia="仿宋" w:cs="宋体"/>
          <w:sz w:val="24"/>
          <w:szCs w:val="24"/>
        </w:rPr>
        <w:t>如要求网下投资者缴纳保证金，方案中是否明确收取认购保证金及网下投资者弃购时保证金的处理方式等安排。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87" w:name="_Toc7256"/>
      <w:bookmarkStart w:id="88" w:name="_Toc15984"/>
      <w:bookmarkStart w:id="89" w:name="_Toc20001"/>
      <w:bookmarkStart w:id="90" w:name="_Toc675"/>
      <w:bookmarkStart w:id="91" w:name="_Toc20263"/>
      <w:r>
        <w:rPr>
          <w:rFonts w:hint="eastAsia" w:ascii="仿宋" w:hAnsi="仿宋" w:eastAsia="仿宋"/>
          <w:b/>
          <w:szCs w:val="24"/>
        </w:rPr>
        <w:t xml:space="preserve">（五）询价发行的网上网下初始发行比例及回拨机制   </w:t>
      </w:r>
      <w:r>
        <w:rPr>
          <w:rFonts w:hint="eastAsia" w:ascii="仿宋" w:hAnsi="仿宋" w:eastAsia="仿宋"/>
          <w:b/>
          <w:szCs w:val="24"/>
        </w:rPr>
        <w:sym w:font="Wingdings 2" w:char="00A3"/>
      </w:r>
      <w:r>
        <w:rPr>
          <w:rFonts w:hint="eastAsia" w:ascii="仿宋" w:hAnsi="仿宋" w:eastAsia="仿宋"/>
          <w:b/>
          <w:szCs w:val="24"/>
        </w:rPr>
        <w:t>是  □否  □不适用</w:t>
      </w:r>
      <w:bookmarkEnd w:id="87"/>
      <w:bookmarkEnd w:id="88"/>
      <w:bookmarkEnd w:id="89"/>
      <w:bookmarkEnd w:id="90"/>
      <w:bookmarkEnd w:id="91"/>
    </w:p>
    <w:p>
      <w:pPr>
        <w:pStyle w:val="35"/>
        <w:numPr>
          <w:ilvl w:val="0"/>
          <w:numId w:val="5"/>
        </w:numPr>
        <w:ind w:firstLineChars="0"/>
        <w:rPr>
          <w:rFonts w:ascii="仿宋" w:hAnsi="仿宋" w:eastAsia="仿宋" w:cs="宋体"/>
          <w:sz w:val="24"/>
        </w:rPr>
      </w:pPr>
      <w:r>
        <w:rPr>
          <w:rFonts w:hint="eastAsia" w:ascii="仿宋" w:hAnsi="仿宋" w:eastAsia="仿宋" w:cs="宋体"/>
          <w:sz w:val="24"/>
        </w:rPr>
        <w:t>方案中的初始网下发行数量安排是否符合《首发承销细则》第二十三条要求，即：</w:t>
      </w:r>
    </w:p>
    <w:p>
      <w:pPr>
        <w:rPr>
          <w:rFonts w:ascii="仿宋" w:hAnsi="仿宋" w:eastAsia="仿宋" w:cs="宋体"/>
          <w:sz w:val="24"/>
          <w:szCs w:val="24"/>
        </w:rPr>
      </w:pPr>
      <w:r>
        <w:rPr>
          <w:rFonts w:hint="eastAsia" w:ascii="仿宋" w:hAnsi="仿宋" w:eastAsia="仿宋" w:cs="宋体"/>
          <w:sz w:val="24"/>
          <w:szCs w:val="24"/>
        </w:rPr>
        <w:t>①</w:t>
      </w:r>
      <w:r>
        <w:rPr>
          <w:rFonts w:hint="eastAsia" w:ascii="仿宋" w:hAnsi="仿宋" w:eastAsia="仿宋" w:cs="宋体"/>
          <w:b/>
          <w:sz w:val="24"/>
          <w:szCs w:val="24"/>
          <w:u w:val="single"/>
        </w:rPr>
        <w:t>对于主板</w:t>
      </w:r>
      <w:r>
        <w:rPr>
          <w:rFonts w:hint="eastAsia" w:ascii="仿宋" w:hAnsi="仿宋" w:eastAsia="仿宋" w:cs="宋体"/>
          <w:b/>
          <w:sz w:val="24"/>
          <w:szCs w:val="24"/>
        </w:rPr>
        <w:t>，</w:t>
      </w:r>
      <w:r>
        <w:rPr>
          <w:rFonts w:hint="eastAsia" w:ascii="仿宋" w:hAnsi="仿宋" w:eastAsia="仿宋" w:cs="宋体"/>
          <w:sz w:val="24"/>
          <w:szCs w:val="24"/>
        </w:rPr>
        <w:t>公开发行后总股本不超过4亿股/份的，网下初始发行比例不低于本次公开发行证券数量的60%；公开发行后总股本超过4亿股/份的，网下初始发行比例不低于70%。</w:t>
      </w:r>
    </w:p>
    <w:p>
      <w:pPr>
        <w:rPr>
          <w:rFonts w:ascii="仿宋" w:hAnsi="仿宋" w:eastAsia="仿宋" w:cs="宋体"/>
          <w:sz w:val="24"/>
          <w:szCs w:val="24"/>
        </w:rPr>
      </w:pPr>
      <w:r>
        <w:rPr>
          <w:rFonts w:hint="eastAsia" w:ascii="仿宋" w:hAnsi="仿宋" w:eastAsia="仿宋" w:cs="宋体"/>
          <w:sz w:val="24"/>
          <w:szCs w:val="24"/>
        </w:rPr>
        <w:t>②</w:t>
      </w:r>
      <w:r>
        <w:rPr>
          <w:rFonts w:hint="eastAsia" w:ascii="仿宋" w:hAnsi="仿宋" w:eastAsia="仿宋" w:cs="宋体"/>
          <w:b/>
          <w:sz w:val="24"/>
          <w:szCs w:val="24"/>
          <w:u w:val="single"/>
        </w:rPr>
        <w:t>对于创业板</w:t>
      </w:r>
      <w:r>
        <w:rPr>
          <w:rFonts w:hint="eastAsia" w:ascii="仿宋" w:hAnsi="仿宋" w:eastAsia="仿宋" w:cs="宋体"/>
          <w:b/>
          <w:sz w:val="24"/>
          <w:szCs w:val="24"/>
        </w:rPr>
        <w:t>，</w:t>
      </w:r>
      <w:r>
        <w:rPr>
          <w:rFonts w:hint="eastAsia" w:ascii="仿宋" w:hAnsi="仿宋" w:eastAsia="仿宋" w:cs="宋体"/>
          <w:sz w:val="24"/>
          <w:szCs w:val="24"/>
        </w:rPr>
        <w:t>公开发行后总股本不超过4亿股/份的，网下初始发行比例不低于本次公开发行证券数量的70%；公开发行后总股本超过4亿股或发行人尚未盈利的，网下初始发行比例不低于80%。</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5"/>
        <w:numPr>
          <w:ilvl w:val="0"/>
          <w:numId w:val="5"/>
        </w:numPr>
        <w:ind w:firstLineChars="0"/>
        <w:rPr>
          <w:rFonts w:ascii="仿宋" w:hAnsi="仿宋" w:eastAsia="仿宋" w:cs="宋体"/>
          <w:sz w:val="24"/>
        </w:rPr>
      </w:pPr>
      <w:r>
        <w:rPr>
          <w:rFonts w:hint="eastAsia" w:ascii="仿宋" w:hAnsi="仿宋" w:eastAsia="仿宋" w:cs="宋体"/>
          <w:sz w:val="24"/>
        </w:rPr>
        <w:t>安排战略配售的，是否扣除战略配售部分后确定网下网上发行比例。</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5"/>
        <w:numPr>
          <w:ilvl w:val="0"/>
          <w:numId w:val="5"/>
        </w:numPr>
        <w:ind w:firstLineChars="0"/>
        <w:rPr>
          <w:rFonts w:ascii="仿宋" w:hAnsi="仿宋" w:eastAsia="仿宋" w:cs="宋体"/>
          <w:sz w:val="24"/>
        </w:rPr>
      </w:pPr>
      <w:r>
        <w:rPr>
          <w:rFonts w:hint="eastAsia" w:ascii="仿宋" w:hAnsi="仿宋" w:eastAsia="仿宋" w:cs="宋体"/>
          <w:sz w:val="24"/>
        </w:rPr>
        <w:t>方案中的回拨机制是否符合《首发承销细则》第二十七条的要求，即：</w:t>
      </w:r>
    </w:p>
    <w:p>
      <w:pPr>
        <w:rPr>
          <w:rFonts w:ascii="仿宋" w:hAnsi="仿宋" w:eastAsia="仿宋" w:cs="宋体"/>
          <w:sz w:val="24"/>
          <w:szCs w:val="24"/>
        </w:rPr>
      </w:pPr>
      <w:r>
        <w:rPr>
          <w:rFonts w:hint="eastAsia" w:ascii="仿宋" w:hAnsi="仿宋" w:eastAsia="仿宋" w:cs="宋体"/>
          <w:sz w:val="24"/>
          <w:szCs w:val="24"/>
        </w:rPr>
        <w:t>①</w:t>
      </w:r>
      <w:r>
        <w:rPr>
          <w:rFonts w:hint="eastAsia" w:ascii="仿宋" w:hAnsi="仿宋" w:eastAsia="仿宋" w:cs="宋体"/>
          <w:b/>
          <w:sz w:val="24"/>
          <w:szCs w:val="24"/>
          <w:u w:val="single"/>
        </w:rPr>
        <w:t>对于主板</w:t>
      </w:r>
      <w:r>
        <w:rPr>
          <w:rFonts w:hint="eastAsia" w:ascii="仿宋" w:hAnsi="仿宋" w:eastAsia="仿宋" w:cs="宋体"/>
          <w:b/>
          <w:sz w:val="24"/>
          <w:szCs w:val="24"/>
        </w:rPr>
        <w:t>，</w:t>
      </w:r>
      <w:r>
        <w:rPr>
          <w:rFonts w:hint="eastAsia" w:ascii="仿宋" w:hAnsi="仿宋" w:eastAsia="仿宋" w:cs="宋体"/>
          <w:sz w:val="24"/>
          <w:szCs w:val="24"/>
        </w:rPr>
        <w:t>网上投资者有效申购倍数超过50倍且不超过100倍的，应当从网下向网上回拨，回拨比例为本次公开发行证券数量的20%；网上投资者有效申购倍数超过100倍的，回拨比例为本次公开发行证券数量的40%。</w:t>
      </w:r>
    </w:p>
    <w:p>
      <w:pPr>
        <w:rPr>
          <w:rFonts w:ascii="仿宋" w:hAnsi="仿宋" w:eastAsia="仿宋" w:cs="宋体"/>
          <w:sz w:val="24"/>
          <w:szCs w:val="24"/>
        </w:rPr>
      </w:pPr>
      <w:r>
        <w:rPr>
          <w:rFonts w:hint="eastAsia" w:ascii="仿宋" w:hAnsi="仿宋" w:eastAsia="仿宋" w:cs="宋体"/>
          <w:sz w:val="24"/>
          <w:szCs w:val="24"/>
        </w:rPr>
        <w:t>②</w:t>
      </w:r>
      <w:r>
        <w:rPr>
          <w:rFonts w:hint="eastAsia" w:ascii="仿宋" w:hAnsi="仿宋" w:eastAsia="仿宋" w:cs="宋体"/>
          <w:b/>
          <w:sz w:val="24"/>
          <w:szCs w:val="24"/>
          <w:u w:val="single"/>
        </w:rPr>
        <w:t>对于创业板</w:t>
      </w:r>
      <w:r>
        <w:rPr>
          <w:rFonts w:hint="eastAsia" w:ascii="仿宋" w:hAnsi="仿宋" w:eastAsia="仿宋" w:cs="宋体"/>
          <w:sz w:val="24"/>
          <w:szCs w:val="24"/>
        </w:rPr>
        <w:t>，网上投资者有效申购倍数超过50倍且不超过100倍的，应当从网下向网上回拨，回拨比例为本次公开发行证券数量的10%；网上投资者有效申购倍数超过100倍的，回拨比例为本次公开发行证券数量的20%。回拨后无限售期的网下发行数量原则上不超过本次公开发行股票数量的70%。</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5"/>
        <w:numPr>
          <w:ilvl w:val="0"/>
          <w:numId w:val="5"/>
        </w:numPr>
        <w:ind w:firstLineChars="0"/>
        <w:rPr>
          <w:rFonts w:ascii="仿宋" w:hAnsi="仿宋" w:eastAsia="仿宋" w:cs="宋体"/>
          <w:sz w:val="24"/>
        </w:rPr>
      </w:pPr>
      <w:r>
        <w:rPr>
          <w:rFonts w:hint="eastAsia" w:ascii="仿宋" w:hAnsi="仿宋" w:eastAsia="仿宋" w:cs="宋体"/>
          <w:sz w:val="24"/>
        </w:rPr>
        <w:t>回拨数量计算是否符合《首发承销细则》第二十七条第二款的要求，即公开</w:t>
      </w:r>
    </w:p>
    <w:p>
      <w:pPr>
        <w:rPr>
          <w:rFonts w:ascii="仿宋" w:hAnsi="仿宋" w:eastAsia="仿宋" w:cs="宋体"/>
          <w:b/>
          <w:sz w:val="24"/>
          <w:szCs w:val="24"/>
          <w:u w:val="single"/>
        </w:rPr>
      </w:pPr>
      <w:r>
        <w:rPr>
          <w:rFonts w:hint="eastAsia" w:ascii="仿宋" w:hAnsi="仿宋" w:eastAsia="仿宋" w:cs="宋体"/>
          <w:sz w:val="24"/>
          <w:szCs w:val="24"/>
        </w:rPr>
        <w:t>发行证券数量应当按照扣除战略配售数量计算；</w:t>
      </w:r>
      <w:r>
        <w:rPr>
          <w:rFonts w:hint="eastAsia" w:ascii="仿宋" w:hAnsi="仿宋" w:eastAsia="仿宋" w:cs="宋体"/>
          <w:b/>
          <w:sz w:val="24"/>
          <w:szCs w:val="24"/>
          <w:u w:val="single"/>
        </w:rPr>
        <w:t>对于主板，发行规模在100亿元以上的，还需扣除网下限售证券部分计算。</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92" w:name="_Toc31008"/>
      <w:bookmarkStart w:id="93" w:name="_Toc25001"/>
      <w:bookmarkStart w:id="94" w:name="_Toc8481"/>
      <w:bookmarkStart w:id="95" w:name="_Toc1199"/>
      <w:bookmarkStart w:id="96" w:name="_Toc30502"/>
      <w:r>
        <w:rPr>
          <w:rFonts w:hint="eastAsia" w:ascii="仿宋" w:hAnsi="仿宋" w:eastAsia="仿宋"/>
          <w:b/>
          <w:szCs w:val="24"/>
        </w:rPr>
        <w:t>（六）发行价格确定原则</w:t>
      </w:r>
      <w:bookmarkEnd w:id="92"/>
      <w:bookmarkEnd w:id="93"/>
      <w:bookmarkEnd w:id="94"/>
      <w:bookmarkEnd w:id="95"/>
      <w:bookmarkEnd w:id="96"/>
    </w:p>
    <w:p>
      <w:pPr>
        <w:numPr>
          <w:ilvl w:val="0"/>
          <w:numId w:val="6"/>
        </w:numPr>
        <w:rPr>
          <w:rFonts w:ascii="仿宋" w:hAnsi="仿宋" w:eastAsia="仿宋" w:cs="宋体"/>
          <w:b/>
          <w:bCs/>
          <w:sz w:val="24"/>
          <w:szCs w:val="24"/>
        </w:rPr>
      </w:pPr>
      <w:r>
        <w:rPr>
          <w:rFonts w:hint="eastAsia" w:ascii="仿宋" w:hAnsi="仿宋" w:eastAsia="仿宋" w:cs="宋体"/>
          <w:b/>
          <w:bCs/>
          <w:sz w:val="24"/>
          <w:szCs w:val="24"/>
        </w:rPr>
        <w:t xml:space="preserve">采用直接定价方式的                            </w:t>
      </w:r>
      <w:r>
        <w:rPr>
          <w:rFonts w:hint="eastAsia" w:ascii="仿宋" w:hAnsi="仿宋" w:eastAsia="仿宋" w:cs="宋体"/>
          <w:b/>
          <w:bCs/>
          <w:sz w:val="24"/>
          <w:szCs w:val="24"/>
        </w:rPr>
        <w:sym w:font="Wingdings 2" w:char="00A3"/>
      </w:r>
      <w:r>
        <w:rPr>
          <w:rFonts w:hint="eastAsia" w:ascii="仿宋" w:hAnsi="仿宋" w:eastAsia="仿宋" w:cs="宋体"/>
          <w:b/>
          <w:bCs/>
          <w:sz w:val="24"/>
          <w:szCs w:val="24"/>
        </w:rPr>
        <w:t xml:space="preserve">是  □否  □不适用 </w:t>
      </w:r>
    </w:p>
    <w:p>
      <w:pPr>
        <w:rPr>
          <w:rFonts w:ascii="仿宋" w:hAnsi="仿宋" w:eastAsia="仿宋" w:cs="宋体"/>
          <w:sz w:val="24"/>
          <w:szCs w:val="24"/>
        </w:rPr>
      </w:pPr>
      <w:r>
        <w:rPr>
          <w:rFonts w:hint="eastAsia" w:ascii="仿宋" w:hAnsi="仿宋" w:eastAsia="仿宋" w:cs="宋体"/>
          <w:sz w:val="24"/>
          <w:szCs w:val="24"/>
        </w:rPr>
        <w:t xml:space="preserve">（1）方案中应当明确发行价格及对应的市盈率（按最近一年经审计数据，扣除非经常性损益后的净利润孰低值计算摊薄前后，取四个值中的孰高值）或定价原则。             </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rPr>
          <w:rFonts w:ascii="仿宋" w:hAnsi="仿宋" w:eastAsia="仿宋" w:cs="宋体"/>
          <w:sz w:val="24"/>
          <w:szCs w:val="24"/>
        </w:rPr>
      </w:pPr>
      <w:r>
        <w:rPr>
          <w:rFonts w:hint="eastAsia" w:ascii="仿宋" w:hAnsi="仿宋" w:eastAsia="仿宋" w:cs="宋体"/>
          <w:sz w:val="24"/>
          <w:szCs w:val="24"/>
        </w:rPr>
        <w:t xml:space="preserve">（2）发行价格对应市盈率不得超过同行业上市公司二级市场平均市盈率；已经或者同时境外发行的，发行价格不得超过发行人境外市场价格。                                                  </w:t>
      </w:r>
    </w:p>
    <w:p>
      <w:pPr>
        <w:ind w:left="420"/>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3）如发行方案中已更新最近年度经审阅财务数据的，需同步列示发行价格对应最近年度经审阅财务数据的市盈率。如存在业绩下滑的，关注以最近年度审阅数据计算的市盈率与同行业上市公司二级市场平均市盈率差异情况，并结合发行人经营情况、可比公司估值对比等，关注说明定价的审慎合理性。</w:t>
      </w:r>
    </w:p>
    <w:p>
      <w:pPr>
        <w:jc w:val="right"/>
        <w:rPr>
          <w:rFonts w:ascii="仿宋" w:hAnsi="仿宋" w:eastAsia="仿宋" w:cs="宋体"/>
          <w:sz w:val="24"/>
          <w:szCs w:val="24"/>
        </w:rPr>
      </w:pPr>
      <w:r>
        <w:rPr>
          <w:rFonts w:hint="eastAsia" w:ascii="仿宋" w:hAnsi="仿宋" w:eastAsia="仿宋" w:cs="宋体"/>
          <w:sz w:val="24"/>
          <w:szCs w:val="24"/>
        </w:rPr>
        <w:t>□是</w:t>
      </w:r>
      <w:r>
        <w:rPr>
          <w:rFonts w:ascii="仿宋" w:hAnsi="仿宋" w:eastAsia="仿宋" w:cs="宋体"/>
          <w:sz w:val="24"/>
          <w:szCs w:val="24"/>
        </w:rPr>
        <w:t xml:space="preserve">  </w:t>
      </w:r>
      <w:r>
        <w:rPr>
          <w:rFonts w:hint="eastAsia" w:ascii="仿宋" w:hAnsi="仿宋" w:eastAsia="仿宋" w:cs="宋体"/>
          <w:sz w:val="24"/>
          <w:szCs w:val="24"/>
        </w:rPr>
        <w:t>□否</w:t>
      </w:r>
      <w:r>
        <w:rPr>
          <w:rFonts w:ascii="仿宋" w:hAnsi="仿宋" w:eastAsia="仿宋" w:cs="宋体"/>
          <w:sz w:val="24"/>
          <w:szCs w:val="24"/>
        </w:rPr>
        <w:t xml:space="preserve">  </w:t>
      </w:r>
      <w:r>
        <w:rPr>
          <w:rFonts w:hint="eastAsia" w:ascii="仿宋" w:hAnsi="仿宋" w:eastAsia="仿宋" w:cs="宋体"/>
          <w:sz w:val="24"/>
          <w:szCs w:val="24"/>
        </w:rPr>
        <w:t>□不适用</w:t>
      </w:r>
    </w:p>
    <w:p>
      <w:pPr>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4）如发行方案中更新</w:t>
      </w:r>
      <w:r>
        <w:rPr>
          <w:rFonts w:hint="eastAsia" w:ascii="仿宋" w:hAnsi="仿宋" w:eastAsia="仿宋" w:cs="宋体"/>
          <w:sz w:val="24"/>
          <w:szCs w:val="24"/>
        </w:rPr>
        <w:t>最近年度经审计财务数据，存在发行市盈率与同行业上市公司二级市场平均市盈率的计算年度口径不一致的（例如发行人</w:t>
      </w:r>
      <w:r>
        <w:rPr>
          <w:rFonts w:ascii="仿宋" w:hAnsi="仿宋" w:eastAsia="仿宋" w:cs="宋体"/>
          <w:sz w:val="24"/>
          <w:szCs w:val="24"/>
        </w:rPr>
        <w:t>2023</w:t>
      </w:r>
      <w:r>
        <w:rPr>
          <w:rFonts w:hint="eastAsia" w:ascii="仿宋" w:hAnsi="仿宋" w:eastAsia="仿宋" w:cs="宋体"/>
          <w:sz w:val="24"/>
          <w:szCs w:val="24"/>
        </w:rPr>
        <w:t>年</w:t>
      </w:r>
      <w:r>
        <w:rPr>
          <w:rFonts w:ascii="仿宋" w:hAnsi="仿宋" w:eastAsia="仿宋" w:cs="宋体"/>
          <w:sz w:val="24"/>
          <w:szCs w:val="24"/>
        </w:rPr>
        <w:t>4月发行，2022年</w:t>
      </w:r>
      <w:r>
        <w:rPr>
          <w:rFonts w:hint="eastAsia" w:ascii="仿宋" w:hAnsi="仿宋" w:eastAsia="仿宋" w:cs="宋体"/>
          <w:sz w:val="24"/>
          <w:szCs w:val="24"/>
        </w:rPr>
        <w:t>财务数据已审计并以此计算发行市盈率，而中证指数有限公司发布的行业静态市盈率仍采用</w:t>
      </w:r>
      <w:r>
        <w:rPr>
          <w:rFonts w:ascii="仿宋" w:hAnsi="仿宋" w:eastAsia="仿宋" w:cs="宋体"/>
          <w:sz w:val="24"/>
          <w:szCs w:val="24"/>
        </w:rPr>
        <w:t>2021年年报</w:t>
      </w:r>
      <w:r>
        <w:rPr>
          <w:rFonts w:hint="eastAsia" w:ascii="仿宋" w:hAnsi="仿宋" w:eastAsia="仿宋" w:cs="宋体"/>
          <w:sz w:val="24"/>
          <w:szCs w:val="24"/>
        </w:rPr>
        <w:t>数据），需同步列示行业、可比公司的滚动市盈率情况，并结合行业静态市盈率、滚动市盈率变化情况，关注说明定价的审慎合理性。</w:t>
      </w:r>
    </w:p>
    <w:p>
      <w:pPr>
        <w:ind w:firstLine="480" w:firstLineChars="200"/>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5）发行方案应当披露同行业上市公司二级市场平均市盈率（即中证指数有限公司发布的同行业最近一个月静态平均市盈率）；已经境外发行的，应披露发行人境外股票最近一个月平均价格；同时境外发行的，应披露发行人境外股票发行价（境外价格按照最新汇率折算成人民币计价）。</w:t>
      </w:r>
    </w:p>
    <w:p>
      <w:pPr>
        <w:ind w:firstLine="480" w:firstLineChars="200"/>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（6）在发行方案中披露可比公司市盈率，可比公司与招股说明书披露的保持一致，并比较分析发行人与可比公司的差异及该差异对估值的影响。</w:t>
      </w:r>
    </w:p>
    <w:p>
      <w:pPr>
        <w:ind w:firstLine="480" w:firstLineChars="200"/>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 xml:space="preserve">（7）如中证指数有限公司未发布同行业最近一个月静态平均市盈率的，方案中说明不少于三家同行业可比上市公司（需与招股说明书注册稿中披露的可比公司保持一致）的二级市场最近一个月静态平均市盈率。    </w:t>
      </w:r>
    </w:p>
    <w:p>
      <w:pPr>
        <w:ind w:left="480"/>
        <w:jc w:val="right"/>
        <w:rPr>
          <w:rFonts w:ascii="仿宋" w:hAnsi="仿宋" w:eastAsia="仿宋" w:cs="宋体"/>
          <w:sz w:val="24"/>
          <w:szCs w:val="24"/>
        </w:rPr>
      </w:pP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（8）方案中的网上发行数量是否为500股的整数倍。如有余股，是否已明确由主承销商包销。</w:t>
      </w:r>
    </w:p>
    <w:p>
      <w:pPr>
        <w:jc w:val="right"/>
        <w:rPr>
          <w:rFonts w:ascii="仿宋" w:hAnsi="仿宋" w:eastAsia="仿宋" w:cs="宋体"/>
          <w:sz w:val="24"/>
          <w:szCs w:val="24"/>
        </w:rPr>
      </w:pPr>
      <w:r>
        <w:rPr>
          <w:rFonts w:hint="eastAsia" w:ascii="仿宋" w:hAnsi="仿宋" w:eastAsia="仿宋" w:cs="宋体"/>
          <w:sz w:val="24"/>
          <w:szCs w:val="24"/>
        </w:rPr>
        <w:t>□是</w:t>
      </w:r>
      <w:r>
        <w:rPr>
          <w:rFonts w:ascii="仿宋" w:hAnsi="仿宋" w:eastAsia="仿宋" w:cs="宋体"/>
          <w:sz w:val="24"/>
          <w:szCs w:val="24"/>
        </w:rPr>
        <w:t xml:space="preserve">  </w:t>
      </w:r>
      <w:r>
        <w:rPr>
          <w:rFonts w:hint="eastAsia" w:ascii="仿宋" w:hAnsi="仿宋" w:eastAsia="仿宋" w:cs="宋体"/>
          <w:sz w:val="24"/>
          <w:szCs w:val="24"/>
        </w:rPr>
        <w:t>□否</w:t>
      </w:r>
      <w:r>
        <w:rPr>
          <w:rFonts w:ascii="仿宋" w:hAnsi="仿宋" w:eastAsia="仿宋" w:cs="宋体"/>
          <w:sz w:val="24"/>
          <w:szCs w:val="24"/>
        </w:rPr>
        <w:t xml:space="preserve">  </w:t>
      </w:r>
      <w:r>
        <w:rPr>
          <w:rFonts w:hint="eastAsia" w:ascii="仿宋" w:hAnsi="仿宋" w:eastAsia="仿宋" w:cs="宋体"/>
          <w:sz w:val="24"/>
          <w:szCs w:val="24"/>
        </w:rPr>
        <w:t>□不适用</w:t>
      </w:r>
    </w:p>
    <w:p>
      <w:pPr>
        <w:numPr>
          <w:ilvl w:val="0"/>
          <w:numId w:val="6"/>
        </w:numPr>
        <w:rPr>
          <w:rFonts w:ascii="仿宋" w:hAnsi="仿宋" w:eastAsia="仿宋" w:cs="宋体"/>
          <w:b/>
          <w:sz w:val="24"/>
          <w:szCs w:val="24"/>
        </w:rPr>
      </w:pPr>
      <w:r>
        <w:rPr>
          <w:rFonts w:hint="eastAsia" w:ascii="仿宋" w:hAnsi="仿宋" w:eastAsia="仿宋" w:cs="宋体"/>
          <w:b/>
          <w:sz w:val="24"/>
          <w:szCs w:val="24"/>
        </w:rPr>
        <w:t xml:space="preserve">采用询价方式的                                </w:t>
      </w:r>
      <w:r>
        <w:rPr>
          <w:rFonts w:hint="eastAsia" w:ascii="仿宋" w:hAnsi="仿宋" w:eastAsia="仿宋" w:cs="宋体"/>
          <w:b/>
          <w:sz w:val="24"/>
          <w:szCs w:val="24"/>
        </w:rPr>
        <w:sym w:font="Wingdings 2" w:char="00A3"/>
      </w:r>
      <w:r>
        <w:rPr>
          <w:rFonts w:hint="eastAsia" w:ascii="仿宋" w:hAnsi="仿宋" w:eastAsia="仿宋" w:cs="宋体"/>
          <w:b/>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1）方案中是否明确高价剔除原则与剔除比例。拟剔除的最高申报价格部分中的最低价格与确定的发行价格（或者发行价格区间上限）相同时，明确对该价格的申报是否剔除。剔除部分的配售对象不得参与网下申购。</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（2）方案中是否披露同行业上市公司二级市场平均市盈率，以及已经或者同时境外发行证券的境外市场价格（如有）。</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（3）方案中是否根据《首发承销细则》第十六条，明确投资风险特别公告发布安排。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（4）如采用累计投标询价的，方案中是否明确发行人和主承销商确定发行价格区间时，区间上限与下限的差额不得超过区间下限的20%。</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5）如中证指数有限公司未发布同行业最近一个月静态平均市盈率的，方案中是否说明不少于三家同行业可比上市公司（需属于招股说明书（注册稿）中披露的可比公司）的二级市场最近一个月静态平均市盈率作为参考。</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jc w:val="left"/>
        <w:rPr>
          <w:rFonts w:ascii="仿宋" w:hAnsi="仿宋" w:eastAsia="仿宋" w:cs="宋体"/>
          <w:sz w:val="24"/>
          <w:szCs w:val="24"/>
        </w:rPr>
      </w:pPr>
      <w:r>
        <w:rPr>
          <w:rFonts w:hint="eastAsia" w:ascii="仿宋" w:hAnsi="仿宋" w:eastAsia="仿宋" w:cs="宋体"/>
          <w:sz w:val="24"/>
          <w:szCs w:val="24"/>
        </w:rPr>
        <w:t>（6）如中证指数有限公司未发布同行业最近一个月静态平均市盈率、且方案中可比公司与招股说明书注册稿不一致的，是否说明原因。</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tabs>
          <w:tab w:val="left" w:pos="1437"/>
        </w:tabs>
        <w:jc w:val="left"/>
        <w:rPr>
          <w:rFonts w:ascii="仿宋" w:hAnsi="仿宋" w:eastAsia="仿宋" w:cs="宋体"/>
          <w:sz w:val="24"/>
          <w:szCs w:val="24"/>
        </w:rPr>
      </w:pPr>
      <w:r>
        <w:rPr>
          <w:rFonts w:hint="eastAsia" w:ascii="仿宋" w:hAnsi="仿宋" w:eastAsia="仿宋" w:cs="宋体"/>
          <w:sz w:val="24"/>
          <w:szCs w:val="24"/>
        </w:rPr>
        <w:t>（7）采用累计投标询价的，方案中是否说明网下投资者的申购报价和询价报价逻辑不一致的认定标准及处理原则。</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tabs>
          <w:tab w:val="left" w:pos="1437"/>
        </w:tabs>
        <w:jc w:val="left"/>
        <w:rPr>
          <w:rFonts w:ascii="仿宋" w:hAnsi="仿宋" w:eastAsia="仿宋" w:cs="宋体"/>
          <w:sz w:val="24"/>
          <w:szCs w:val="24"/>
        </w:rPr>
      </w:pPr>
      <w:r>
        <w:rPr>
          <w:rFonts w:hint="eastAsia" w:ascii="仿宋" w:hAnsi="仿宋" w:eastAsia="仿宋" w:cs="宋体"/>
          <w:sz w:val="24"/>
          <w:szCs w:val="24"/>
        </w:rPr>
        <w:t>（8）方案中是否说明如果最终确定的发行价格（发行价格区间上限）超过四个值时的定价说明。</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bCs/>
          <w:szCs w:val="24"/>
        </w:rPr>
      </w:pPr>
      <w:bookmarkStart w:id="97" w:name="_Toc29462"/>
      <w:bookmarkStart w:id="98" w:name="_Toc1656"/>
      <w:bookmarkStart w:id="99" w:name="_Toc14232"/>
      <w:bookmarkStart w:id="100" w:name="_Toc27532"/>
      <w:bookmarkStart w:id="101" w:name="_Toc32503"/>
      <w:r>
        <w:rPr>
          <w:rFonts w:hint="eastAsia" w:ascii="仿宋" w:hAnsi="仿宋" w:eastAsia="仿宋"/>
          <w:b/>
          <w:szCs w:val="24"/>
        </w:rPr>
        <w:t xml:space="preserve">（七）网下配售原则                               </w:t>
      </w:r>
      <w:r>
        <w:rPr>
          <w:rFonts w:hint="eastAsia" w:ascii="仿宋" w:hAnsi="仿宋" w:eastAsia="仿宋"/>
          <w:b/>
          <w:szCs w:val="24"/>
        </w:rPr>
        <w:sym w:font="Wingdings 2" w:char="00A3"/>
      </w:r>
      <w:r>
        <w:rPr>
          <w:rFonts w:hint="eastAsia" w:ascii="仿宋" w:hAnsi="仿宋" w:eastAsia="仿宋"/>
          <w:b/>
          <w:szCs w:val="24"/>
        </w:rPr>
        <w:t>是  □否  □不适用</w:t>
      </w:r>
      <w:bookmarkEnd w:id="97"/>
      <w:bookmarkEnd w:id="98"/>
      <w:bookmarkEnd w:id="99"/>
      <w:bookmarkEnd w:id="100"/>
      <w:bookmarkEnd w:id="101"/>
    </w:p>
    <w:p>
      <w:pPr>
        <w:numPr>
          <w:ilvl w:val="0"/>
          <w:numId w:val="7"/>
        </w:numPr>
        <w:rPr>
          <w:rFonts w:ascii="仿宋" w:hAnsi="仿宋" w:eastAsia="仿宋" w:cs="宋体"/>
          <w:sz w:val="24"/>
          <w:szCs w:val="24"/>
        </w:rPr>
      </w:pPr>
      <w:r>
        <w:rPr>
          <w:rFonts w:hint="eastAsia" w:ascii="仿宋" w:hAnsi="仿宋" w:eastAsia="仿宋" w:cs="宋体"/>
          <w:sz w:val="24"/>
          <w:szCs w:val="24"/>
        </w:rPr>
        <w:t>方案中是否明确比例配售方式，并在初步询价公告中披露。</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7"/>
        </w:numPr>
        <w:rPr>
          <w:rFonts w:ascii="仿宋" w:hAnsi="仿宋" w:eastAsia="仿宋" w:cs="宋体"/>
          <w:sz w:val="24"/>
          <w:szCs w:val="24"/>
        </w:rPr>
      </w:pPr>
      <w:r>
        <w:rPr>
          <w:rFonts w:hint="eastAsia" w:ascii="仿宋" w:hAnsi="仿宋" w:eastAsia="仿宋" w:cs="宋体"/>
          <w:sz w:val="24"/>
          <w:szCs w:val="24"/>
        </w:rPr>
        <w:t>方案中是否明确配售原则，即安排不低于本次网下发行数量的70%优先向公募基金、社保基金、养老金、年金基金、保险资金和合格境外投资者资金配售；同时明确载明当上述配售对象有效申购不足时的配售原则。</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7"/>
        </w:numPr>
        <w:rPr>
          <w:rFonts w:ascii="仿宋" w:hAnsi="仿宋" w:eastAsia="仿宋" w:cs="宋体"/>
          <w:sz w:val="24"/>
          <w:szCs w:val="24"/>
        </w:rPr>
      </w:pPr>
      <w:r>
        <w:rPr>
          <w:rFonts w:hint="eastAsia" w:ascii="仿宋" w:hAnsi="仿宋" w:eastAsia="仿宋" w:cs="宋体"/>
          <w:sz w:val="24"/>
          <w:szCs w:val="24"/>
        </w:rPr>
        <w:t>方案中是否明确，采用分类配售的，同类投资者获得配售的比例应当相同；并明确对公募基金、社保基金、养老金、年金基金、保险资金和合格境外投资者资金的配售比例不得低于其他投资者。</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7"/>
        </w:numPr>
        <w:rPr>
          <w:rFonts w:ascii="仿宋" w:hAnsi="仿宋" w:eastAsia="仿宋" w:cs="宋体"/>
          <w:sz w:val="24"/>
          <w:szCs w:val="24"/>
        </w:rPr>
      </w:pPr>
      <w:r>
        <w:rPr>
          <w:rFonts w:hint="eastAsia" w:ascii="仿宋" w:hAnsi="仿宋" w:eastAsia="仿宋" w:cs="宋体"/>
          <w:sz w:val="24"/>
          <w:szCs w:val="24"/>
        </w:rPr>
        <w:t>方案中是否明确零股分配办法。</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102" w:name="_Toc4080"/>
      <w:bookmarkStart w:id="103" w:name="_Toc19607"/>
      <w:bookmarkStart w:id="104" w:name="_Toc13872"/>
      <w:bookmarkStart w:id="105" w:name="_Toc14326"/>
      <w:bookmarkStart w:id="106" w:name="_Toc10759"/>
      <w:r>
        <w:rPr>
          <w:rFonts w:hint="eastAsia" w:ascii="仿宋" w:hAnsi="仿宋" w:eastAsia="仿宋"/>
          <w:b/>
          <w:szCs w:val="24"/>
        </w:rPr>
        <w:t>（八）投资者缴款</w:t>
      </w:r>
      <w:bookmarkEnd w:id="102"/>
      <w:bookmarkEnd w:id="103"/>
      <w:bookmarkEnd w:id="104"/>
      <w:bookmarkEnd w:id="105"/>
      <w:bookmarkEnd w:id="106"/>
    </w:p>
    <w:p>
      <w:pPr>
        <w:numPr>
          <w:ilvl w:val="0"/>
          <w:numId w:val="8"/>
        </w:numPr>
        <w:rPr>
          <w:rFonts w:ascii="仿宋" w:hAnsi="仿宋" w:eastAsia="仿宋" w:cs="宋体"/>
          <w:sz w:val="24"/>
          <w:szCs w:val="24"/>
        </w:rPr>
      </w:pPr>
      <w:r>
        <w:rPr>
          <w:rFonts w:hint="eastAsia" w:ascii="仿宋" w:hAnsi="仿宋" w:eastAsia="仿宋" w:cs="宋体"/>
          <w:sz w:val="24"/>
          <w:szCs w:val="24"/>
        </w:rPr>
        <w:t>方案中是否明确网上网下投资者缴款时间安排，即网下投资者应于T+2日足额缴纳认购资金，网上投资者应保证资金账户于T+2日日终有足额的认购资金。</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8"/>
        </w:numPr>
        <w:rPr>
          <w:rFonts w:ascii="仿宋" w:hAnsi="仿宋" w:eastAsia="仿宋" w:cs="宋体"/>
          <w:sz w:val="24"/>
          <w:szCs w:val="24"/>
        </w:rPr>
      </w:pPr>
      <w:r>
        <w:rPr>
          <w:rFonts w:hint="eastAsia" w:ascii="仿宋" w:hAnsi="仿宋" w:eastAsia="仿宋" w:cs="宋体"/>
          <w:sz w:val="24"/>
          <w:szCs w:val="24"/>
        </w:rPr>
        <w:t>方案中是否明确参与战略配售的投资者（含或有跟投）缴款时间安排，即应于询价日前足额缴纳认购资金。</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8"/>
        </w:numPr>
        <w:rPr>
          <w:rFonts w:ascii="仿宋" w:hAnsi="仿宋" w:eastAsia="仿宋" w:cs="宋体"/>
          <w:sz w:val="24"/>
          <w:szCs w:val="24"/>
        </w:rPr>
      </w:pPr>
      <w:r>
        <w:rPr>
          <w:rFonts w:hint="eastAsia" w:ascii="仿宋" w:hAnsi="仿宋" w:eastAsia="仿宋" w:cs="宋体"/>
          <w:sz w:val="24"/>
          <w:szCs w:val="24"/>
        </w:rPr>
        <w:t>方案中是否明确网下投资者未及时足额缴款的处理措施。</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8"/>
        </w:numPr>
        <w:rPr>
          <w:rFonts w:ascii="仿宋" w:hAnsi="仿宋" w:eastAsia="仿宋" w:cs="宋体"/>
          <w:sz w:val="24"/>
          <w:szCs w:val="24"/>
        </w:rPr>
      </w:pPr>
      <w:r>
        <w:rPr>
          <w:rFonts w:hint="eastAsia" w:ascii="仿宋" w:hAnsi="仿宋" w:eastAsia="仿宋" w:cs="宋体"/>
          <w:sz w:val="24"/>
          <w:szCs w:val="24"/>
        </w:rPr>
        <w:t>方案中是否按照《首发承销细则》第三十条，明确网上投资者一定期限内多次未足额缴款的处理措施。</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107" w:name="_Toc28208"/>
      <w:bookmarkStart w:id="108" w:name="_Toc32397"/>
      <w:bookmarkStart w:id="109" w:name="_Toc8996"/>
      <w:bookmarkStart w:id="110" w:name="_Toc16376"/>
      <w:bookmarkStart w:id="111" w:name="_Toc18829"/>
      <w:r>
        <w:rPr>
          <w:rFonts w:hint="eastAsia" w:ascii="仿宋" w:hAnsi="仿宋" w:eastAsia="仿宋"/>
          <w:b/>
          <w:szCs w:val="24"/>
        </w:rPr>
        <w:t>（九）募集资金</w:t>
      </w:r>
      <w:bookmarkEnd w:id="107"/>
      <w:bookmarkEnd w:id="108"/>
      <w:bookmarkEnd w:id="109"/>
      <w:bookmarkEnd w:id="110"/>
      <w:bookmarkEnd w:id="111"/>
    </w:p>
    <w:p>
      <w:pPr>
        <w:numPr>
          <w:ilvl w:val="0"/>
          <w:numId w:val="9"/>
        </w:numPr>
        <w:jc w:val="left"/>
        <w:rPr>
          <w:rFonts w:ascii="仿宋" w:hAnsi="仿宋" w:eastAsia="仿宋" w:cs="宋体"/>
          <w:sz w:val="24"/>
          <w:szCs w:val="24"/>
        </w:rPr>
      </w:pPr>
      <w:r>
        <w:rPr>
          <w:rFonts w:hint="eastAsia" w:ascii="仿宋" w:hAnsi="仿宋" w:eastAsia="仿宋" w:cs="宋体"/>
          <w:sz w:val="24"/>
          <w:szCs w:val="24"/>
        </w:rPr>
        <w:t>方案中是否明确募集资金低于招股说明书（注册稿）预计募集资金或存在超募时的安排。</w:t>
      </w:r>
    </w:p>
    <w:p>
      <w:pPr>
        <w:numPr>
          <w:ilvl w:val="255"/>
          <w:numId w:val="0"/>
        </w:num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112" w:name="_Toc22020"/>
      <w:bookmarkStart w:id="113" w:name="_Toc16537"/>
      <w:bookmarkStart w:id="114" w:name="_Toc9229"/>
      <w:bookmarkStart w:id="115" w:name="_Toc32140"/>
      <w:bookmarkStart w:id="116" w:name="_Toc10517"/>
      <w:r>
        <w:rPr>
          <w:rFonts w:hint="eastAsia" w:ascii="仿宋" w:hAnsi="仿宋" w:eastAsia="仿宋"/>
          <w:b/>
          <w:szCs w:val="24"/>
        </w:rPr>
        <w:t>（十）弃购股份处理</w:t>
      </w:r>
      <w:bookmarkEnd w:id="112"/>
      <w:bookmarkEnd w:id="113"/>
      <w:bookmarkEnd w:id="114"/>
      <w:bookmarkEnd w:id="115"/>
      <w:bookmarkEnd w:id="116"/>
    </w:p>
    <w:p>
      <w:pPr>
        <w:numPr>
          <w:ilvl w:val="0"/>
          <w:numId w:val="10"/>
        </w:numPr>
        <w:rPr>
          <w:rFonts w:ascii="仿宋" w:hAnsi="仿宋" w:eastAsia="仿宋" w:cs="宋体"/>
          <w:sz w:val="24"/>
          <w:szCs w:val="24"/>
        </w:rPr>
      </w:pPr>
      <w:r>
        <w:rPr>
          <w:rFonts w:hint="eastAsia" w:ascii="仿宋" w:hAnsi="仿宋" w:eastAsia="仿宋" w:cs="宋体"/>
          <w:sz w:val="24"/>
          <w:szCs w:val="24"/>
        </w:rPr>
        <w:t>方案中是否说明参与战略配售的投资者认购不足股份的处理原则并在初步询价公告中披露。该部分认购不足股份可以回拨给网下或网上，但需保证网下初始发行比例符合规定、网上发行数量是500股整数倍。</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0"/>
        </w:numPr>
        <w:rPr>
          <w:rFonts w:ascii="仿宋" w:hAnsi="仿宋" w:eastAsia="仿宋" w:cs="宋体"/>
          <w:sz w:val="24"/>
          <w:szCs w:val="24"/>
        </w:rPr>
      </w:pPr>
      <w:r>
        <w:rPr>
          <w:rFonts w:hint="eastAsia" w:ascii="仿宋" w:hAnsi="仿宋" w:eastAsia="仿宋" w:cs="宋体"/>
          <w:sz w:val="24"/>
          <w:szCs w:val="24"/>
        </w:rPr>
        <w:t>方案中是否明确包销安排及风险。</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spacing w:before="60" w:beforeLines="25"/>
        <w:rPr>
          <w:rFonts w:ascii="仿宋" w:hAnsi="仿宋" w:eastAsia="仿宋"/>
          <w:b/>
          <w:szCs w:val="24"/>
        </w:rPr>
      </w:pPr>
      <w:r>
        <w:rPr>
          <w:rFonts w:hint="eastAsia" w:ascii="仿宋" w:hAnsi="仿宋" w:eastAsia="仿宋"/>
          <w:b/>
          <w:szCs w:val="24"/>
        </w:rPr>
        <w:t xml:space="preserve">（十一）二次配售                                  </w:t>
      </w:r>
      <w:r>
        <w:rPr>
          <w:rFonts w:hint="eastAsia" w:ascii="仿宋" w:hAnsi="仿宋" w:eastAsia="仿宋"/>
          <w:b/>
          <w:szCs w:val="24"/>
        </w:rPr>
        <w:sym w:font="Wingdings 2" w:char="00A3"/>
      </w:r>
      <w:r>
        <w:rPr>
          <w:rFonts w:hint="eastAsia" w:ascii="仿宋" w:hAnsi="仿宋" w:eastAsia="仿宋"/>
          <w:b/>
          <w:szCs w:val="24"/>
        </w:rPr>
        <w:t>是  □否  □不适用</w:t>
      </w:r>
    </w:p>
    <w:p>
      <w:pPr>
        <w:numPr>
          <w:ilvl w:val="0"/>
          <w:numId w:val="11"/>
        </w:numPr>
        <w:rPr>
          <w:rFonts w:ascii="仿宋" w:hAnsi="仿宋" w:eastAsia="仿宋" w:cs="宋体"/>
          <w:sz w:val="24"/>
          <w:szCs w:val="24"/>
        </w:rPr>
      </w:pPr>
      <w:r>
        <w:rPr>
          <w:rFonts w:hint="eastAsia" w:ascii="仿宋" w:hAnsi="仿宋" w:eastAsia="仿宋" w:cs="宋体"/>
          <w:sz w:val="24"/>
          <w:szCs w:val="24"/>
        </w:rPr>
        <w:t>方案中关于二次配售的表述是否符合相关规定。</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1"/>
        </w:numPr>
        <w:rPr>
          <w:rFonts w:ascii="仿宋" w:hAnsi="仿宋" w:eastAsia="仿宋" w:cs="宋体"/>
          <w:sz w:val="24"/>
          <w:szCs w:val="24"/>
        </w:rPr>
      </w:pPr>
      <w:r>
        <w:rPr>
          <w:rFonts w:hint="eastAsia" w:ascii="仿宋" w:hAnsi="仿宋" w:eastAsia="仿宋" w:cs="宋体"/>
          <w:sz w:val="24"/>
          <w:szCs w:val="24"/>
        </w:rPr>
        <w:t>如安排二次配售，方案中是否说明关于市场发生重大变化的判断依据、二次配售实施条件与程序、投资者条件、配售原则、缴款安排、对新股发行上市流程和网上网下投资者的影响及应对措施。</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spacing w:before="120" w:beforeLines="50"/>
        <w:rPr>
          <w:rFonts w:ascii="仿宋" w:hAnsi="仿宋" w:eastAsia="仿宋"/>
          <w:b/>
          <w:szCs w:val="24"/>
        </w:rPr>
      </w:pPr>
      <w:bookmarkStart w:id="117" w:name="_Toc29794"/>
      <w:bookmarkStart w:id="118" w:name="_Toc13514"/>
      <w:bookmarkStart w:id="119" w:name="_Toc3023"/>
      <w:bookmarkStart w:id="120" w:name="_Toc20178"/>
      <w:bookmarkStart w:id="121" w:name="_Toc21396"/>
      <w:r>
        <w:rPr>
          <w:rFonts w:hint="eastAsia" w:ascii="仿宋" w:hAnsi="仿宋" w:eastAsia="仿宋"/>
          <w:b/>
          <w:szCs w:val="24"/>
        </w:rPr>
        <w:t xml:space="preserve">（十二）网下限售方式与安排                       </w:t>
      </w:r>
      <w:r>
        <w:rPr>
          <w:rFonts w:hint="eastAsia" w:ascii="仿宋" w:hAnsi="仿宋" w:eastAsia="仿宋"/>
          <w:b/>
          <w:szCs w:val="24"/>
        </w:rPr>
        <w:sym w:font="Wingdings 2" w:char="00A3"/>
      </w:r>
      <w:r>
        <w:rPr>
          <w:rFonts w:hint="eastAsia" w:ascii="仿宋" w:hAnsi="仿宋" w:eastAsia="仿宋"/>
          <w:b/>
          <w:szCs w:val="24"/>
        </w:rPr>
        <w:t xml:space="preserve">是  </w:t>
      </w:r>
      <w:r>
        <w:rPr>
          <w:rFonts w:hint="eastAsia" w:ascii="仿宋" w:hAnsi="仿宋" w:eastAsia="仿宋"/>
          <w:b/>
          <w:szCs w:val="24"/>
        </w:rPr>
        <w:sym w:font="Wingdings 2" w:char="00A3"/>
      </w:r>
      <w:r>
        <w:rPr>
          <w:rFonts w:hint="eastAsia" w:ascii="仿宋" w:hAnsi="仿宋" w:eastAsia="仿宋"/>
          <w:b/>
          <w:szCs w:val="24"/>
        </w:rPr>
        <w:t xml:space="preserve">否  </w:t>
      </w:r>
      <w:r>
        <w:rPr>
          <w:rFonts w:hint="eastAsia" w:ascii="仿宋" w:hAnsi="仿宋" w:eastAsia="仿宋"/>
          <w:b/>
          <w:szCs w:val="24"/>
        </w:rPr>
        <w:sym w:font="Wingdings 2" w:char="00A3"/>
      </w:r>
      <w:r>
        <w:rPr>
          <w:rFonts w:hint="eastAsia" w:ascii="仿宋" w:hAnsi="仿宋" w:eastAsia="仿宋"/>
          <w:b/>
          <w:szCs w:val="24"/>
        </w:rPr>
        <w:t>不适用</w:t>
      </w:r>
      <w:bookmarkEnd w:id="117"/>
      <w:bookmarkEnd w:id="118"/>
      <w:bookmarkEnd w:id="119"/>
      <w:bookmarkEnd w:id="120"/>
      <w:bookmarkEnd w:id="121"/>
    </w:p>
    <w:p>
      <w:pPr>
        <w:numPr>
          <w:ilvl w:val="0"/>
          <w:numId w:val="12"/>
        </w:numPr>
        <w:rPr>
          <w:rFonts w:ascii="仿宋" w:hAnsi="仿宋" w:eastAsia="仿宋" w:cs="宋体"/>
          <w:sz w:val="24"/>
          <w:szCs w:val="24"/>
        </w:rPr>
      </w:pPr>
      <w:r>
        <w:rPr>
          <w:rFonts w:hint="eastAsia" w:ascii="仿宋" w:hAnsi="仿宋" w:eastAsia="仿宋" w:cs="宋体"/>
          <w:sz w:val="24"/>
          <w:szCs w:val="24"/>
        </w:rPr>
        <w:t>方案中是否明确网下限售方式，即选择摇号限售方式或比例限售方式，并在初步询价公告中披露。</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2"/>
        </w:numPr>
        <w:rPr>
          <w:rFonts w:ascii="仿宋" w:hAnsi="仿宋" w:eastAsia="仿宋" w:cs="宋体"/>
          <w:sz w:val="24"/>
          <w:szCs w:val="24"/>
        </w:rPr>
      </w:pPr>
      <w:r>
        <w:rPr>
          <w:rFonts w:hint="eastAsia" w:ascii="仿宋" w:hAnsi="仿宋" w:eastAsia="仿宋" w:cs="宋体"/>
          <w:sz w:val="24"/>
          <w:szCs w:val="24"/>
        </w:rPr>
        <w:t>方案中是否明确网下限售的限售期不低于6个月。采用摇号限售方式的，摇号抽取网下配售对象中10%的账户，中签账户的管理人应当承诺中签账户获配证券锁定；采用比例限售方式的，网下投资者应当承诺其获配证券数量10%的锁定。</w:t>
      </w:r>
    </w:p>
    <w:p>
      <w:pPr>
        <w:jc w:val="right"/>
        <w:rPr>
          <w:rFonts w:ascii="仿宋" w:hAnsi="仿宋" w:eastAsia="仿宋" w:cs="宋体"/>
          <w:sz w:val="24"/>
          <w:szCs w:val="24"/>
        </w:rPr>
      </w:pPr>
      <w:r>
        <w:rPr>
          <w:rFonts w:hint="eastAsia" w:ascii="仿宋" w:hAnsi="仿宋" w:eastAsia="仿宋" w:cs="宋体"/>
          <w:sz w:val="24"/>
          <w:szCs w:val="24"/>
        </w:rPr>
        <w:t>□是  □否  □不适用</w:t>
      </w:r>
    </w:p>
    <w:p>
      <w:pPr>
        <w:numPr>
          <w:ilvl w:val="0"/>
          <w:numId w:val="12"/>
        </w:numPr>
        <w:rPr>
          <w:rFonts w:ascii="仿宋" w:hAnsi="仿宋" w:eastAsia="仿宋" w:cs="宋体"/>
          <w:sz w:val="24"/>
          <w:szCs w:val="24"/>
        </w:rPr>
      </w:pPr>
      <w:r>
        <w:rPr>
          <w:rFonts w:hint="eastAsia" w:ascii="仿宋" w:hAnsi="仿宋" w:eastAsia="仿宋" w:cs="宋体"/>
          <w:sz w:val="24"/>
          <w:szCs w:val="24"/>
        </w:rPr>
        <w:t>结合发行方案、投资价值研究报告等备案材料，如预计发行价格确定后，本次发行规模（按发行数量乘以发行价格计算）将可能在100亿元以上的，则方案中应当明确当发行规模在100亿元以上，将设置网下限售的配售对象账户或者获配证券数量的比例不低于70%。</w:t>
      </w:r>
    </w:p>
    <w:p>
      <w:pPr>
        <w:pStyle w:val="35"/>
        <w:ind w:left="400" w:firstLine="0" w:firstLineChars="0"/>
        <w:jc w:val="right"/>
        <w:rPr>
          <w:rFonts w:ascii="仿宋" w:hAnsi="仿宋" w:eastAsia="仿宋" w:cs="宋体"/>
          <w:sz w:val="24"/>
        </w:rPr>
      </w:pPr>
      <w:r>
        <w:rPr>
          <w:rFonts w:hint="eastAsia" w:ascii="仿宋" w:hAnsi="仿宋" w:eastAsia="仿宋" w:cs="宋体"/>
          <w:sz w:val="24"/>
        </w:rPr>
        <w:t>□是  □否  □不适用</w:t>
      </w:r>
    </w:p>
    <w:p>
      <w:pPr>
        <w:numPr>
          <w:ilvl w:val="0"/>
          <w:numId w:val="12"/>
        </w:numPr>
        <w:rPr>
          <w:rFonts w:ascii="仿宋" w:hAnsi="仿宋" w:eastAsia="仿宋" w:cs="宋体"/>
          <w:sz w:val="24"/>
          <w:szCs w:val="24"/>
        </w:rPr>
      </w:pPr>
      <w:r>
        <w:rPr>
          <w:rFonts w:hint="eastAsia" w:ascii="仿宋" w:hAnsi="仿宋" w:eastAsia="仿宋" w:cs="宋体"/>
          <w:sz w:val="24"/>
          <w:szCs w:val="24"/>
        </w:rPr>
        <w:t>方案中是否明确计算出的中签账户数量或限售证券数量向上取整原则、限售期安排。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2"/>
        </w:numPr>
        <w:rPr>
          <w:rFonts w:ascii="仿宋" w:hAnsi="仿宋" w:eastAsia="仿宋" w:cs="宋体"/>
          <w:sz w:val="24"/>
          <w:szCs w:val="24"/>
        </w:rPr>
      </w:pPr>
      <w:r>
        <w:rPr>
          <w:rFonts w:hint="eastAsia" w:ascii="仿宋" w:hAnsi="仿宋" w:eastAsia="仿宋" w:cs="宋体"/>
          <w:sz w:val="24"/>
          <w:szCs w:val="24"/>
        </w:rPr>
        <w:t>采用摇号限售的，方案中是否说明配号原则（即按照获配对象配号，每个获配对象配一个号码；按获配对象申购单提交时间顺序生成；提交时间相同的按照获配对象编码顺序生成）、摇号工作安排。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3"/>
        <w:rPr>
          <w:rFonts w:ascii="仿宋" w:hAnsi="仿宋" w:eastAsia="仿宋"/>
          <w:b/>
          <w:szCs w:val="24"/>
        </w:rPr>
      </w:pPr>
      <w:bookmarkStart w:id="122" w:name="_Toc18365"/>
      <w:bookmarkStart w:id="123" w:name="_Toc7476"/>
      <w:bookmarkStart w:id="124" w:name="_Toc18159"/>
      <w:bookmarkStart w:id="125" w:name="_Toc21602"/>
      <w:bookmarkStart w:id="126" w:name="_Toc31859"/>
      <w:r>
        <w:rPr>
          <w:rFonts w:hint="eastAsia" w:ascii="仿宋" w:hAnsi="仿宋" w:eastAsia="仿宋"/>
          <w:b/>
          <w:szCs w:val="24"/>
        </w:rPr>
        <w:t>（十三）中止情形</w:t>
      </w:r>
      <w:bookmarkEnd w:id="122"/>
      <w:bookmarkEnd w:id="123"/>
      <w:bookmarkEnd w:id="124"/>
      <w:bookmarkEnd w:id="125"/>
      <w:bookmarkEnd w:id="126"/>
    </w:p>
    <w:p>
      <w:pPr>
        <w:numPr>
          <w:ilvl w:val="0"/>
          <w:numId w:val="13"/>
        </w:numPr>
        <w:rPr>
          <w:rFonts w:ascii="仿宋" w:hAnsi="仿宋" w:eastAsia="仿宋" w:cs="宋体"/>
          <w:sz w:val="24"/>
          <w:szCs w:val="24"/>
        </w:rPr>
      </w:pPr>
      <w:r>
        <w:rPr>
          <w:rFonts w:hint="eastAsia" w:ascii="仿宋" w:hAnsi="仿宋" w:eastAsia="仿宋" w:cs="宋体"/>
          <w:sz w:val="24"/>
          <w:szCs w:val="24"/>
        </w:rPr>
        <w:t>方案是否依据《证券法》《承销办法》《首发承销细则》等有关规定，明确中止发行的情形。</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3"/>
        </w:numPr>
        <w:rPr>
          <w:rFonts w:ascii="仿宋" w:hAnsi="仿宋" w:eastAsia="仿宋" w:cs="宋体"/>
          <w:sz w:val="24"/>
          <w:szCs w:val="24"/>
        </w:rPr>
      </w:pPr>
      <w:r>
        <w:rPr>
          <w:rFonts w:hint="eastAsia" w:ascii="仿宋" w:hAnsi="仿宋" w:eastAsia="仿宋" w:cs="宋体"/>
          <w:sz w:val="24"/>
          <w:szCs w:val="24"/>
        </w:rPr>
        <w:t>方案中是否明确如出现网下和网上投资者缴款认购的证券数量合计不足本次公开发行证券数量的70%时，发行人和主承销商是否将中止发行。</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3"/>
        </w:numPr>
        <w:jc w:val="left"/>
        <w:rPr>
          <w:rFonts w:ascii="仿宋" w:hAnsi="仿宋" w:eastAsia="仿宋" w:cs="宋体"/>
          <w:sz w:val="24"/>
          <w:szCs w:val="24"/>
        </w:rPr>
      </w:pPr>
      <w:r>
        <w:rPr>
          <w:rFonts w:hint="eastAsia" w:ascii="仿宋" w:hAnsi="仿宋" w:eastAsia="仿宋" w:cs="宋体"/>
          <w:sz w:val="24"/>
          <w:szCs w:val="24"/>
        </w:rPr>
        <w:t>如涉及中止发行，方案中是否说明发行人和主承销商将及时公告</w:t>
      </w:r>
      <w:r>
        <w:rPr>
          <w:rFonts w:ascii="仿宋" w:hAnsi="仿宋" w:eastAsia="仿宋" w:cs="宋体"/>
          <w:sz w:val="24"/>
          <w:szCs w:val="24"/>
        </w:rPr>
        <w:t>中止发行的原因和后续</w:t>
      </w:r>
      <w:r>
        <w:rPr>
          <w:rFonts w:hint="eastAsia" w:ascii="仿宋" w:hAnsi="仿宋" w:eastAsia="仿宋" w:cs="宋体"/>
          <w:sz w:val="24"/>
          <w:szCs w:val="24"/>
        </w:rPr>
        <w:t>的缴款退款等相关</w:t>
      </w:r>
      <w:r>
        <w:rPr>
          <w:rFonts w:ascii="仿宋" w:hAnsi="仿宋" w:eastAsia="仿宋" w:cs="宋体"/>
          <w:sz w:val="24"/>
          <w:szCs w:val="24"/>
        </w:rPr>
        <w:t>安排</w:t>
      </w:r>
      <w:r>
        <w:rPr>
          <w:rFonts w:hint="eastAsia" w:ascii="仿宋" w:hAnsi="仿宋" w:eastAsia="仿宋" w:cs="宋体"/>
          <w:sz w:val="24"/>
          <w:szCs w:val="24"/>
        </w:rPr>
        <w:t>。</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ind w:right="417"/>
        <w:rPr>
          <w:rFonts w:ascii="仿宋" w:hAnsi="仿宋" w:eastAsia="仿宋" w:cs="宋体"/>
          <w:b/>
          <w:bCs/>
          <w:sz w:val="24"/>
          <w:szCs w:val="24"/>
        </w:rPr>
      </w:pPr>
      <w:r>
        <w:rPr>
          <w:rFonts w:hint="eastAsia" w:ascii="仿宋" w:hAnsi="仿宋" w:eastAsia="仿宋" w:cs="宋体"/>
          <w:b/>
          <w:bCs/>
          <w:sz w:val="24"/>
          <w:szCs w:val="24"/>
        </w:rPr>
        <w:t xml:space="preserve">（十四）发行费用                                         </w:t>
      </w:r>
    </w:p>
    <w:p>
      <w:pPr>
        <w:numPr>
          <w:ilvl w:val="0"/>
          <w:numId w:val="14"/>
        </w:numPr>
        <w:rPr>
          <w:rFonts w:ascii="仿宋" w:hAnsi="仿宋" w:eastAsia="仿宋" w:cs="宋体"/>
          <w:sz w:val="24"/>
          <w:szCs w:val="24"/>
        </w:rPr>
      </w:pPr>
      <w:r>
        <w:rPr>
          <w:rFonts w:hint="eastAsia" w:ascii="仿宋" w:hAnsi="仿宋" w:eastAsia="仿宋" w:cs="宋体"/>
          <w:sz w:val="24"/>
          <w:szCs w:val="24"/>
        </w:rPr>
        <w:t>方案中是否明确列示各项发行费用金额或计算原则。</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4"/>
        </w:numPr>
        <w:rPr>
          <w:rFonts w:ascii="仿宋" w:hAnsi="仿宋" w:eastAsia="仿宋" w:cs="宋体"/>
          <w:sz w:val="24"/>
          <w:szCs w:val="24"/>
        </w:rPr>
      </w:pPr>
      <w:r>
        <w:rPr>
          <w:rFonts w:hint="eastAsia" w:ascii="仿宋" w:hAnsi="仿宋" w:eastAsia="仿宋" w:cs="宋体"/>
          <w:sz w:val="24"/>
          <w:szCs w:val="24"/>
        </w:rPr>
        <w:t>方案中是否明确承销保荐费用符合相关行业倡议精神。</w:t>
      </w:r>
    </w:p>
    <w:p>
      <w:pPr>
        <w:ind w:left="400"/>
        <w:jc w:val="right"/>
        <w:rPr>
          <w:rFonts w:ascii="仿宋" w:hAnsi="仿宋" w:eastAsia="仿宋" w:cs="宋体"/>
          <w:sz w:val="24"/>
          <w:szCs w:val="24"/>
        </w:rPr>
      </w:pPr>
      <w:r>
        <w:rPr>
          <w:rFonts w:hint="eastAsia" w:ascii="仿宋" w:hAnsi="仿宋" w:eastAsia="仿宋"/>
          <w:sz w:val="24"/>
          <w:szCs w:val="24"/>
        </w:rPr>
        <w:sym w:font="Wingdings 2" w:char="00A3"/>
      </w:r>
      <w:r>
        <w:rPr>
          <w:rFonts w:hint="eastAsia" w:ascii="仿宋" w:hAnsi="仿宋" w:eastAsia="仿宋" w:cs="宋体"/>
          <w:sz w:val="24"/>
          <w:szCs w:val="24"/>
        </w:rPr>
        <w:t>是</w:t>
      </w:r>
      <w:r>
        <w:rPr>
          <w:rFonts w:ascii="仿宋" w:hAnsi="仿宋" w:eastAsia="仿宋" w:cs="宋体"/>
          <w:sz w:val="24"/>
          <w:szCs w:val="24"/>
        </w:rPr>
        <w:t xml:space="preserve">  </w:t>
      </w:r>
      <w:r>
        <w:rPr>
          <w:rFonts w:hint="eastAsia" w:ascii="仿宋" w:hAnsi="仿宋" w:eastAsia="仿宋" w:cs="宋体"/>
          <w:sz w:val="24"/>
          <w:szCs w:val="24"/>
        </w:rPr>
        <w:t>□否</w:t>
      </w:r>
      <w:r>
        <w:rPr>
          <w:rFonts w:ascii="仿宋" w:hAnsi="仿宋" w:eastAsia="仿宋" w:cs="宋体"/>
          <w:sz w:val="24"/>
          <w:szCs w:val="24"/>
        </w:rPr>
        <w:t xml:space="preserve">  </w:t>
      </w:r>
      <w:r>
        <w:rPr>
          <w:rFonts w:hint="eastAsia" w:ascii="仿宋" w:hAnsi="仿宋" w:eastAsia="仿宋" w:cs="宋体"/>
          <w:sz w:val="24"/>
          <w:szCs w:val="24"/>
        </w:rPr>
        <w:t>□不适用</w:t>
      </w:r>
    </w:p>
    <w:p>
      <w:pPr>
        <w:ind w:right="417"/>
        <w:jc w:val="left"/>
        <w:rPr>
          <w:rFonts w:ascii="仿宋" w:hAnsi="仿宋" w:eastAsia="仿宋" w:cs="宋体"/>
          <w:b/>
          <w:bCs/>
          <w:sz w:val="24"/>
          <w:szCs w:val="24"/>
        </w:rPr>
      </w:pPr>
      <w:r>
        <w:rPr>
          <w:rFonts w:hint="eastAsia" w:ascii="仿宋" w:hAnsi="仿宋" w:eastAsia="仿宋" w:cs="宋体"/>
          <w:b/>
          <w:bCs/>
          <w:sz w:val="24"/>
          <w:szCs w:val="24"/>
        </w:rPr>
        <w:t xml:space="preserve">（十五）承销方式                                        </w:t>
      </w:r>
    </w:p>
    <w:p>
      <w:pPr>
        <w:rPr>
          <w:rFonts w:ascii="仿宋" w:hAnsi="仿宋" w:eastAsia="仿宋" w:cs="宋体"/>
          <w:sz w:val="24"/>
          <w:szCs w:val="24"/>
        </w:rPr>
      </w:pPr>
      <w:r>
        <w:rPr>
          <w:rFonts w:hint="eastAsia" w:ascii="仿宋" w:hAnsi="仿宋" w:eastAsia="仿宋" w:cs="宋体"/>
          <w:sz w:val="24"/>
          <w:szCs w:val="24"/>
        </w:rPr>
        <w:t xml:space="preserve">1.方案中是否明确有无设置承销团或分销商。如有，是否明确说明承销团成员或分销商情况。     </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rPr>
          <w:rFonts w:ascii="仿宋" w:hAnsi="仿宋" w:eastAsia="仿宋" w:cs="宋体"/>
          <w:sz w:val="24"/>
          <w:szCs w:val="24"/>
        </w:rPr>
      </w:pPr>
      <w:r>
        <w:rPr>
          <w:rFonts w:hint="eastAsia" w:ascii="仿宋" w:hAnsi="仿宋" w:eastAsia="仿宋" w:cs="宋体"/>
          <w:sz w:val="24"/>
          <w:szCs w:val="24"/>
        </w:rPr>
        <w:t>2.如有联席主承销商，方案中是否已明确联席主承销商之间的职责分工、包销责任划分安排等。</w:t>
      </w:r>
    </w:p>
    <w:p>
      <w:pPr>
        <w:ind w:left="400"/>
        <w:jc w:val="right"/>
        <w:rPr>
          <w:rFonts w:ascii="仿宋" w:hAnsi="仿宋" w:eastAsia="仿宋" w:cs="宋体"/>
          <w:sz w:val="24"/>
          <w:szCs w:val="24"/>
        </w:rPr>
      </w:pPr>
      <w:r>
        <w:rPr>
          <w:rFonts w:hint="eastAsia" w:ascii="仿宋" w:hAnsi="仿宋" w:eastAsia="仿宋"/>
          <w:sz w:val="24"/>
          <w:szCs w:val="24"/>
        </w:rPr>
        <w:sym w:font="Wingdings 2" w:char="00A3"/>
      </w:r>
      <w:r>
        <w:rPr>
          <w:rFonts w:hint="eastAsia" w:ascii="仿宋" w:hAnsi="仿宋" w:eastAsia="仿宋" w:cs="宋体"/>
          <w:sz w:val="24"/>
          <w:szCs w:val="24"/>
        </w:rPr>
        <w:t>是  □否  □不适用</w:t>
      </w:r>
    </w:p>
    <w:p>
      <w:pPr>
        <w:spacing w:before="60" w:beforeLines="25"/>
        <w:ind w:right="-6"/>
        <w:jc w:val="right"/>
        <w:rPr>
          <w:rFonts w:ascii="仿宋" w:hAnsi="仿宋" w:eastAsia="仿宋" w:cs="宋体"/>
          <w:b/>
          <w:bCs/>
          <w:sz w:val="24"/>
          <w:szCs w:val="24"/>
        </w:rPr>
      </w:pPr>
      <w:r>
        <w:rPr>
          <w:rFonts w:hint="eastAsia" w:ascii="仿宋" w:hAnsi="仿宋" w:eastAsia="仿宋" w:cs="宋体"/>
          <w:b/>
          <w:bCs/>
          <w:sz w:val="24"/>
          <w:szCs w:val="24"/>
        </w:rPr>
        <w:t xml:space="preserve">（十六）超额配售选择权                            </w:t>
      </w:r>
      <w:r>
        <w:rPr>
          <w:rFonts w:hint="eastAsia" w:ascii="仿宋" w:hAnsi="仿宋" w:eastAsia="仿宋" w:cs="宋体"/>
          <w:b/>
          <w:bCs/>
          <w:sz w:val="24"/>
          <w:szCs w:val="24"/>
          <w:lang w:eastAsia="zh-TW"/>
        </w:rPr>
        <w:sym w:font="Wingdings 2" w:char="00A3"/>
      </w:r>
      <w:r>
        <w:rPr>
          <w:rFonts w:hint="eastAsia" w:ascii="仿宋" w:hAnsi="仿宋" w:eastAsia="仿宋" w:cs="宋体"/>
          <w:b/>
          <w:bCs/>
          <w:sz w:val="24"/>
          <w:szCs w:val="24"/>
        </w:rPr>
        <w:t xml:space="preserve">是  </w:t>
      </w:r>
      <w:r>
        <w:rPr>
          <w:rFonts w:hint="eastAsia" w:ascii="仿宋" w:hAnsi="仿宋" w:eastAsia="仿宋" w:cs="宋体"/>
          <w:b/>
          <w:bCs/>
          <w:sz w:val="24"/>
          <w:szCs w:val="24"/>
          <w:lang w:eastAsia="zh-TW"/>
        </w:rPr>
        <w:t>□</w:t>
      </w:r>
      <w:r>
        <w:rPr>
          <w:rFonts w:hint="eastAsia" w:ascii="仿宋" w:hAnsi="仿宋" w:eastAsia="仿宋" w:cs="宋体"/>
          <w:b/>
          <w:bCs/>
          <w:sz w:val="24"/>
          <w:szCs w:val="24"/>
        </w:rPr>
        <w:t xml:space="preserve">否  </w:t>
      </w:r>
      <w:r>
        <w:rPr>
          <w:rFonts w:hint="eastAsia" w:ascii="仿宋" w:hAnsi="仿宋" w:eastAsia="仿宋" w:cs="宋体"/>
          <w:b/>
          <w:bCs/>
          <w:sz w:val="24"/>
          <w:szCs w:val="24"/>
          <w:lang w:eastAsia="zh-TW"/>
        </w:rPr>
        <w:sym w:font="Wingdings 2" w:char="00A3"/>
      </w:r>
      <w:r>
        <w:rPr>
          <w:rFonts w:hint="eastAsia" w:ascii="仿宋" w:hAnsi="仿宋" w:eastAsia="仿宋" w:cs="宋体"/>
          <w:b/>
          <w:bCs/>
          <w:sz w:val="24"/>
          <w:szCs w:val="24"/>
        </w:rPr>
        <w:t>不适用</w:t>
      </w:r>
    </w:p>
    <w:p>
      <w:pPr>
        <w:pStyle w:val="35"/>
        <w:numPr>
          <w:ilvl w:val="0"/>
          <w:numId w:val="15"/>
        </w:numPr>
        <w:ind w:firstLineChars="0"/>
        <w:rPr>
          <w:rFonts w:ascii="仿宋" w:hAnsi="仿宋" w:eastAsia="仿宋" w:cs="宋体"/>
          <w:sz w:val="24"/>
        </w:rPr>
      </w:pPr>
      <w:r>
        <w:rPr>
          <w:rFonts w:hint="eastAsia" w:ascii="仿宋" w:hAnsi="仿宋" w:eastAsia="仿宋" w:cs="宋体"/>
          <w:sz w:val="24"/>
        </w:rPr>
        <w:t>方案中应当明确是否采用超额配售选择权。</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5"/>
        <w:numPr>
          <w:ilvl w:val="0"/>
          <w:numId w:val="16"/>
        </w:numPr>
        <w:ind w:firstLineChars="0"/>
        <w:jc w:val="left"/>
        <w:rPr>
          <w:rFonts w:ascii="仿宋" w:hAnsi="仿宋" w:eastAsia="仿宋" w:cs="宋体"/>
          <w:sz w:val="24"/>
        </w:rPr>
      </w:pPr>
      <w:r>
        <w:rPr>
          <w:rFonts w:hint="eastAsia" w:ascii="仿宋" w:hAnsi="仿宋" w:eastAsia="仿宋" w:cs="宋体"/>
          <w:sz w:val="24"/>
        </w:rPr>
        <w:t>采用超额配售选择权的，方案中应当说明同意向其延期交付的投资者相关信息，并说明延期交付证券协议的主要内容。</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pStyle w:val="35"/>
        <w:numPr>
          <w:ilvl w:val="0"/>
          <w:numId w:val="16"/>
        </w:numPr>
        <w:ind w:firstLineChars="0"/>
        <w:jc w:val="left"/>
        <w:rPr>
          <w:rFonts w:ascii="仿宋" w:hAnsi="仿宋" w:eastAsia="仿宋" w:cs="宋体"/>
          <w:sz w:val="24"/>
        </w:rPr>
      </w:pPr>
      <w:r>
        <w:rPr>
          <w:rFonts w:hint="eastAsia" w:ascii="仿宋" w:hAnsi="仿宋" w:eastAsia="仿宋" w:cs="宋体"/>
          <w:sz w:val="24"/>
        </w:rPr>
        <w:t>采用超额配售选择权的，关注方案中是否说明符合《倡议》中采用超额配售选择权的情形，即发行数量不低于</w:t>
      </w:r>
      <w:r>
        <w:rPr>
          <w:rFonts w:ascii="仿宋" w:hAnsi="仿宋" w:eastAsia="仿宋" w:cs="宋体"/>
          <w:sz w:val="24"/>
        </w:rPr>
        <w:t>8000万或预计募集资金总额不少于15亿元。</w:t>
      </w:r>
    </w:p>
    <w:p>
      <w:pPr>
        <w:pStyle w:val="35"/>
        <w:ind w:firstLine="0" w:firstLineChars="0"/>
        <w:jc w:val="righ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是  □否  □不适用</w:t>
      </w:r>
    </w:p>
    <w:p>
      <w:pPr>
        <w:pStyle w:val="35"/>
        <w:numPr>
          <w:ilvl w:val="0"/>
          <w:numId w:val="16"/>
        </w:numPr>
        <w:ind w:firstLineChars="0"/>
        <w:jc w:val="left"/>
        <w:rPr>
          <w:rFonts w:ascii="仿宋" w:hAnsi="仿宋" w:eastAsia="仿宋" w:cs="宋体"/>
          <w:sz w:val="24"/>
        </w:rPr>
      </w:pPr>
      <w:r>
        <w:rPr>
          <w:rFonts w:hint="eastAsia" w:ascii="仿宋" w:hAnsi="仿宋" w:eastAsia="仿宋" w:cs="宋体"/>
          <w:sz w:val="24"/>
        </w:rPr>
        <w:t>如需采用超额配售选择权且发行数量低于</w:t>
      </w:r>
      <w:r>
        <w:rPr>
          <w:rFonts w:ascii="仿宋" w:hAnsi="仿宋" w:eastAsia="仿宋" w:cs="宋体"/>
          <w:sz w:val="24"/>
        </w:rPr>
        <w:t>8000万，方案中是否充分说明预计募集资金总额不少于15亿元的判断依据，是否明确询价结果导致募集资金总额少于15亿元时的处理措施。</w:t>
      </w:r>
    </w:p>
    <w:p>
      <w:pPr>
        <w:pStyle w:val="35"/>
        <w:ind w:firstLine="0" w:firstLineChars="0"/>
        <w:jc w:val="right"/>
        <w:rPr>
          <w:rFonts w:ascii="仿宋" w:hAnsi="仿宋" w:eastAsia="仿宋" w:cs="宋体"/>
          <w:sz w:val="24"/>
        </w:rPr>
      </w:pPr>
      <w:r>
        <w:rPr>
          <w:rFonts w:hint="eastAsia" w:ascii="仿宋" w:hAnsi="仿宋" w:eastAsia="仿宋" w:cs="宋体"/>
          <w:sz w:val="24"/>
        </w:rPr>
        <w:sym w:font="Wingdings 2" w:char="00A3"/>
      </w:r>
      <w:r>
        <w:rPr>
          <w:rFonts w:hint="eastAsia" w:ascii="仿宋" w:hAnsi="仿宋" w:eastAsia="仿宋" w:cs="宋体"/>
          <w:sz w:val="24"/>
        </w:rPr>
        <w:t>是  □否  □不适用</w:t>
      </w:r>
    </w:p>
    <w:p>
      <w:pPr>
        <w:pStyle w:val="35"/>
        <w:numPr>
          <w:ilvl w:val="0"/>
          <w:numId w:val="16"/>
        </w:numPr>
        <w:ind w:firstLineChars="0"/>
        <w:jc w:val="left"/>
        <w:rPr>
          <w:rFonts w:ascii="仿宋" w:hAnsi="仿宋" w:eastAsia="仿宋" w:cs="宋体"/>
          <w:sz w:val="24"/>
        </w:rPr>
      </w:pPr>
      <w:r>
        <w:rPr>
          <w:rFonts w:hint="eastAsia" w:ascii="仿宋" w:hAnsi="仿宋" w:eastAsia="仿宋" w:cs="宋体"/>
          <w:sz w:val="24"/>
        </w:rPr>
        <w:t>采用超额配售选择权的，方案中是否说明实施方案，包括但不限于超额配售比例与数量上限、时间表、发行人股票上市之日起30个自然日内的交易原则。</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spacing w:before="60" w:beforeLines="25"/>
        <w:jc w:val="left"/>
        <w:rPr>
          <w:rFonts w:ascii="仿宋" w:hAnsi="仿宋" w:eastAsia="仿宋" w:cs="宋体"/>
          <w:b/>
          <w:bCs/>
          <w:sz w:val="24"/>
          <w:szCs w:val="24"/>
        </w:rPr>
      </w:pPr>
      <w:r>
        <w:rPr>
          <w:rFonts w:hint="eastAsia" w:ascii="仿宋" w:hAnsi="仿宋" w:eastAsia="仿宋" w:cs="宋体"/>
          <w:b/>
          <w:bCs/>
          <w:sz w:val="24"/>
          <w:szCs w:val="24"/>
        </w:rPr>
        <w:t xml:space="preserve">（十七）战略配售方案                              </w:t>
      </w:r>
      <w:r>
        <w:rPr>
          <w:rFonts w:hint="eastAsia" w:ascii="仿宋" w:hAnsi="仿宋" w:eastAsia="仿宋" w:cs="宋体"/>
          <w:b/>
          <w:bCs/>
          <w:sz w:val="24"/>
          <w:szCs w:val="24"/>
        </w:rPr>
        <w:sym w:font="Wingdings 2" w:char="00A3"/>
      </w:r>
      <w:r>
        <w:rPr>
          <w:rFonts w:hint="eastAsia" w:ascii="仿宋" w:hAnsi="仿宋" w:eastAsia="仿宋" w:cs="宋体"/>
          <w:b/>
          <w:bCs/>
          <w:sz w:val="24"/>
          <w:szCs w:val="24"/>
        </w:rPr>
        <w:t>是  □否  □不适用</w:t>
      </w:r>
    </w:p>
    <w:p>
      <w:pPr>
        <w:numPr>
          <w:ilvl w:val="0"/>
          <w:numId w:val="17"/>
        </w:numPr>
        <w:rPr>
          <w:rFonts w:ascii="仿宋" w:hAnsi="仿宋" w:eastAsia="仿宋" w:cs="宋体"/>
          <w:sz w:val="24"/>
          <w:szCs w:val="24"/>
        </w:rPr>
      </w:pPr>
      <w:r>
        <w:rPr>
          <w:rFonts w:hint="eastAsia" w:ascii="仿宋" w:hAnsi="仿宋" w:eastAsia="仿宋" w:cs="宋体"/>
          <w:sz w:val="24"/>
          <w:szCs w:val="24"/>
        </w:rPr>
        <w:t>备案材料齐备，盖章、签字等要素清晰完整。包括战略配售方案、战略配售协议、战略合作协议、发行人和参与战略配售的投资者出具的核查事项承诺函、主承销商出具的专项核查报告、律师事务所出具的法律意见书。</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根据《承销办法》第六条，采用直接定价方式确定发行价格的，除保荐人相关子公司按规则要求进行跟投外，不能实施战略配售。</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参与战略配售的投资者数量、战略配售比例安排是否符合《首发承销细则》第三十五的规定，即：</w:t>
      </w:r>
    </w:p>
    <w:p>
      <w:pPr>
        <w:rPr>
          <w:rFonts w:ascii="仿宋" w:hAnsi="仿宋" w:eastAsia="仿宋" w:cs="宋体"/>
          <w:sz w:val="24"/>
          <w:szCs w:val="24"/>
        </w:rPr>
      </w:pPr>
      <w:r>
        <w:rPr>
          <w:rFonts w:hint="eastAsia" w:ascii="仿宋" w:hAnsi="仿宋" w:eastAsia="仿宋" w:cs="宋体"/>
          <w:sz w:val="24"/>
          <w:szCs w:val="24"/>
        </w:rPr>
        <w:t>①发行证券数量不足一亿股（份）的，参与战略配售的投资者数量应当不超过10名，战略配售比例应当不超过20%。</w:t>
      </w:r>
    </w:p>
    <w:p>
      <w:pPr>
        <w:spacing w:line="252" w:lineRule="auto"/>
        <w:rPr>
          <w:rFonts w:ascii="仿宋" w:hAnsi="仿宋" w:eastAsia="仿宋" w:cs="宋体"/>
          <w:sz w:val="24"/>
          <w:szCs w:val="24"/>
        </w:rPr>
      </w:pPr>
      <w:r>
        <w:rPr>
          <w:rFonts w:hint="eastAsia" w:ascii="仿宋" w:hAnsi="仿宋" w:eastAsia="仿宋" w:cs="宋体"/>
          <w:sz w:val="24"/>
          <w:szCs w:val="24"/>
        </w:rPr>
        <w:t>②发行证券数量一亿股（份）以上的，参与战略配售的投资者数量应当不超过35名，其中发行证券数量一亿股（份）以上，不足四亿股（份）的，战略配售比例应当不超过30%；四亿股（份）以上的，战略配售比例应当不超过50%。</w:t>
      </w:r>
    </w:p>
    <w:p>
      <w:pPr>
        <w:spacing w:line="252" w:lineRule="auto"/>
        <w:jc w:val="right"/>
        <w:rPr>
          <w:rFonts w:ascii="仿宋" w:hAnsi="仿宋" w:eastAsia="仿宋" w:cs="宋体"/>
          <w:sz w:val="24"/>
          <w:szCs w:val="24"/>
        </w:rPr>
      </w:pPr>
      <w:r>
        <w:rPr>
          <w:rFonts w:hint="eastAsia" w:ascii="仿宋" w:hAnsi="仿宋" w:eastAsia="仿宋" w:cs="宋体"/>
          <w:sz w:val="24"/>
          <w:szCs w:val="24"/>
          <w:lang w:eastAsia="zh-TW"/>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是  □否  □不适用</w:t>
      </w:r>
    </w:p>
    <w:p>
      <w:pPr>
        <w:numPr>
          <w:ilvl w:val="0"/>
          <w:numId w:val="17"/>
        </w:numPr>
        <w:rPr>
          <w:rFonts w:ascii="仿宋" w:hAnsi="仿宋" w:eastAsia="仿宋" w:cs="宋体"/>
          <w:sz w:val="24"/>
          <w:szCs w:val="24"/>
        </w:rPr>
      </w:pPr>
      <w:r>
        <w:rPr>
          <w:rFonts w:hint="eastAsia" w:ascii="仿宋" w:hAnsi="仿宋" w:eastAsia="仿宋" w:cs="宋体"/>
          <w:sz w:val="24"/>
          <w:szCs w:val="24"/>
        </w:rPr>
        <w:t>战略配售方案中是否已结合发行数量、限售安排、实际需要等因素，充分说明安排参与战略配售的投资者数量和配售比例的原因，是否能保障证券上市后必要的流动性。</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是  □否  □不适用</w:t>
      </w:r>
    </w:p>
    <w:p>
      <w:pPr>
        <w:numPr>
          <w:ilvl w:val="0"/>
          <w:numId w:val="17"/>
        </w:numPr>
        <w:rPr>
          <w:rFonts w:ascii="仿宋" w:hAnsi="仿宋" w:eastAsia="仿宋" w:cs="宋体"/>
          <w:sz w:val="24"/>
          <w:szCs w:val="24"/>
        </w:rPr>
      </w:pPr>
      <w:r>
        <w:rPr>
          <w:rFonts w:hint="eastAsia" w:ascii="仿宋" w:hAnsi="仿宋" w:eastAsia="仿宋" w:cs="宋体"/>
          <w:sz w:val="24"/>
          <w:szCs w:val="24"/>
        </w:rPr>
        <w:t>参与战略配售的投资者是否符合《首发承销细则》第三十六条、第三十七条相关要求，即已与发行人签署战略配售协议，应当具有较强资金实力、认可发行人长期投资价值，按照最终确定的发行价格认购其承诺认购数量的发行人证券并实际持有本次配售证券</w:t>
      </w:r>
      <w:r>
        <w:rPr>
          <w:rFonts w:hint="eastAsia" w:ascii="仿宋_GB2312" w:eastAsia="仿宋_GB2312"/>
          <w:sz w:val="24"/>
          <w:szCs w:val="24"/>
        </w:rPr>
        <w:t>；且承诺持有期限不少于12个月。</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参与战略配售的投资者是否符合《承销办法》第二十二条相关要求，即应当使用自有资金认购，不得接受他人委托或者委托他人参与配售，但依法设立并符合特定投资目的的证券投资基金等除外</w:t>
      </w:r>
      <w:r>
        <w:rPr>
          <w:rFonts w:hint="eastAsia" w:ascii="仿宋_GB2312" w:eastAsia="仿宋_GB2312"/>
          <w:sz w:val="24"/>
          <w:szCs w:val="24"/>
        </w:rPr>
        <w:t>。</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参与战略配售的投资者主体是否符合《首发承销细则》第三十八条和《倡议》相关要求。</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大型企业或其下属企业参与战略配售的，战略配售方案中是否充分说明：①与发行人经营业务具有战略协同关系或者签署战略合作协议，明确切实可行的战略合作安排；②是否使用大型企业或其下属企业的自有资金；③是否不存在受托参与或者以该参与主体作为平台募资后参与的情况；④是否由大型企业最终享有或承担本次战略配售的收益或损失。</w:t>
      </w:r>
    </w:p>
    <w:p>
      <w:pPr>
        <w:ind w:left="400"/>
        <w:jc w:val="right"/>
        <w:rPr>
          <w:rFonts w:ascii="仿宋" w:hAnsi="仿宋" w:eastAsia="仿宋" w:cs="宋体"/>
          <w:sz w:val="24"/>
        </w:rPr>
      </w:pPr>
      <w:r>
        <w:rPr>
          <w:rFonts w:hint="eastAsia"/>
          <w:lang w:eastAsia="zh-TW"/>
        </w:rPr>
        <w:sym w:font="Wingdings 2" w:char="00A3"/>
      </w:r>
      <w:r>
        <w:rPr>
          <w:rFonts w:hint="eastAsia" w:ascii="仿宋" w:hAnsi="仿宋" w:eastAsia="仿宋" w:cs="宋体"/>
          <w:sz w:val="24"/>
        </w:rPr>
        <w:t xml:space="preserve">是  </w:t>
      </w:r>
      <w:r>
        <w:rPr>
          <w:rFonts w:hint="eastAsia" w:ascii="仿宋" w:hAnsi="仿宋" w:eastAsia="仿宋" w:cs="宋体"/>
          <w:sz w:val="24"/>
          <w:lang w:eastAsia="zh-TW"/>
        </w:rPr>
        <w:t>□</w:t>
      </w:r>
      <w:r>
        <w:rPr>
          <w:rFonts w:hint="eastAsia" w:ascii="仿宋" w:hAnsi="仿宋" w:eastAsia="仿宋" w:cs="宋体"/>
          <w:sz w:val="24"/>
        </w:rPr>
        <w:t>否</w:t>
      </w:r>
      <w:r>
        <w:rPr>
          <w:rFonts w:ascii="仿宋" w:hAnsi="仿宋" w:eastAsia="仿宋" w:cs="宋体"/>
          <w:sz w:val="24"/>
        </w:rPr>
        <w:t xml:space="preserve">  </w:t>
      </w:r>
      <w:r>
        <w:rPr>
          <w:rFonts w:hint="eastAsia"/>
          <w:lang w:eastAsia="zh-TW"/>
        </w:rPr>
        <w:sym w:font="Wingdings 2" w:char="00A3"/>
      </w:r>
      <w:r>
        <w:rPr>
          <w:rFonts w:hint="eastAsia" w:ascii="仿宋" w:hAnsi="仿宋" w:eastAsia="仿宋" w:cs="宋体"/>
          <w:sz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国家级大型投资基金或其下属企业参与战略配售的，战略配售方案中是否充分说明：①是否由国务院部委等同级别及以上机关单位发起设立；②投资方向是否属于国家支持的重点行业与产业、国家重点战略规划等；③参与战略配售的投资决策是否取得国家级大型投资基金或其管理机构同意。</w:t>
      </w:r>
    </w:p>
    <w:p>
      <w:pPr>
        <w:ind w:left="400"/>
        <w:jc w:val="right"/>
        <w:rPr>
          <w:rFonts w:ascii="仿宋" w:hAnsi="仿宋" w:eastAsia="仿宋" w:cs="宋体"/>
          <w:sz w:val="24"/>
        </w:rPr>
      </w:pPr>
      <w:r>
        <w:rPr>
          <w:rFonts w:hint="eastAsia"/>
          <w:lang w:eastAsia="zh-TW"/>
        </w:rPr>
        <w:sym w:font="Wingdings 2" w:char="00A3"/>
      </w:r>
      <w:r>
        <w:rPr>
          <w:rFonts w:hint="eastAsia" w:ascii="仿宋" w:hAnsi="仿宋" w:eastAsia="仿宋" w:cs="宋体"/>
          <w:sz w:val="24"/>
        </w:rPr>
        <w:t xml:space="preserve">是  </w:t>
      </w:r>
      <w:r>
        <w:rPr>
          <w:rFonts w:hint="eastAsia" w:ascii="仿宋" w:hAnsi="仿宋" w:eastAsia="仿宋" w:cs="宋体"/>
          <w:sz w:val="24"/>
          <w:lang w:eastAsia="zh-TW"/>
        </w:rPr>
        <w:t>□</w:t>
      </w:r>
      <w:r>
        <w:rPr>
          <w:rFonts w:hint="eastAsia" w:ascii="仿宋" w:hAnsi="仿宋" w:eastAsia="仿宋" w:cs="宋体"/>
          <w:sz w:val="24"/>
        </w:rPr>
        <w:t>否</w:t>
      </w:r>
      <w:r>
        <w:rPr>
          <w:rFonts w:ascii="仿宋" w:hAnsi="仿宋" w:eastAsia="仿宋" w:cs="宋体"/>
          <w:sz w:val="24"/>
        </w:rPr>
        <w:t xml:space="preserve">  </w:t>
      </w:r>
      <w:r>
        <w:rPr>
          <w:rFonts w:hint="eastAsia"/>
          <w:lang w:eastAsia="zh-TW"/>
        </w:rPr>
        <w:sym w:font="Wingdings 2" w:char="00A3"/>
      </w:r>
      <w:r>
        <w:rPr>
          <w:rFonts w:hint="eastAsia" w:ascii="仿宋" w:hAnsi="仿宋" w:eastAsia="仿宋" w:cs="宋体"/>
          <w:sz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符合《首发承销细则》第三十八条第六项规定的投资者参与战略配售的，战略配售方案中是否充分说明：①是否符合发行人对参与战略配售的投资者选择标准；②是否详细说明适用《首发承销细则》第三十八条第六项规定的理由及必要性；③是否具有与发行人同行业或相关行业较强的重要战略性资源，包括为发行人带来国际国内领先的核心技术资源、市场、渠道或品牌等；④是否已与发行人签订具有法律约束力的战略合作协议，并作出切实可行的战略合作安排；⑤是否不存在受托参与或者以该参与主体作为平台募资后参与的情况。</w:t>
      </w:r>
    </w:p>
    <w:p>
      <w:pPr>
        <w:ind w:left="400"/>
        <w:jc w:val="right"/>
        <w:rPr>
          <w:rFonts w:ascii="仿宋" w:hAnsi="仿宋" w:eastAsia="仿宋" w:cs="宋体"/>
          <w:sz w:val="24"/>
          <w:szCs w:val="24"/>
        </w:rPr>
      </w:pPr>
      <w:r>
        <w:rPr>
          <w:rFonts w:hint="eastAsia"/>
          <w:lang w:eastAsia="zh-TW"/>
        </w:rPr>
        <w:sym w:font="Wingdings 2" w:char="00A3"/>
      </w:r>
      <w:r>
        <w:rPr>
          <w:rFonts w:hint="eastAsia" w:ascii="仿宋" w:hAnsi="仿宋" w:eastAsia="仿宋" w:cs="宋体"/>
          <w:sz w:val="24"/>
        </w:rPr>
        <w:t xml:space="preserve">是  </w:t>
      </w:r>
      <w:r>
        <w:rPr>
          <w:rFonts w:hint="eastAsia" w:ascii="仿宋" w:hAnsi="仿宋" w:eastAsia="仿宋" w:cs="宋体"/>
          <w:sz w:val="24"/>
          <w:lang w:eastAsia="zh-TW"/>
        </w:rPr>
        <w:t>□</w:t>
      </w:r>
      <w:r>
        <w:rPr>
          <w:rFonts w:hint="eastAsia" w:ascii="仿宋" w:hAnsi="仿宋" w:eastAsia="仿宋" w:cs="宋体"/>
          <w:sz w:val="24"/>
        </w:rPr>
        <w:t>否</w:t>
      </w:r>
      <w:r>
        <w:rPr>
          <w:rFonts w:ascii="仿宋" w:hAnsi="仿宋" w:eastAsia="仿宋" w:cs="宋体"/>
          <w:sz w:val="24"/>
        </w:rPr>
        <w:t xml:space="preserve">  </w:t>
      </w:r>
      <w:r>
        <w:rPr>
          <w:rFonts w:hint="eastAsia"/>
          <w:lang w:eastAsia="zh-TW"/>
        </w:rPr>
        <w:sym w:font="Wingdings 2" w:char="00A3"/>
      </w:r>
      <w:r>
        <w:rPr>
          <w:rFonts w:hint="eastAsia" w:ascii="仿宋" w:hAnsi="仿宋" w:eastAsia="仿宋" w:cs="宋体"/>
          <w:sz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战略配售方案中是否明确参与战略配售的投资者的基本情况，披露股权或投资者结构，直至最终实际控制人。</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t>□</w:t>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战略配售方案中是否充分论证说明发行人、主承销商不存在通过战略配售进行直接或间接利益输送的行为。</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7"/>
        </w:numPr>
        <w:rPr>
          <w:rFonts w:ascii="仿宋" w:hAnsi="仿宋" w:eastAsia="仿宋" w:cs="宋体"/>
          <w:sz w:val="24"/>
          <w:szCs w:val="24"/>
        </w:rPr>
      </w:pPr>
      <w:r>
        <w:rPr>
          <w:rFonts w:hint="eastAsia" w:ascii="仿宋" w:hAnsi="仿宋" w:eastAsia="仿宋" w:cs="宋体"/>
          <w:sz w:val="24"/>
          <w:szCs w:val="24"/>
        </w:rPr>
        <w:t>方案中是否已按照《首发承销细则》第四十三条规定，明确参与战略配售的投资者不得参与网上发行与网下发行，但证券投资基金管理人管理的未参与战略配售的公募基金、社保基金、养老金、年金基金除外。</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是  □否  □不适用</w:t>
      </w:r>
    </w:p>
    <w:p>
      <w:pPr>
        <w:spacing w:before="120" w:beforeLines="50"/>
        <w:jc w:val="left"/>
        <w:rPr>
          <w:rFonts w:ascii="仿宋" w:hAnsi="仿宋" w:eastAsia="仿宋" w:cs="宋体"/>
          <w:sz w:val="24"/>
          <w:szCs w:val="24"/>
        </w:rPr>
      </w:pPr>
      <w:r>
        <w:rPr>
          <w:rFonts w:hint="eastAsia" w:ascii="仿宋" w:hAnsi="仿宋" w:eastAsia="仿宋" w:cs="宋体"/>
          <w:b/>
          <w:bCs/>
          <w:sz w:val="24"/>
          <w:szCs w:val="24"/>
        </w:rPr>
        <w:t>（十八）保荐人相关子公司跟投（创业板适用）</w:t>
      </w:r>
      <w:r>
        <w:rPr>
          <w:rFonts w:hint="eastAsia" w:ascii="仿宋" w:hAnsi="仿宋" w:eastAsia="仿宋" w:cs="宋体"/>
          <w:sz w:val="24"/>
          <w:szCs w:val="24"/>
        </w:rPr>
        <w:t xml:space="preserve">        </w:t>
      </w:r>
      <w:r>
        <w:rPr>
          <w:rFonts w:hint="eastAsia" w:ascii="仿宋" w:hAnsi="仿宋" w:eastAsia="仿宋"/>
          <w:b/>
          <w:bCs/>
          <w:sz w:val="24"/>
          <w:szCs w:val="24"/>
        </w:rPr>
        <w:t xml:space="preserve">□是  </w:t>
      </w:r>
      <w:r>
        <w:rPr>
          <w:rFonts w:hint="eastAsia" w:ascii="仿宋" w:hAnsi="仿宋" w:eastAsia="仿宋"/>
          <w:b/>
          <w:bCs/>
          <w:sz w:val="24"/>
          <w:szCs w:val="24"/>
        </w:rPr>
        <w:sym w:font="Wingdings 2" w:char="00A3"/>
      </w:r>
      <w:r>
        <w:rPr>
          <w:rFonts w:hint="eastAsia" w:ascii="仿宋" w:hAnsi="仿宋" w:eastAsia="仿宋"/>
          <w:b/>
          <w:bCs/>
          <w:sz w:val="24"/>
          <w:szCs w:val="24"/>
        </w:rPr>
        <w:t xml:space="preserve">否  </w:t>
      </w:r>
      <w:r>
        <w:rPr>
          <w:rFonts w:hint="eastAsia" w:ascii="仿宋" w:hAnsi="仿宋" w:eastAsia="仿宋"/>
          <w:b/>
          <w:bCs/>
          <w:sz w:val="24"/>
          <w:szCs w:val="24"/>
        </w:rPr>
        <w:sym w:font="Wingdings 2" w:char="00A3"/>
      </w:r>
      <w:r>
        <w:rPr>
          <w:rFonts w:hint="eastAsia" w:ascii="仿宋" w:hAnsi="仿宋" w:eastAsia="仿宋"/>
          <w:b/>
          <w:bCs/>
          <w:sz w:val="24"/>
          <w:szCs w:val="24"/>
        </w:rPr>
        <w:t>不适用</w:t>
      </w:r>
      <w:r>
        <w:rPr>
          <w:rFonts w:hint="eastAsia" w:ascii="仿宋" w:hAnsi="仿宋" w:eastAsia="仿宋" w:cs="宋体"/>
          <w:b/>
          <w:bCs/>
          <w:sz w:val="24"/>
          <w:szCs w:val="24"/>
        </w:rPr>
        <w:t xml:space="preserve"> </w:t>
      </w:r>
    </w:p>
    <w:p>
      <w:pPr>
        <w:numPr>
          <w:ilvl w:val="0"/>
          <w:numId w:val="18"/>
        </w:numPr>
        <w:rPr>
          <w:rFonts w:ascii="仿宋" w:hAnsi="仿宋" w:eastAsia="仿宋" w:cs="宋体"/>
          <w:sz w:val="24"/>
          <w:szCs w:val="24"/>
        </w:rPr>
      </w:pPr>
      <w:r>
        <w:rPr>
          <w:rFonts w:hint="eastAsia" w:ascii="仿宋" w:hAnsi="仿宋" w:eastAsia="仿宋" w:cs="宋体"/>
          <w:sz w:val="24"/>
          <w:szCs w:val="24"/>
        </w:rPr>
        <w:t>发行人是否为未盈利企业、表决权差异安排企业或红筹企业。如是，保荐人相关子公司应当跟投。</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8"/>
        </w:numPr>
        <w:rPr>
          <w:rFonts w:ascii="仿宋" w:hAnsi="仿宋" w:eastAsia="仿宋" w:cs="宋体"/>
          <w:sz w:val="24"/>
          <w:szCs w:val="24"/>
        </w:rPr>
      </w:pPr>
      <w:r>
        <w:rPr>
          <w:rFonts w:hint="eastAsia" w:ascii="仿宋" w:hAnsi="仿宋" w:eastAsia="仿宋" w:cs="宋体"/>
          <w:sz w:val="24"/>
          <w:szCs w:val="24"/>
        </w:rPr>
        <w:t>方案中是否说明如果最终确定的发行价格（发行价格区间上限）超过四个值时的跟投安排。</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8"/>
        </w:numPr>
        <w:rPr>
          <w:rFonts w:ascii="仿宋" w:hAnsi="仿宋" w:eastAsia="仿宋" w:cs="宋体"/>
          <w:sz w:val="24"/>
          <w:szCs w:val="24"/>
        </w:rPr>
      </w:pPr>
      <w:r>
        <w:rPr>
          <w:rFonts w:hint="eastAsia" w:ascii="仿宋" w:hAnsi="仿宋" w:eastAsia="仿宋" w:cs="宋体"/>
          <w:sz w:val="24"/>
          <w:szCs w:val="24"/>
        </w:rPr>
        <w:t>跟投相关工作安排是否明确跟投比例、认购金额上限、持有期限、跟投的战略配售数量与网上网下发行数量调整原则、缴款安排。</w:t>
      </w:r>
    </w:p>
    <w:p>
      <w:pPr>
        <w:pStyle w:val="35"/>
        <w:ind w:left="400" w:firstLine="0" w:firstLineChars="0"/>
        <w:jc w:val="right"/>
        <w:rPr>
          <w:rFonts w:ascii="仿宋" w:hAnsi="仿宋" w:eastAsia="仿宋" w:cs="宋体"/>
          <w:sz w:val="24"/>
        </w:rPr>
      </w:pPr>
      <w:r>
        <w:rPr>
          <w:rFonts w:hint="eastAsia"/>
        </w:rPr>
        <w:sym w:font="Wingdings 2" w:char="00A3"/>
      </w:r>
      <w:r>
        <w:rPr>
          <w:rFonts w:hint="eastAsia" w:ascii="仿宋" w:hAnsi="仿宋" w:eastAsia="仿宋" w:cs="宋体"/>
          <w:sz w:val="24"/>
        </w:rPr>
        <w:t>是  □否  □不适用</w:t>
      </w:r>
    </w:p>
    <w:p>
      <w:pPr>
        <w:numPr>
          <w:ilvl w:val="0"/>
          <w:numId w:val="18"/>
        </w:numPr>
        <w:rPr>
          <w:rFonts w:ascii="仿宋" w:hAnsi="仿宋" w:eastAsia="仿宋" w:cs="宋体"/>
          <w:sz w:val="24"/>
          <w:szCs w:val="24"/>
        </w:rPr>
      </w:pPr>
      <w:r>
        <w:rPr>
          <w:rFonts w:hint="eastAsia" w:ascii="仿宋" w:hAnsi="仿宋" w:eastAsia="仿宋" w:cs="宋体"/>
          <w:sz w:val="24"/>
          <w:szCs w:val="24"/>
        </w:rPr>
        <w:t>主承销商是否提供对保荐人相关子公司进行核查的专项核查报告、发行人与保荐人相关子公司就核查事项出具的承诺函，律师事务所出具的法律意见书等材料或其他相关文件。</w:t>
      </w:r>
    </w:p>
    <w:p>
      <w:pPr>
        <w:jc w:val="right"/>
        <w:rPr>
          <w:rFonts w:ascii="仿宋" w:hAnsi="仿宋" w:eastAsia="仿宋" w:cs="宋体"/>
          <w:sz w:val="24"/>
          <w:szCs w:val="24"/>
        </w:rPr>
      </w:pPr>
      <w:r>
        <w:rPr>
          <w:rFonts w:hint="eastAsia" w:ascii="仿宋" w:hAnsi="仿宋" w:eastAsia="仿宋" w:cs="宋体"/>
          <w:sz w:val="24"/>
          <w:szCs w:val="24"/>
        </w:rPr>
        <w:sym w:font="Wingdings 2" w:char="00A3"/>
      </w:r>
      <w:r>
        <w:rPr>
          <w:rFonts w:hint="eastAsia" w:ascii="仿宋" w:hAnsi="仿宋" w:eastAsia="仿宋" w:cs="宋体"/>
          <w:sz w:val="24"/>
          <w:szCs w:val="24"/>
        </w:rPr>
        <w:t>是  □否  □不适用</w:t>
      </w:r>
    </w:p>
    <w:p>
      <w:pPr>
        <w:numPr>
          <w:ilvl w:val="0"/>
          <w:numId w:val="18"/>
        </w:numPr>
        <w:rPr>
          <w:rFonts w:ascii="仿宋" w:hAnsi="仿宋" w:eastAsia="仿宋" w:cs="宋体"/>
          <w:sz w:val="24"/>
          <w:szCs w:val="24"/>
        </w:rPr>
      </w:pPr>
      <w:r>
        <w:rPr>
          <w:rFonts w:hint="eastAsia" w:ascii="仿宋" w:hAnsi="仿宋" w:eastAsia="仿宋" w:cs="宋体"/>
          <w:sz w:val="24"/>
          <w:szCs w:val="24"/>
        </w:rPr>
        <w:t>参与配售的保荐人子公司是否开立专用证券账户，是否承诺不利用获配股份取得的股东地位影响发行人正常生产经营，不在限售期内谋求发行人控制权。</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8"/>
        </w:numPr>
        <w:rPr>
          <w:rFonts w:ascii="仿宋" w:hAnsi="仿宋" w:eastAsia="仿宋" w:cs="宋体"/>
          <w:sz w:val="24"/>
          <w:szCs w:val="24"/>
        </w:rPr>
      </w:pPr>
      <w:r>
        <w:rPr>
          <w:rFonts w:hint="eastAsia" w:ascii="仿宋" w:hAnsi="仿宋" w:eastAsia="仿宋" w:cs="宋体"/>
          <w:sz w:val="24"/>
          <w:szCs w:val="24"/>
        </w:rPr>
        <w:t>如采取联合保荐的，联合保荐人是否分别实施跟投。</w:t>
      </w:r>
    </w:p>
    <w:p>
      <w:pPr>
        <w:jc w:val="right"/>
        <w:rPr>
          <w:rFonts w:ascii="仿宋" w:hAnsi="仿宋" w:eastAsia="仿宋" w:cs="宋体"/>
          <w:sz w:val="24"/>
          <w:szCs w:val="24"/>
        </w:rPr>
      </w:pPr>
      <w:r>
        <w:rPr>
          <w:rFonts w:hint="eastAsia" w:ascii="仿宋" w:hAnsi="仿宋" w:eastAsia="仿宋" w:cs="宋体"/>
          <w:sz w:val="24"/>
          <w:szCs w:val="24"/>
        </w:rPr>
        <w:t xml:space="preserve">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pStyle w:val="33"/>
        <w:rPr>
          <w:rFonts w:ascii="仿宋" w:hAnsi="仿宋" w:eastAsia="仿宋"/>
          <w:b/>
          <w:szCs w:val="24"/>
        </w:rPr>
      </w:pPr>
      <w:r>
        <w:rPr>
          <w:rFonts w:hint="eastAsia" w:ascii="仿宋" w:hAnsi="仿宋" w:eastAsia="仿宋" w:cs="Times New Roman"/>
          <w:b/>
          <w:szCs w:val="24"/>
        </w:rPr>
        <w:t>二、投资价值研究报告自查关注要点</w:t>
      </w:r>
      <w:r>
        <w:rPr>
          <w:rFonts w:hint="eastAsia" w:ascii="仿宋" w:hAnsi="仿宋" w:eastAsia="仿宋"/>
          <w:b/>
          <w:szCs w:val="24"/>
        </w:rPr>
        <w:t xml:space="preserve">                 □是  </w:t>
      </w:r>
      <w:r>
        <w:rPr>
          <w:rFonts w:hint="eastAsia" w:ascii="仿宋" w:hAnsi="仿宋" w:eastAsia="仿宋"/>
          <w:b/>
          <w:szCs w:val="24"/>
        </w:rPr>
        <w:sym w:font="Wingdings 2" w:char="00A3"/>
      </w:r>
      <w:r>
        <w:rPr>
          <w:rFonts w:hint="eastAsia" w:ascii="仿宋" w:hAnsi="仿宋" w:eastAsia="仿宋"/>
          <w:b/>
          <w:szCs w:val="24"/>
        </w:rPr>
        <w:t xml:space="preserve">否  </w:t>
      </w:r>
      <w:r>
        <w:rPr>
          <w:rFonts w:hint="eastAsia" w:ascii="仿宋" w:hAnsi="仿宋" w:eastAsia="仿宋"/>
          <w:b/>
          <w:szCs w:val="24"/>
        </w:rPr>
        <w:sym w:font="Wingdings 2" w:char="00A3"/>
      </w:r>
      <w:r>
        <w:rPr>
          <w:rFonts w:hint="eastAsia" w:ascii="仿宋" w:hAnsi="仿宋" w:eastAsia="仿宋"/>
          <w:b/>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投资价值研究报告（以下简称投价报告）是否已包含所有规则要求的内容，资料来源是否具有权威性。</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投价报告是否已对影响发行人投资价值的因素进行全面分析，</w:t>
      </w:r>
      <w:r>
        <w:rPr>
          <w:rFonts w:hint="eastAsia" w:ascii="仿宋" w:hAnsi="仿宋" w:eastAsia="仿宋" w:cs="宋体"/>
          <w:b/>
          <w:sz w:val="24"/>
          <w:szCs w:val="24"/>
        </w:rPr>
        <w:t>至少包括</w:t>
      </w:r>
      <w:r>
        <w:rPr>
          <w:rFonts w:hint="eastAsia" w:ascii="仿宋" w:hAnsi="仿宋" w:eastAsia="仿宋" w:cs="宋体"/>
          <w:sz w:val="24"/>
          <w:szCs w:val="24"/>
        </w:rPr>
        <w:t>发行人的行业归属、行业政策，发行人与主要竞争者的比较及其在行业中的地位；发行人商业模式、经营状况和发展前景分析；发行人盈利能力和财务状况分析；发行人募集资金投资项目分析；发行人与同行业可比上市公司（如有）的投资价值比较；与发行人相关的风险因素；其他对发行人投资价值有重要影响的因素。</w:t>
      </w:r>
    </w:p>
    <w:p>
      <w:pPr>
        <w:jc w:val="right"/>
        <w:rPr>
          <w:rFonts w:ascii="仿宋" w:hAnsi="仿宋" w:eastAsia="仿宋" w:cs="宋体"/>
          <w:sz w:val="24"/>
          <w:szCs w:val="24"/>
        </w:rPr>
      </w:pP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投价报告是否已确定发行人行业归属，并分析说明行业归属的依据。</w:t>
      </w:r>
    </w:p>
    <w:p>
      <w:pPr>
        <w:jc w:val="right"/>
        <w:rPr>
          <w:rFonts w:ascii="仿宋" w:hAnsi="仿宋" w:eastAsia="仿宋" w:cs="宋体"/>
          <w:sz w:val="24"/>
          <w:szCs w:val="24"/>
        </w:rPr>
      </w:pP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 xml:space="preserve">投价报告是否已对影响发行人投资价值的行业状况与发展前景进行分析与预测（可以包括发行人的行业归属、行业的生命周期分析及其对发行人发展前景的影响、行业供给需求分析、行业竞争分析、行业主要政策分析、行业的发展前景预测以及证券分析师认为行业层面其他的重要因素）。 </w:t>
      </w:r>
    </w:p>
    <w:p>
      <w:pPr>
        <w:jc w:val="right"/>
        <w:rPr>
          <w:rFonts w:ascii="仿宋" w:hAnsi="仿宋" w:eastAsia="仿宋" w:cs="宋体"/>
          <w:sz w:val="24"/>
          <w:szCs w:val="24"/>
          <w:lang w:eastAsia="zh-TW"/>
        </w:rPr>
      </w:pPr>
      <w:r>
        <w:rPr>
          <w:rFonts w:hint="eastAsia"/>
        </w:rPr>
        <w:t xml:space="preserve"> </w:t>
      </w: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投资价值研究报告是否已对影响发行人投资价值的公司状况进行分析（可以包括公司治理的分析与评价、公司战略的分析与评价、经营管理的分析与评价、研发技术的分析与评价、财务状况的分析与评价、募集资金投资项目分析以及证券分析师认为发行人层面其他的重要因素）。公司分析是否建立在行业分析的基础上进行。</w:t>
      </w:r>
    </w:p>
    <w:p>
      <w:pPr>
        <w:jc w:val="right"/>
        <w:rPr>
          <w:rFonts w:ascii="仿宋" w:hAnsi="仿宋" w:eastAsia="仿宋" w:cs="宋体"/>
          <w:sz w:val="24"/>
          <w:szCs w:val="24"/>
          <w:lang w:eastAsia="zh-TW"/>
        </w:rPr>
      </w:pP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可比公司原则上应当与招股书中披露的可比公司保持一致，不得随意选择，并说明选择依据；如存在不一致的情形，应当充分、详细、客观地说明不一致的原因及选择依据。</w:t>
      </w:r>
    </w:p>
    <w:p>
      <w:pPr>
        <w:jc w:val="right"/>
        <w:rPr>
          <w:rFonts w:ascii="仿宋" w:hAnsi="仿宋" w:eastAsia="仿宋"/>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可比公司分析应当列举可比公司的市盈率（两种口径），不适用的可列举其他估值指标。</w:t>
      </w:r>
    </w:p>
    <w:p>
      <w:pPr>
        <w:numPr>
          <w:ilvl w:val="255"/>
          <w:numId w:val="0"/>
        </w:num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是否制作盈利预测模型，是否已包括资产负债表、利润表以及现金流量表三张报表的完整预测及其他为完成预测而制作的辅助报表。</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在进行盈利预测前，是否已明确盈利预测的假设条件，并对假设条件进行清晰、详细的阐述，说明其合理性。盈利预测是否谨慎、合理。</w:t>
      </w:r>
    </w:p>
    <w:p>
      <w:p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估值结论是否给出发行人上市后远期整体公允价值区间。</w:t>
      </w:r>
    </w:p>
    <w:p>
      <w:pPr>
        <w:numPr>
          <w:ilvl w:val="255"/>
          <w:numId w:val="0"/>
        </w:num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 xml:space="preserve">如提供估值结论，估值过程是否使用了至少两种估值方法，是否列出所选用的假设条件、主要参数及选择依据、主要测算过程。                </w:t>
      </w:r>
    </w:p>
    <w:p>
      <w:pPr>
        <w:jc w:val="right"/>
        <w:rPr>
          <w:rFonts w:ascii="仿宋" w:hAnsi="仿宋" w:eastAsia="仿宋"/>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 xml:space="preserve">是  </w:t>
      </w:r>
      <w:r>
        <w:rPr>
          <w:rFonts w:hint="eastAsia" w:ascii="仿宋" w:hAnsi="仿宋" w:eastAsia="仿宋" w:cs="宋体"/>
          <w:sz w:val="24"/>
          <w:szCs w:val="24"/>
          <w:lang w:eastAsia="zh-TW"/>
        </w:rPr>
        <w:t>□</w:t>
      </w:r>
      <w:r>
        <w:rPr>
          <w:rFonts w:hint="eastAsia" w:ascii="仿宋" w:hAnsi="仿宋" w:eastAsia="仿宋" w:cs="宋体"/>
          <w:sz w:val="24"/>
          <w:szCs w:val="24"/>
        </w:rPr>
        <w:t xml:space="preserve">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采用相对估值法的，估值分析应当按照充分提示风险的原则客观地列示相关行业市盈率、市净率、市销率等反映发行人所在行业特点的估值指标。</w:t>
      </w:r>
    </w:p>
    <w:p>
      <w:pPr>
        <w:numPr>
          <w:ilvl w:val="255"/>
          <w:numId w:val="0"/>
        </w:num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cs="宋体"/>
          <w:sz w:val="24"/>
          <w:szCs w:val="24"/>
        </w:rPr>
      </w:pPr>
      <w:r>
        <w:rPr>
          <w:rFonts w:hint="eastAsia" w:ascii="仿宋" w:hAnsi="仿宋" w:eastAsia="仿宋" w:cs="宋体"/>
          <w:sz w:val="24"/>
          <w:szCs w:val="24"/>
        </w:rPr>
        <w:t>采用绝对估值法的，主要估值计算过程应包含进入永续增长率之前现金流折现计算过程、参数及选择依据，展示详细的现金流折现预测和各变量之间的勾稽关系，加强论证的严谨性。</w:t>
      </w:r>
    </w:p>
    <w:p>
      <w:pPr>
        <w:numPr>
          <w:ilvl w:val="255"/>
          <w:numId w:val="0"/>
        </w:numPr>
        <w:jc w:val="right"/>
        <w:rPr>
          <w:rFonts w:ascii="仿宋" w:hAnsi="仿宋" w:eastAsia="仿宋" w:cs="宋体"/>
          <w:sz w:val="24"/>
          <w:szCs w:val="24"/>
        </w:rPr>
      </w:pP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 xml:space="preserve">是  □否  </w:t>
      </w:r>
      <w:r>
        <w:rPr>
          <w:rFonts w:hint="eastAsia" w:ascii="仿宋" w:hAnsi="仿宋" w:eastAsia="仿宋" w:cs="宋体"/>
          <w:sz w:val="24"/>
          <w:szCs w:val="24"/>
          <w:lang w:eastAsia="zh-TW"/>
        </w:rPr>
        <w:sym w:font="Wingdings 2" w:char="00A3"/>
      </w:r>
      <w:r>
        <w:rPr>
          <w:rFonts w:hint="eastAsia" w:ascii="仿宋" w:hAnsi="仿宋" w:eastAsia="仿宋" w:cs="宋体"/>
          <w:sz w:val="24"/>
          <w:szCs w:val="24"/>
          <w:lang w:eastAsia="zh-TW"/>
        </w:rPr>
        <w:t>不适用</w:t>
      </w:r>
    </w:p>
    <w:p>
      <w:pPr>
        <w:numPr>
          <w:ilvl w:val="0"/>
          <w:numId w:val="19"/>
        </w:numPr>
        <w:rPr>
          <w:rFonts w:ascii="仿宋" w:hAnsi="仿宋" w:eastAsia="仿宋"/>
          <w:sz w:val="24"/>
          <w:szCs w:val="24"/>
        </w:rPr>
      </w:pPr>
      <w:r>
        <w:rPr>
          <w:rFonts w:hint="eastAsia" w:ascii="仿宋" w:hAnsi="仿宋" w:eastAsia="仿宋" w:cs="宋体"/>
          <w:sz w:val="24"/>
          <w:szCs w:val="24"/>
        </w:rPr>
        <w:t>是否未对二级市场交易价格作出预测，是否未包含二级市场投资评级等。</w:t>
      </w:r>
    </w:p>
    <w:p>
      <w:pPr>
        <w:pStyle w:val="35"/>
        <w:ind w:left="400" w:firstLine="0" w:firstLineChars="0"/>
        <w:jc w:val="right"/>
        <w:rPr>
          <w:rFonts w:ascii="仿宋" w:hAnsi="仿宋" w:eastAsia="仿宋" w:cs="宋体"/>
          <w:sz w:val="24"/>
        </w:rPr>
      </w:pPr>
      <w:r>
        <w:rPr>
          <w:rFonts w:ascii="仿宋" w:hAnsi="仿宋" w:eastAsia="仿宋" w:cs="宋体"/>
          <w:sz w:val="24"/>
          <w:lang w:eastAsia="zh-TW"/>
        </w:rPr>
        <w:sym w:font="Wingdings 2" w:char="00A3"/>
      </w:r>
      <w:r>
        <w:rPr>
          <w:rFonts w:hint="eastAsia" w:ascii="仿宋" w:hAnsi="仿宋" w:eastAsia="仿宋" w:cs="宋体"/>
          <w:sz w:val="24"/>
          <w:lang w:eastAsia="zh-TW"/>
        </w:rPr>
        <w:t xml:space="preserve">是  □否  </w:t>
      </w:r>
      <w:r>
        <w:rPr>
          <w:rFonts w:ascii="仿宋" w:hAnsi="仿宋" w:eastAsia="仿宋" w:cs="宋体"/>
          <w:sz w:val="24"/>
          <w:lang w:eastAsia="zh-TW"/>
        </w:rPr>
        <w:sym w:font="Wingdings 2" w:char="00A3"/>
      </w:r>
      <w:r>
        <w:rPr>
          <w:rFonts w:hint="eastAsia" w:ascii="仿宋" w:hAnsi="仿宋" w:eastAsia="仿宋" w:cs="宋体"/>
          <w:sz w:val="24"/>
          <w:lang w:eastAsia="zh-TW"/>
        </w:rPr>
        <w:t>不适用</w:t>
      </w:r>
    </w:p>
    <w:p>
      <w:pPr>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主承销商经办人员签字：</w:t>
      </w:r>
    </w:p>
    <w:p>
      <w:pPr>
        <w:rPr>
          <w:rFonts w:ascii="仿宋" w:hAnsi="仿宋" w:eastAsia="仿宋"/>
          <w:b/>
          <w:sz w:val="24"/>
          <w:szCs w:val="24"/>
        </w:rPr>
      </w:pPr>
    </w:p>
    <w:p>
      <w:pPr>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主承销商复核人员签字：</w:t>
      </w:r>
    </w:p>
    <w:p>
      <w:pPr>
        <w:ind w:right="480"/>
        <w:rPr>
          <w:rFonts w:ascii="仿宋" w:hAnsi="仿宋" w:eastAsia="仿宋"/>
          <w:b/>
          <w:sz w:val="24"/>
          <w:szCs w:val="24"/>
        </w:rPr>
      </w:pPr>
    </w:p>
    <w:p>
      <w:pPr>
        <w:ind w:right="480"/>
        <w:rPr>
          <w:rFonts w:ascii="仿宋" w:hAnsi="仿宋" w:eastAsia="仿宋"/>
          <w:b/>
          <w:sz w:val="24"/>
          <w:szCs w:val="24"/>
        </w:rPr>
      </w:pPr>
    </w:p>
    <w:p>
      <w:pPr>
        <w:ind w:right="480"/>
        <w:rPr>
          <w:rFonts w:ascii="仿宋" w:hAnsi="仿宋" w:eastAsia="仿宋"/>
          <w:b/>
          <w:sz w:val="24"/>
          <w:szCs w:val="24"/>
        </w:rPr>
      </w:pPr>
      <w:r>
        <w:rPr>
          <w:rFonts w:hint="eastAsia" w:ascii="仿宋" w:hAnsi="仿宋" w:eastAsia="仿宋"/>
          <w:b/>
          <w:sz w:val="24"/>
          <w:szCs w:val="24"/>
        </w:rPr>
        <w:t>时间：</w:t>
      </w:r>
    </w:p>
    <w:p>
      <w:pPr>
        <w:ind w:right="480"/>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（注：如有联席主承销商，则各主承销商经办、复核人员均需签字确认）</w:t>
      </w:r>
    </w:p>
    <w:p>
      <w:pPr>
        <w:widowControl/>
        <w:jc w:val="left"/>
        <w:rPr>
          <w:rFonts w:ascii="仿宋" w:hAnsi="仿宋" w:eastAsia="仿宋" w:cstheme="majorBidi"/>
          <w:bCs/>
          <w:sz w:val="24"/>
          <w:szCs w:val="24"/>
        </w:rPr>
      </w:pPr>
      <w:r>
        <w:rPr>
          <w:rFonts w:ascii="仿宋" w:hAnsi="仿宋" w:eastAsia="仿宋"/>
          <w:sz w:val="24"/>
          <w:szCs w:val="24"/>
        </w:rPr>
        <w:br w:type="page"/>
      </w:r>
    </w:p>
    <w:p>
      <w:pPr>
        <w:pStyle w:val="4"/>
        <w:keepNext w:val="0"/>
        <w:keepLines w:val="0"/>
        <w:rPr>
          <w:rFonts w:ascii="黑体" w:hAnsi="黑体" w:eastAsia="黑体"/>
          <w:b w:val="0"/>
        </w:rPr>
      </w:pPr>
      <w:bookmarkStart w:id="127" w:name="_Toc132810338"/>
      <w:bookmarkStart w:id="128" w:name="_Toc132811762"/>
      <w:bookmarkStart w:id="129" w:name="_Toc132812840"/>
      <w:r>
        <w:rPr>
          <w:rFonts w:hint="eastAsia" w:ascii="黑体" w:hAnsi="黑体" w:eastAsia="黑体"/>
          <w:b w:val="0"/>
        </w:rPr>
        <w:t>附件2</w:t>
      </w:r>
      <w:bookmarkEnd w:id="127"/>
      <w:bookmarkEnd w:id="128"/>
      <w:bookmarkEnd w:id="129"/>
    </w:p>
    <w:p>
      <w:pPr>
        <w:jc w:val="center"/>
        <w:rPr>
          <w:rFonts w:ascii="方正小标宋简体" w:hAnsi="仿宋" w:eastAsia="方正小标宋简体"/>
          <w:b/>
          <w:bCs/>
          <w:sz w:val="44"/>
          <w:szCs w:val="44"/>
        </w:rPr>
      </w:pPr>
      <w:r>
        <w:rPr>
          <w:rFonts w:hint="eastAsia" w:ascii="方正小标宋简体" w:eastAsia="方正小标宋简体"/>
          <w:sz w:val="44"/>
          <w:szCs w:val="44"/>
        </w:rPr>
        <w:t>部分申请文件参考格式</w:t>
      </w:r>
    </w:p>
    <w:p>
      <w:pPr>
        <w:pStyle w:val="4"/>
        <w:rPr>
          <w:rFonts w:ascii="仿宋" w:hAnsi="仿宋"/>
        </w:rPr>
      </w:pPr>
      <w:bookmarkStart w:id="130" w:name="_Toc132812841"/>
      <w:bookmarkStart w:id="131" w:name="_Toc129262213"/>
      <w:bookmarkStart w:id="132" w:name="_Toc132811763"/>
      <w:bookmarkStart w:id="133" w:name="_Toc132810339"/>
      <w:bookmarkStart w:id="134" w:name="_Toc83398723"/>
      <w:bookmarkStart w:id="135" w:name="_Toc7246"/>
      <w:bookmarkStart w:id="136" w:name="_Toc981"/>
      <w:bookmarkStart w:id="137" w:name="_Toc13631"/>
      <w:bookmarkStart w:id="138" w:name="_Toc29543"/>
      <w:bookmarkStart w:id="139" w:name="_Toc19284"/>
      <w:r>
        <w:rPr>
          <w:rFonts w:hint="eastAsia" w:ascii="仿宋" w:hAnsi="仿宋"/>
        </w:rPr>
        <w:t>（一）IPO申请文件参考格式</w:t>
      </w:r>
      <w:bookmarkEnd w:id="130"/>
      <w:bookmarkEnd w:id="131"/>
      <w:bookmarkEnd w:id="132"/>
      <w:bookmarkEnd w:id="133"/>
    </w:p>
    <w:p>
      <w:pPr>
        <w:tabs>
          <w:tab w:val="left" w:pos="1080"/>
        </w:tabs>
        <w:snapToGrid w:val="0"/>
        <w:spacing w:line="540" w:lineRule="exact"/>
        <w:ind w:firstLine="643" w:firstLineChars="200"/>
        <w:rPr>
          <w:rFonts w:ascii="仿宋" w:hAnsi="仿宋" w:eastAsia="仿宋"/>
        </w:rPr>
      </w:pPr>
      <w:r>
        <w:rPr>
          <w:rFonts w:ascii="仿宋" w:hAnsi="仿宋" w:eastAsia="仿宋"/>
          <w:b/>
          <w:sz w:val="32"/>
          <w:szCs w:val="32"/>
        </w:rPr>
        <w:t>1.</w:t>
      </w:r>
      <w:r>
        <w:rPr>
          <w:rFonts w:hint="eastAsia" w:ascii="仿宋" w:hAnsi="仿宋" w:eastAsia="仿宋"/>
          <w:b/>
          <w:sz w:val="32"/>
          <w:szCs w:val="32"/>
        </w:rPr>
        <w:t>IPO证券简称及证券代码申请书</w:t>
      </w:r>
      <w:bookmarkEnd w:id="134"/>
      <w:bookmarkEnd w:id="135"/>
      <w:bookmarkEnd w:id="136"/>
      <w:bookmarkEnd w:id="137"/>
      <w:bookmarkEnd w:id="138"/>
      <w:bookmarkEnd w:id="139"/>
    </w:p>
    <w:p>
      <w:pPr>
        <w:ind w:firstLine="422"/>
        <w:rPr>
          <w:b/>
        </w:rPr>
      </w:pPr>
    </w:p>
    <w:p>
      <w:pPr>
        <w:spacing w:line="480" w:lineRule="exact"/>
        <w:jc w:val="center"/>
        <w:rPr>
          <w:rFonts w:ascii="仿宋" w:hAnsi="仿宋" w:eastAsia="仿宋"/>
          <w:sz w:val="24"/>
          <w:szCs w:val="24"/>
        </w:rPr>
      </w:pPr>
      <w:r>
        <w:rPr>
          <w:rFonts w:hint="eastAsia" w:ascii="仿宋" w:hAnsi="仿宋" w:eastAsia="仿宋"/>
          <w:sz w:val="24"/>
          <w:szCs w:val="24"/>
        </w:rPr>
        <w:t>______股份有限公司关于发行新股证券简称及证券代码的申请</w:t>
      </w:r>
    </w:p>
    <w:p>
      <w:pPr>
        <w:adjustRightInd w:val="0"/>
        <w:snapToGrid w:val="0"/>
        <w:spacing w:line="480" w:lineRule="exact"/>
        <w:rPr>
          <w:rFonts w:ascii="仿宋" w:hAnsi="仿宋" w:eastAsia="仿宋"/>
          <w:sz w:val="24"/>
          <w:szCs w:val="24"/>
        </w:rPr>
      </w:pPr>
      <w:r>
        <w:rPr>
          <w:rFonts w:hint="eastAsia" w:ascii="仿宋" w:hAnsi="仿宋" w:eastAsia="仿宋"/>
          <w:sz w:val="24"/>
          <w:szCs w:val="24"/>
        </w:rPr>
        <w:t>深圳证券交易所市场发展部：</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经中国证监会注册，我公司将首次公开发行人民币普通股股票并申请在贵所上市。我公司中、英文名称如下：</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中文名称：</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英文名称：</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公司股票中、英文证券简称拟确定为：</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中文证券简称：</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中文证券简称（短）：</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英文证券简称：</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经核查，我公司申请的证券简称不与证券交易所上市公司及全国中小企业股股份转让系统挂牌公司重名。</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现申请确认我公司中、英文证券简称及股票证券代码。</w:t>
      </w:r>
    </w:p>
    <w:p>
      <w:pPr>
        <w:adjustRightInd w:val="0"/>
        <w:snapToGrid w:val="0"/>
        <w:spacing w:line="480" w:lineRule="exact"/>
        <w:ind w:firstLine="480" w:firstLineChars="200"/>
        <w:rPr>
          <w:rFonts w:ascii="仿宋" w:hAnsi="仿宋" w:eastAsia="仿宋"/>
          <w:sz w:val="24"/>
          <w:szCs w:val="24"/>
        </w:rPr>
      </w:pPr>
    </w:p>
    <w:p>
      <w:pPr>
        <w:wordWrap w:val="0"/>
        <w:adjustRightInd w:val="0"/>
        <w:snapToGrid w:val="0"/>
        <w:spacing w:line="480" w:lineRule="exact"/>
        <w:ind w:right="560" w:firstLine="480" w:firstLineChars="200"/>
        <w:jc w:val="right"/>
        <w:rPr>
          <w:rFonts w:ascii="仿宋" w:hAnsi="仿宋" w:eastAsia="仿宋"/>
          <w:sz w:val="24"/>
          <w:szCs w:val="24"/>
        </w:rPr>
      </w:pPr>
      <w:r>
        <w:rPr>
          <w:rFonts w:hint="eastAsia" w:ascii="仿宋" w:hAnsi="仿宋" w:eastAsia="仿宋"/>
          <w:sz w:val="24"/>
          <w:szCs w:val="24"/>
        </w:rPr>
        <w:t xml:space="preserve">经办人签名     </w:t>
      </w:r>
    </w:p>
    <w:p>
      <w:pPr>
        <w:adjustRightInd w:val="0"/>
        <w:snapToGrid w:val="0"/>
        <w:spacing w:line="480" w:lineRule="exact"/>
        <w:jc w:val="right"/>
        <w:rPr>
          <w:rFonts w:ascii="仿宋" w:hAnsi="仿宋" w:eastAsia="仿宋"/>
          <w:sz w:val="24"/>
          <w:szCs w:val="24"/>
        </w:rPr>
      </w:pPr>
      <w:r>
        <w:rPr>
          <w:rFonts w:hint="eastAsia" w:ascii="仿宋" w:hAnsi="仿宋" w:eastAsia="仿宋"/>
          <w:sz w:val="24"/>
          <w:szCs w:val="24"/>
        </w:rPr>
        <w:t>______股份有限公司（加盖公章）</w:t>
      </w:r>
    </w:p>
    <w:p>
      <w:pPr>
        <w:wordWrap w:val="0"/>
        <w:spacing w:line="480" w:lineRule="exact"/>
        <w:ind w:right="560" w:firstLine="435"/>
        <w:jc w:val="right"/>
        <w:rPr>
          <w:rFonts w:ascii="仿宋" w:hAnsi="仿宋" w:eastAsia="仿宋"/>
          <w:sz w:val="24"/>
          <w:szCs w:val="24"/>
        </w:rPr>
      </w:pPr>
      <w:r>
        <w:rPr>
          <w:rFonts w:hint="eastAsia" w:ascii="仿宋" w:hAnsi="仿宋" w:eastAsia="仿宋"/>
          <w:sz w:val="24"/>
          <w:szCs w:val="24"/>
        </w:rPr>
        <w:t xml:space="preserve">年   月  日   </w:t>
      </w:r>
    </w:p>
    <w:p>
      <w:pPr>
        <w:rPr>
          <w:rFonts w:ascii="仿宋" w:hAnsi="仿宋" w:eastAsia="仿宋"/>
          <w:szCs w:val="21"/>
        </w:rPr>
      </w:pPr>
      <w:bookmarkStart w:id="140" w:name="_Toc6483"/>
      <w:bookmarkStart w:id="141" w:name="_Toc10111"/>
      <w:bookmarkStart w:id="142" w:name="_Toc26503"/>
      <w:bookmarkStart w:id="143" w:name="_Toc27523"/>
      <w:bookmarkStart w:id="144" w:name="_Toc83398724"/>
      <w:r>
        <w:rPr>
          <w:rFonts w:hint="eastAsia" w:ascii="仿宋" w:hAnsi="仿宋" w:eastAsia="仿宋"/>
          <w:szCs w:val="21"/>
        </w:rPr>
        <w:t>中、英文证券简称拟定说明：</w:t>
      </w:r>
    </w:p>
    <w:p>
      <w:pPr>
        <w:ind w:firstLine="315" w:firstLineChars="150"/>
        <w:rPr>
          <w:rFonts w:ascii="仿宋" w:hAnsi="仿宋" w:eastAsia="仿宋"/>
          <w:szCs w:val="21"/>
        </w:rPr>
      </w:pPr>
      <w:r>
        <w:rPr>
          <w:rFonts w:hint="eastAsia" w:ascii="仿宋" w:hAnsi="仿宋" w:eastAsia="仿宋"/>
          <w:szCs w:val="21"/>
        </w:rPr>
        <w:t>1.中文证券简称应选自公司中文名称，特殊字符以外的部分原则上不超过4个汉字，确有必要的，最长不超过</w:t>
      </w:r>
      <w:r>
        <w:rPr>
          <w:rFonts w:ascii="仿宋" w:hAnsi="仿宋" w:eastAsia="仿宋"/>
          <w:szCs w:val="21"/>
        </w:rPr>
        <w:t>8个汉字</w:t>
      </w:r>
      <w:r>
        <w:rPr>
          <w:rFonts w:hint="eastAsia" w:ascii="仿宋" w:hAnsi="仿宋" w:eastAsia="仿宋"/>
          <w:szCs w:val="21"/>
        </w:rPr>
        <w:t>；中文证券简称（短）长度不超过</w:t>
      </w:r>
      <w:r>
        <w:rPr>
          <w:rFonts w:ascii="仿宋" w:hAnsi="仿宋" w:eastAsia="仿宋"/>
          <w:szCs w:val="21"/>
        </w:rPr>
        <w:t>4个汉字</w:t>
      </w:r>
      <w:r>
        <w:rPr>
          <w:rFonts w:hint="eastAsia" w:ascii="仿宋" w:hAnsi="仿宋" w:eastAsia="仿宋"/>
          <w:szCs w:val="21"/>
        </w:rPr>
        <w:t>。公司可以从中文名称中选取公司所在地行政区划名称（或者简称）、字号（或者商号）和行业或者经营特点等信息来确定中文证券简称，但不得只选取缺乏显著特征的名称作为中文证券简称。请确保该简称不与证券交易所上市公司及全国中小企业股份转让系统挂牌公司重名。</w:t>
      </w:r>
    </w:p>
    <w:p>
      <w:pPr>
        <w:ind w:firstLine="315" w:firstLineChars="150"/>
        <w:rPr>
          <w:rFonts w:ascii="仿宋" w:hAnsi="仿宋" w:eastAsia="仿宋"/>
          <w:szCs w:val="21"/>
        </w:rPr>
      </w:pPr>
      <w:r>
        <w:rPr>
          <w:rFonts w:hint="eastAsia" w:ascii="仿宋" w:hAnsi="仿宋" w:eastAsia="仿宋"/>
          <w:szCs w:val="21"/>
        </w:rPr>
        <w:t>2.英文证券简称控制在</w:t>
      </w:r>
      <w:r>
        <w:rPr>
          <w:rFonts w:ascii="仿宋" w:hAnsi="仿宋" w:eastAsia="仿宋"/>
          <w:szCs w:val="21"/>
        </w:rPr>
        <w:t>20个字符以内</w:t>
      </w:r>
      <w:r>
        <w:rPr>
          <w:rFonts w:hint="eastAsia" w:ascii="仿宋" w:hAnsi="仿宋" w:eastAsia="仿宋"/>
          <w:szCs w:val="21"/>
        </w:rPr>
        <w:t>，包括空格、单词缩写符(.)等，不区分A、B股；股票英文简称来源于公司英文名称，简写方法可取关键单词（如KONKA）、单词缩写(如TECHNOLOGY缩为TECH.)、符号替代（如&amp;替代AND）、单词合并（如</w:t>
      </w:r>
      <w:r>
        <w:rPr>
          <w:rFonts w:ascii="仿宋" w:hAnsi="仿宋" w:eastAsia="仿宋"/>
          <w:szCs w:val="21"/>
        </w:rPr>
        <w:t>Overseas Chinese Town</w:t>
      </w:r>
      <w:r>
        <w:rPr>
          <w:rFonts w:hint="eastAsia" w:ascii="仿宋" w:hAnsi="仿宋" w:eastAsia="仿宋"/>
          <w:szCs w:val="21"/>
        </w:rPr>
        <w:t>合并为OCT）等；在选取英文证券简称时，建议优先考虑选取关键单词方法，避免采用单词合并方法。</w:t>
      </w:r>
      <w:bookmarkStart w:id="145" w:name="_Toc26301"/>
    </w:p>
    <w:p>
      <w:pPr>
        <w:ind w:firstLine="482" w:firstLineChars="150"/>
        <w:rPr>
          <w:rFonts w:ascii="仿宋" w:hAnsi="仿宋" w:eastAsia="仿宋"/>
          <w:szCs w:val="21"/>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行业分类情况表（IPO及转板均适用）</w:t>
      </w:r>
    </w:p>
    <w:p>
      <w:pPr>
        <w:spacing w:line="520" w:lineRule="exact"/>
        <w:jc w:val="center"/>
        <w:rPr>
          <w:rFonts w:ascii="仿宋" w:hAnsi="仿宋" w:eastAsia="仿宋"/>
          <w:bCs/>
          <w:sz w:val="24"/>
          <w:szCs w:val="24"/>
        </w:rPr>
      </w:pPr>
      <w:r>
        <w:rPr>
          <w:rFonts w:hint="eastAsia" w:ascii="仿宋" w:hAnsi="仿宋" w:eastAsia="仿宋"/>
          <w:sz w:val="24"/>
          <w:szCs w:val="24"/>
        </w:rPr>
        <w:t>______</w:t>
      </w:r>
      <w:r>
        <w:rPr>
          <w:rFonts w:hint="eastAsia" w:ascii="仿宋" w:hAnsi="仿宋" w:eastAsia="仿宋"/>
          <w:bCs/>
          <w:sz w:val="24"/>
          <w:szCs w:val="24"/>
        </w:rPr>
        <w:t>股份有限公司行业分类情况表</w:t>
      </w:r>
    </w:p>
    <w:p>
      <w:pPr>
        <w:spacing w:after="100" w:afterAutospacing="1" w:line="520" w:lineRule="exact"/>
        <w:ind w:firstLine="480" w:firstLineChars="200"/>
        <w:rPr>
          <w:rFonts w:ascii="仿宋" w:hAnsi="仿宋" w:eastAsia="仿宋"/>
          <w:sz w:val="24"/>
          <w:szCs w:val="24"/>
        </w:rPr>
      </w:pPr>
      <w:r>
        <w:rPr>
          <w:rFonts w:hint="eastAsia" w:ascii="仿宋" w:hAnsi="仿宋" w:eastAsia="仿宋"/>
          <w:sz w:val="24"/>
          <w:szCs w:val="24"/>
        </w:rPr>
        <w:t>依《公开发行证券的公司信息披露内容与格式准则第</w:t>
      </w:r>
      <w:r>
        <w:rPr>
          <w:rFonts w:ascii="仿宋" w:hAnsi="仿宋" w:eastAsia="仿宋"/>
          <w:sz w:val="24"/>
          <w:szCs w:val="24"/>
        </w:rPr>
        <w:t>2</w:t>
      </w:r>
      <w:r>
        <w:rPr>
          <w:rFonts w:hint="eastAsia" w:ascii="仿宋" w:hAnsi="仿宋" w:eastAsia="仿宋"/>
          <w:sz w:val="24"/>
          <w:szCs w:val="24"/>
        </w:rPr>
        <w:t>号——年度报告的内容与格式》第二十五条的规定，分行业将公司上年度占营业收入或营业利润10%（含10%）以上的各行业主要产品的有关财务数据填入下表：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2886"/>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735" w:type="dxa"/>
            <w:vMerge w:val="restart"/>
            <w:vAlign w:val="center"/>
          </w:tcPr>
          <w:p>
            <w:pPr>
              <w:jc w:val="center"/>
              <w:rPr>
                <w:rFonts w:ascii="仿宋" w:hAnsi="仿宋" w:eastAsia="仿宋"/>
                <w:bCs/>
                <w:sz w:val="24"/>
                <w:szCs w:val="24"/>
              </w:rPr>
            </w:pPr>
            <w:r>
              <w:rPr>
                <w:rFonts w:hint="eastAsia" w:ascii="仿宋" w:hAnsi="仿宋" w:eastAsia="仿宋"/>
                <w:bCs/>
                <w:sz w:val="24"/>
                <w:szCs w:val="24"/>
              </w:rPr>
              <w:t>主要产品</w:t>
            </w:r>
          </w:p>
        </w:tc>
        <w:tc>
          <w:tcPr>
            <w:tcW w:w="5787" w:type="dxa"/>
            <w:gridSpan w:val="2"/>
            <w:vAlign w:val="center"/>
          </w:tcPr>
          <w:p>
            <w:pPr>
              <w:jc w:val="center"/>
              <w:rPr>
                <w:rFonts w:ascii="仿宋" w:hAnsi="仿宋" w:eastAsia="仿宋"/>
                <w:bCs/>
                <w:sz w:val="24"/>
                <w:szCs w:val="24"/>
              </w:rPr>
            </w:pPr>
            <w:r>
              <w:rPr>
                <w:rFonts w:hint="eastAsia" w:ascii="仿宋" w:hAnsi="仿宋" w:eastAsia="仿宋"/>
                <w:bCs/>
                <w:sz w:val="24"/>
                <w:szCs w:val="24"/>
              </w:rPr>
              <w:t>营业收入/营业利润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35" w:type="dxa"/>
            <w:vMerge w:val="continue"/>
            <w:vAlign w:val="center"/>
          </w:tcPr>
          <w:p>
            <w:pPr>
              <w:rPr>
                <w:rFonts w:ascii="仿宋" w:hAnsi="仿宋" w:eastAsia="仿宋"/>
                <w:bCs/>
                <w:sz w:val="24"/>
                <w:szCs w:val="24"/>
              </w:rPr>
            </w:pPr>
          </w:p>
        </w:tc>
        <w:tc>
          <w:tcPr>
            <w:tcW w:w="2886" w:type="dxa"/>
            <w:vAlign w:val="center"/>
          </w:tcPr>
          <w:p>
            <w:pPr>
              <w:jc w:val="center"/>
              <w:rPr>
                <w:rFonts w:ascii="仿宋" w:hAnsi="仿宋" w:eastAsia="仿宋"/>
                <w:bCs/>
                <w:sz w:val="24"/>
                <w:szCs w:val="24"/>
              </w:rPr>
            </w:pPr>
            <w:r>
              <w:rPr>
                <w:rFonts w:hint="eastAsia" w:ascii="仿宋" w:hAnsi="仿宋" w:eastAsia="仿宋"/>
                <w:bCs/>
                <w:sz w:val="24"/>
                <w:szCs w:val="24"/>
              </w:rPr>
              <w:t>数值（元）</w:t>
            </w:r>
          </w:p>
        </w:tc>
        <w:tc>
          <w:tcPr>
            <w:tcW w:w="2901" w:type="dxa"/>
            <w:vAlign w:val="center"/>
          </w:tcPr>
          <w:p>
            <w:pPr>
              <w:jc w:val="center"/>
              <w:rPr>
                <w:rFonts w:ascii="仿宋" w:hAnsi="仿宋" w:eastAsia="仿宋"/>
                <w:bCs/>
                <w:sz w:val="24"/>
                <w:szCs w:val="24"/>
              </w:rPr>
            </w:pPr>
            <w:r>
              <w:rPr>
                <w:rFonts w:hint="eastAsia" w:ascii="仿宋" w:hAnsi="仿宋" w:eastAsia="仿宋"/>
                <w:bCs/>
                <w:sz w:val="24"/>
                <w:szCs w:val="24"/>
              </w:rPr>
              <w:t>占营业收入/营业利润的比重（%）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rPr>
                <w:rFonts w:ascii="仿宋" w:hAnsi="仿宋" w:eastAsia="仿宋"/>
                <w:bCs/>
                <w:sz w:val="24"/>
                <w:szCs w:val="24"/>
              </w:rPr>
            </w:pPr>
          </w:p>
        </w:tc>
        <w:tc>
          <w:tcPr>
            <w:tcW w:w="2886" w:type="dxa"/>
            <w:vAlign w:val="center"/>
          </w:tcPr>
          <w:p>
            <w:pPr>
              <w:jc w:val="center"/>
              <w:rPr>
                <w:rFonts w:ascii="仿宋" w:hAnsi="仿宋" w:eastAsia="仿宋"/>
                <w:bCs/>
                <w:sz w:val="24"/>
                <w:szCs w:val="24"/>
              </w:rPr>
            </w:pPr>
          </w:p>
        </w:tc>
        <w:tc>
          <w:tcPr>
            <w:tcW w:w="2901"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rPr>
                <w:rFonts w:ascii="仿宋" w:hAnsi="仿宋" w:eastAsia="仿宋"/>
                <w:bCs/>
                <w:sz w:val="24"/>
                <w:szCs w:val="24"/>
              </w:rPr>
            </w:pPr>
          </w:p>
        </w:tc>
        <w:tc>
          <w:tcPr>
            <w:tcW w:w="2886" w:type="dxa"/>
            <w:vAlign w:val="center"/>
          </w:tcPr>
          <w:p>
            <w:pPr>
              <w:jc w:val="center"/>
              <w:rPr>
                <w:rFonts w:ascii="仿宋" w:hAnsi="仿宋" w:eastAsia="仿宋"/>
                <w:bCs/>
                <w:sz w:val="24"/>
                <w:szCs w:val="24"/>
              </w:rPr>
            </w:pPr>
          </w:p>
        </w:tc>
        <w:tc>
          <w:tcPr>
            <w:tcW w:w="2901" w:type="dxa"/>
            <w:vAlign w:val="center"/>
          </w:tcPr>
          <w:p>
            <w:pPr>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735" w:type="dxa"/>
            <w:vAlign w:val="center"/>
          </w:tcPr>
          <w:p>
            <w:pPr>
              <w:jc w:val="center"/>
              <w:rPr>
                <w:rFonts w:ascii="仿宋" w:hAnsi="仿宋" w:eastAsia="仿宋"/>
                <w:bCs/>
                <w:sz w:val="24"/>
                <w:szCs w:val="24"/>
              </w:rPr>
            </w:pPr>
            <w:r>
              <w:rPr>
                <w:rFonts w:hint="eastAsia" w:ascii="仿宋" w:hAnsi="仿宋" w:eastAsia="仿宋"/>
                <w:bCs/>
                <w:sz w:val="24"/>
                <w:szCs w:val="24"/>
              </w:rPr>
              <w:t>合计</w:t>
            </w:r>
          </w:p>
        </w:tc>
        <w:tc>
          <w:tcPr>
            <w:tcW w:w="2886" w:type="dxa"/>
            <w:vAlign w:val="center"/>
          </w:tcPr>
          <w:p>
            <w:pPr>
              <w:jc w:val="center"/>
              <w:rPr>
                <w:rFonts w:ascii="仿宋" w:hAnsi="仿宋" w:eastAsia="仿宋"/>
                <w:bCs/>
                <w:sz w:val="24"/>
                <w:szCs w:val="24"/>
              </w:rPr>
            </w:pPr>
          </w:p>
        </w:tc>
        <w:tc>
          <w:tcPr>
            <w:tcW w:w="2901" w:type="dxa"/>
            <w:vAlign w:val="center"/>
          </w:tcPr>
          <w:p>
            <w:pPr>
              <w:jc w:val="center"/>
              <w:rPr>
                <w:rFonts w:ascii="仿宋" w:hAnsi="仿宋" w:eastAsia="仿宋"/>
                <w:bCs/>
                <w:sz w:val="24"/>
                <w:szCs w:val="24"/>
              </w:rPr>
            </w:pPr>
          </w:p>
        </w:tc>
      </w:tr>
    </w:tbl>
    <w:p>
      <w:pPr>
        <w:tabs>
          <w:tab w:val="left" w:pos="900"/>
        </w:tabs>
        <w:snapToGrid w:val="0"/>
        <w:spacing w:line="360" w:lineRule="auto"/>
        <w:ind w:firstLine="210" w:firstLineChars="100"/>
        <w:rPr>
          <w:rFonts w:ascii="仿宋" w:hAnsi="仿宋" w:eastAsia="仿宋"/>
          <w:szCs w:val="21"/>
        </w:rPr>
      </w:pPr>
      <w:r>
        <w:rPr>
          <w:rFonts w:hint="eastAsia" w:ascii="仿宋" w:hAnsi="仿宋" w:eastAsia="仿宋"/>
          <w:szCs w:val="21"/>
        </w:rPr>
        <w:t>行业分类大类代码及名称：</w:t>
      </w:r>
    </w:p>
    <w:p>
      <w:pPr>
        <w:tabs>
          <w:tab w:val="left" w:pos="900"/>
        </w:tabs>
        <w:snapToGrid w:val="0"/>
        <w:spacing w:line="360" w:lineRule="auto"/>
        <w:ind w:firstLine="3943" w:firstLineChars="1643"/>
        <w:jc w:val="right"/>
        <w:rPr>
          <w:rFonts w:ascii="仿宋" w:hAnsi="仿宋" w:eastAsia="仿宋"/>
          <w:bCs/>
          <w:sz w:val="24"/>
          <w:szCs w:val="24"/>
        </w:rPr>
      </w:pPr>
      <w:r>
        <w:rPr>
          <w:rFonts w:hint="eastAsia" w:ascii="仿宋" w:hAnsi="仿宋" w:eastAsia="仿宋"/>
          <w:bCs/>
          <w:sz w:val="24"/>
          <w:szCs w:val="24"/>
        </w:rPr>
        <w:t>主承销商/保荐人</w:t>
      </w:r>
      <w:r>
        <w:rPr>
          <w:rFonts w:hint="eastAsia" w:ascii="仿宋" w:hAnsi="仿宋" w:eastAsia="仿宋"/>
          <w:sz w:val="24"/>
          <w:szCs w:val="24"/>
        </w:rPr>
        <w:t>（加盖公章）</w:t>
      </w:r>
    </w:p>
    <w:p>
      <w:pPr>
        <w:tabs>
          <w:tab w:val="left" w:pos="900"/>
        </w:tabs>
        <w:snapToGrid w:val="0"/>
        <w:spacing w:line="360" w:lineRule="auto"/>
        <w:ind w:firstLine="4440" w:firstLineChars="1850"/>
        <w:jc w:val="right"/>
        <w:rPr>
          <w:rFonts w:ascii="仿宋" w:hAnsi="仿宋" w:eastAsia="仿宋"/>
          <w:sz w:val="24"/>
          <w:szCs w:val="24"/>
        </w:rPr>
      </w:pPr>
      <w:r>
        <w:rPr>
          <w:rFonts w:hint="eastAsia" w:ascii="仿宋" w:hAnsi="仿宋" w:eastAsia="仿宋"/>
          <w:sz w:val="24"/>
          <w:szCs w:val="24"/>
        </w:rPr>
        <w:t>年  月  日</w:t>
      </w:r>
    </w:p>
    <w:p>
      <w:pPr>
        <w:tabs>
          <w:tab w:val="left" w:pos="1080"/>
        </w:tabs>
        <w:snapToGrid w:val="0"/>
        <w:spacing w:line="540" w:lineRule="exact"/>
        <w:ind w:firstLine="643" w:firstLineChars="200"/>
        <w:rPr>
          <w:rFonts w:ascii="仿宋" w:hAnsi="仿宋" w:eastAsia="仿宋"/>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IPO</w:t>
      </w:r>
      <w:r>
        <w:rPr>
          <w:rFonts w:ascii="仿宋" w:hAnsi="仿宋" w:eastAsia="仿宋"/>
          <w:b/>
          <w:sz w:val="32"/>
          <w:szCs w:val="32"/>
        </w:rPr>
        <w:t>发行申请书</w:t>
      </w:r>
    </w:p>
    <w:p>
      <w:pPr>
        <w:spacing w:line="520" w:lineRule="exact"/>
        <w:jc w:val="center"/>
        <w:rPr>
          <w:rFonts w:ascii="仿宋" w:hAnsi="仿宋" w:eastAsia="仿宋"/>
          <w:sz w:val="24"/>
          <w:szCs w:val="24"/>
        </w:rPr>
      </w:pPr>
      <w:r>
        <w:rPr>
          <w:rFonts w:hint="eastAsia" w:ascii="仿宋" w:hAnsi="仿宋" w:eastAsia="仿宋"/>
          <w:sz w:val="24"/>
          <w:szCs w:val="24"/>
        </w:rPr>
        <w:t>______股份有限公司股票发行申请书</w:t>
      </w:r>
    </w:p>
    <w:p>
      <w:pPr>
        <w:adjustRightInd w:val="0"/>
        <w:snapToGrid w:val="0"/>
        <w:spacing w:line="520" w:lineRule="exact"/>
        <w:rPr>
          <w:rFonts w:ascii="仿宋" w:hAnsi="仿宋" w:eastAsia="仿宋"/>
          <w:sz w:val="24"/>
          <w:szCs w:val="24"/>
        </w:rPr>
      </w:pPr>
      <w:r>
        <w:rPr>
          <w:rFonts w:hint="eastAsia" w:ascii="仿宋" w:hAnsi="仿宋" w:eastAsia="仿宋"/>
          <w:sz w:val="24"/>
          <w:szCs w:val="24"/>
        </w:rPr>
        <w:t>深圳证券交易所：</w:t>
      </w:r>
    </w:p>
    <w:p>
      <w:pPr>
        <w:adjustRightInd w:val="0"/>
        <w:snapToGrid w:val="0"/>
        <w:spacing w:line="520" w:lineRule="exact"/>
        <w:ind w:firstLine="480" w:firstLineChars="200"/>
        <w:rPr>
          <w:rFonts w:ascii="仿宋" w:hAnsi="仿宋" w:eastAsia="仿宋"/>
          <w:sz w:val="24"/>
          <w:szCs w:val="24"/>
        </w:rPr>
      </w:pPr>
      <w:r>
        <w:rPr>
          <w:rFonts w:hint="eastAsia" w:ascii="仿宋" w:hAnsi="仿宋" w:eastAsia="仿宋"/>
          <w:sz w:val="24"/>
          <w:szCs w:val="24"/>
        </w:rPr>
        <w:t>______股份有限公司向社会公开发行______万股人民币普通股股票的申请已获中国证监会证监许可</w:t>
      </w:r>
      <w:r>
        <w:rPr>
          <w:rFonts w:hint="eastAsia" w:ascii="仿宋" w:hAnsi="仿宋" w:eastAsia="仿宋"/>
          <w:sz w:val="24"/>
          <w:szCs w:val="24"/>
          <w:u w:val="single"/>
        </w:rPr>
        <w:t>[      ]</w:t>
      </w:r>
      <w:r>
        <w:rPr>
          <w:rFonts w:hint="eastAsia" w:ascii="仿宋" w:hAnsi="仿宋" w:eastAsia="仿宋"/>
          <w:sz w:val="24"/>
          <w:szCs w:val="24"/>
        </w:rPr>
        <w:t>号文注册。主承销商和发行人申请于  年 月 日通过贵所证券交易系统发行本次“    ”股票。我们承诺按照贵所要求做好本次发行工作。</w:t>
      </w:r>
    </w:p>
    <w:p>
      <w:pPr>
        <w:adjustRightInd w:val="0"/>
        <w:snapToGrid w:val="0"/>
        <w:spacing w:line="520" w:lineRule="exact"/>
        <w:ind w:firstLine="480" w:firstLineChars="200"/>
        <w:rPr>
          <w:rFonts w:ascii="仿宋" w:hAnsi="仿宋" w:eastAsia="仿宋"/>
          <w:sz w:val="24"/>
          <w:szCs w:val="24"/>
        </w:rPr>
      </w:pPr>
      <w:r>
        <w:rPr>
          <w:rFonts w:hint="eastAsia" w:ascii="仿宋" w:hAnsi="仿宋" w:eastAsia="仿宋"/>
          <w:sz w:val="24"/>
          <w:szCs w:val="24"/>
        </w:rPr>
        <w:t>特此申请</w:t>
      </w:r>
    </w:p>
    <w:p>
      <w:pPr>
        <w:adjustRightInd w:val="0"/>
        <w:snapToGrid w:val="0"/>
        <w:spacing w:line="520" w:lineRule="exact"/>
        <w:jc w:val="right"/>
        <w:rPr>
          <w:rFonts w:ascii="仿宋" w:hAnsi="仿宋" w:eastAsia="仿宋"/>
          <w:sz w:val="24"/>
          <w:szCs w:val="24"/>
        </w:rPr>
      </w:pPr>
      <w:r>
        <w:rPr>
          <w:rFonts w:hint="eastAsia" w:ascii="仿宋" w:hAnsi="仿宋" w:eastAsia="仿宋"/>
          <w:sz w:val="24"/>
          <w:szCs w:val="24"/>
        </w:rPr>
        <w:t>______股份有限公司（加盖公章）</w:t>
      </w:r>
    </w:p>
    <w:p>
      <w:pPr>
        <w:spacing w:line="520" w:lineRule="exact"/>
        <w:jc w:val="right"/>
        <w:rPr>
          <w:rFonts w:ascii="仿宋" w:hAnsi="仿宋" w:eastAsia="仿宋"/>
          <w:sz w:val="24"/>
          <w:szCs w:val="24"/>
          <w:u w:val="single"/>
        </w:rPr>
      </w:pPr>
      <w:r>
        <w:rPr>
          <w:rFonts w:hint="eastAsia" w:ascii="仿宋" w:hAnsi="仿宋" w:eastAsia="仿宋"/>
          <w:sz w:val="24"/>
          <w:szCs w:val="24"/>
        </w:rPr>
        <w:t>主承销商（加盖公章）</w:t>
      </w:r>
    </w:p>
    <w:p>
      <w:pPr>
        <w:spacing w:line="520" w:lineRule="exact"/>
        <w:ind w:right="950" w:firstLine="482"/>
        <w:jc w:val="right"/>
        <w:rPr>
          <w:rFonts w:ascii="仿宋" w:hAnsi="仿宋" w:eastAsia="仿宋"/>
          <w:sz w:val="24"/>
          <w:szCs w:val="24"/>
          <w:u w:val="single"/>
        </w:rPr>
      </w:pPr>
      <w:r>
        <w:rPr>
          <w:rFonts w:hint="eastAsia" w:ascii="仿宋" w:hAnsi="仿宋" w:eastAsia="仿宋"/>
          <w:sz w:val="24"/>
          <w:szCs w:val="24"/>
        </w:rPr>
        <w:t xml:space="preserve">年  月  日 </w:t>
      </w:r>
    </w:p>
    <w:p>
      <w:pPr>
        <w:tabs>
          <w:tab w:val="left" w:pos="1080"/>
        </w:tabs>
        <w:snapToGrid w:val="0"/>
        <w:spacing w:line="540" w:lineRule="exact"/>
        <w:ind w:firstLine="420" w:firstLineChars="200"/>
        <w:rPr>
          <w:rFonts w:ascii="仿宋" w:hAnsi="仿宋" w:eastAsia="仿宋"/>
        </w:rPr>
      </w:pPr>
    </w:p>
    <w:p/>
    <w:p>
      <w:pPr>
        <w:widowControl/>
        <w:jc w:val="left"/>
        <w:rPr>
          <w:rFonts w:ascii="仿宋" w:hAnsi="仿宋" w:eastAsia="仿宋"/>
          <w:b/>
          <w:sz w:val="32"/>
          <w:szCs w:val="32"/>
        </w:rPr>
      </w:pPr>
      <w:r>
        <w:rPr>
          <w:rFonts w:ascii="仿宋" w:hAnsi="仿宋" w:eastAsia="仿宋"/>
          <w:b/>
          <w:sz w:val="32"/>
          <w:szCs w:val="32"/>
        </w:rPr>
        <w:br w:type="page"/>
      </w:r>
    </w:p>
    <w:p>
      <w:pPr>
        <w:tabs>
          <w:tab w:val="left" w:pos="1080"/>
        </w:tabs>
        <w:snapToGrid w:val="0"/>
        <w:spacing w:line="540" w:lineRule="exact"/>
        <w:ind w:firstLine="643" w:firstLineChars="200"/>
        <w:rPr>
          <w:rFonts w:ascii="仿宋" w:hAnsi="仿宋" w:eastAsia="仿宋"/>
          <w:b/>
        </w:rPr>
      </w:pPr>
      <w:r>
        <w:rPr>
          <w:rFonts w:ascii="仿宋" w:hAnsi="仿宋" w:eastAsia="仿宋"/>
          <w:b/>
          <w:sz w:val="32"/>
          <w:szCs w:val="32"/>
        </w:rPr>
        <w:t>4.</w:t>
      </w:r>
      <w:r>
        <w:rPr>
          <w:rFonts w:hint="eastAsia" w:ascii="仿宋" w:hAnsi="仿宋" w:eastAsia="仿宋"/>
          <w:b/>
          <w:sz w:val="32"/>
          <w:szCs w:val="32"/>
        </w:rPr>
        <w:t xml:space="preserve"> IPO上市申请书</w:t>
      </w:r>
    </w:p>
    <w:p>
      <w:pPr>
        <w:spacing w:line="520" w:lineRule="exact"/>
        <w:jc w:val="center"/>
        <w:rPr>
          <w:rFonts w:ascii="仿宋" w:hAnsi="仿宋" w:eastAsia="仿宋"/>
          <w:bCs/>
          <w:sz w:val="24"/>
          <w:szCs w:val="24"/>
        </w:rPr>
      </w:pPr>
      <w:r>
        <w:rPr>
          <w:rFonts w:hint="eastAsia" w:ascii="仿宋" w:hAnsi="仿宋" w:eastAsia="仿宋"/>
          <w:sz w:val="24"/>
          <w:szCs w:val="24"/>
        </w:rPr>
        <w:t>______</w:t>
      </w:r>
      <w:r>
        <w:rPr>
          <w:rFonts w:hint="eastAsia" w:ascii="仿宋" w:hAnsi="仿宋" w:eastAsia="仿宋"/>
          <w:bCs/>
          <w:sz w:val="24"/>
          <w:szCs w:val="24"/>
        </w:rPr>
        <w:t>股份有限公司股票上市申请书</w:t>
      </w:r>
    </w:p>
    <w:p>
      <w:pPr>
        <w:spacing w:line="520" w:lineRule="exact"/>
        <w:jc w:val="center"/>
        <w:rPr>
          <w:rFonts w:ascii="仿宋" w:hAnsi="仿宋" w:eastAsia="仿宋"/>
          <w:sz w:val="24"/>
          <w:szCs w:val="24"/>
        </w:rPr>
      </w:pPr>
      <w:r>
        <w:rPr>
          <w:rFonts w:hint="eastAsia" w:ascii="仿宋" w:hAnsi="仿宋" w:eastAsia="仿宋"/>
          <w:sz w:val="24"/>
          <w:szCs w:val="24"/>
        </w:rPr>
        <w:t>（上市申请书至少应包括以下内容）</w:t>
      </w:r>
    </w:p>
    <w:p>
      <w:pPr>
        <w:spacing w:line="500" w:lineRule="exact"/>
        <w:rPr>
          <w:rFonts w:ascii="仿宋" w:hAnsi="仿宋" w:eastAsia="仿宋"/>
          <w:sz w:val="24"/>
          <w:szCs w:val="24"/>
        </w:rPr>
      </w:pPr>
      <w:r>
        <w:rPr>
          <w:rFonts w:hint="eastAsia" w:ascii="仿宋" w:hAnsi="仿宋" w:eastAsia="仿宋"/>
          <w:sz w:val="24"/>
          <w:szCs w:val="24"/>
        </w:rPr>
        <w:t>深圳证券交易所：</w:t>
      </w:r>
    </w:p>
    <w:p>
      <w:pPr>
        <w:spacing w:line="500" w:lineRule="exact"/>
        <w:ind w:firstLine="489" w:firstLineChars="204"/>
        <w:rPr>
          <w:rFonts w:ascii="仿宋" w:hAnsi="仿宋" w:eastAsia="仿宋"/>
          <w:sz w:val="24"/>
          <w:szCs w:val="24"/>
        </w:rPr>
      </w:pPr>
      <w:r>
        <w:rPr>
          <w:rFonts w:hint="eastAsia" w:ascii="仿宋" w:hAnsi="仿宋" w:eastAsia="仿宋"/>
          <w:sz w:val="24"/>
          <w:szCs w:val="24"/>
        </w:rPr>
        <w:t>经中国证券监督管理委员会“证监许可[ ] 号”注册，______股份有限公司（以下简称本公司）    万股公开发行工作已于 年 月 日刊登招股意向书（或招股说明书）。本公司股票发行完成后将尽快办理股权登记、托管、工商注册登记等工作。</w:t>
      </w:r>
    </w:p>
    <w:p>
      <w:pPr>
        <w:spacing w:line="500" w:lineRule="exact"/>
        <w:ind w:firstLine="504" w:firstLineChars="210"/>
        <w:rPr>
          <w:rFonts w:ascii="仿宋" w:hAnsi="仿宋" w:eastAsia="仿宋"/>
          <w:sz w:val="24"/>
          <w:szCs w:val="24"/>
        </w:rPr>
      </w:pPr>
      <w:r>
        <w:rPr>
          <w:rFonts w:hint="eastAsia" w:ascii="仿宋" w:hAnsi="仿宋" w:eastAsia="仿宋"/>
          <w:sz w:val="24"/>
          <w:szCs w:val="24"/>
        </w:rPr>
        <w:t>本公司保证，本公司申请股票上市完全符合《中华人民共和国公司法》《中华人民共和国证券法》等法律、法规规定的条件，并符合《深圳证券交易所股票上市规则》/《深圳证券交易所创业板股票上市规则》</w:t>
      </w:r>
      <w:r>
        <w:rPr>
          <w:rFonts w:hint="eastAsia" w:ascii="仿宋" w:hAnsi="仿宋" w:eastAsia="仿宋"/>
          <w:b/>
          <w:sz w:val="24"/>
          <w:szCs w:val="24"/>
        </w:rPr>
        <w:t>（请根据上市板块选择所适用的规则）</w:t>
      </w:r>
      <w:r>
        <w:rPr>
          <w:rFonts w:hint="eastAsia" w:ascii="仿宋" w:hAnsi="仿宋" w:eastAsia="仿宋"/>
          <w:sz w:val="24"/>
          <w:szCs w:val="24"/>
        </w:rPr>
        <w:t>等有关规定。</w:t>
      </w:r>
    </w:p>
    <w:p>
      <w:pPr>
        <w:spacing w:line="500" w:lineRule="exact"/>
        <w:ind w:firstLine="616" w:firstLineChars="257"/>
        <w:rPr>
          <w:rFonts w:ascii="仿宋" w:hAnsi="仿宋" w:eastAsia="仿宋"/>
          <w:sz w:val="24"/>
          <w:szCs w:val="24"/>
        </w:rPr>
      </w:pPr>
      <w:r>
        <w:rPr>
          <w:rFonts w:hint="eastAsia" w:ascii="仿宋" w:hAnsi="仿宋" w:eastAsia="仿宋"/>
          <w:sz w:val="24"/>
          <w:szCs w:val="24"/>
        </w:rPr>
        <w:t>本公司保证严格遵守国家有关法律法规、本公司章程，严格遵守贵所《深圳证券交易所股票上市规则》/《深圳证券交易所创业板股票上市规则》</w:t>
      </w:r>
      <w:r>
        <w:rPr>
          <w:rFonts w:hint="eastAsia" w:ascii="仿宋" w:hAnsi="仿宋" w:eastAsia="仿宋"/>
          <w:b/>
          <w:sz w:val="24"/>
          <w:szCs w:val="24"/>
        </w:rPr>
        <w:t>（请根据上市板块选择所适用的规则）</w:t>
      </w:r>
      <w:r>
        <w:rPr>
          <w:rFonts w:hint="eastAsia" w:ascii="仿宋" w:hAnsi="仿宋" w:eastAsia="仿宋"/>
          <w:sz w:val="24"/>
          <w:szCs w:val="24"/>
        </w:rPr>
        <w:t>和股票上市协议，履行法定义务，接受贵所监管。本公司保证向贵所提交的股票上市申请文件没有虚假记载、误导性陈述及重大遗漏。本公司保证在提出上市申请期间，未经贵所同意，不擅自披露有关信息。本公司控股股东、实际控制人及其一致行动人</w:t>
      </w:r>
      <w:r>
        <w:rPr>
          <w:rFonts w:hint="eastAsia" w:ascii="仿宋" w:hAnsi="仿宋" w:eastAsia="仿宋"/>
          <w:b/>
          <w:sz w:val="24"/>
          <w:szCs w:val="24"/>
        </w:rPr>
        <w:t>（请明确相关股东的名称和持股比例）</w:t>
      </w:r>
      <w:r>
        <w:rPr>
          <w:rFonts w:hint="eastAsia" w:ascii="仿宋" w:hAnsi="仿宋" w:eastAsia="仿宋"/>
          <w:sz w:val="24"/>
          <w:szCs w:val="24"/>
        </w:rPr>
        <w:t>承诺，自本公司股票上市之日起三十六个月内，不转让或者委托他人管理其直接或者间接持有的发行人公开发行股票前已发行的股份，也不由发行人回购其直接或者间接持有的发行人公开发行股票前已发行的股份。本公司董事、监事及高级管理人员保证依法履行诚信和勤勉的义务。</w:t>
      </w:r>
    </w:p>
    <w:p>
      <w:pPr>
        <w:spacing w:line="500" w:lineRule="exact"/>
        <w:ind w:firstLine="504" w:firstLineChars="210"/>
        <w:rPr>
          <w:rFonts w:ascii="仿宋" w:hAnsi="仿宋" w:eastAsia="仿宋"/>
          <w:sz w:val="24"/>
          <w:szCs w:val="24"/>
        </w:rPr>
      </w:pPr>
      <w:r>
        <w:rPr>
          <w:rFonts w:hint="eastAsia" w:ascii="仿宋" w:hAnsi="仿宋" w:eastAsia="仿宋"/>
          <w:sz w:val="24"/>
          <w:szCs w:val="24"/>
        </w:rPr>
        <w:t>特申请本公司股票在贵所上市交易，请予批准。</w:t>
      </w:r>
    </w:p>
    <w:p>
      <w:pPr>
        <w:spacing w:line="500" w:lineRule="exact"/>
        <w:ind w:firstLine="4320" w:firstLineChars="1800"/>
        <w:rPr>
          <w:rFonts w:ascii="仿宋" w:hAnsi="仿宋" w:eastAsia="仿宋"/>
          <w:sz w:val="24"/>
          <w:szCs w:val="24"/>
        </w:rPr>
      </w:pPr>
      <w:r>
        <w:rPr>
          <w:rFonts w:hint="eastAsia" w:ascii="仿宋" w:hAnsi="仿宋" w:eastAsia="仿宋"/>
          <w:sz w:val="24"/>
          <w:szCs w:val="24"/>
        </w:rPr>
        <w:t>______股份有限公司（加盖公章）</w:t>
      </w:r>
    </w:p>
    <w:p>
      <w:pPr>
        <w:spacing w:line="500" w:lineRule="exact"/>
        <w:ind w:firstLine="5400" w:firstLineChars="2250"/>
        <w:rPr>
          <w:rFonts w:ascii="仿宋" w:hAnsi="仿宋" w:eastAsia="仿宋"/>
          <w:sz w:val="24"/>
          <w:szCs w:val="24"/>
        </w:rPr>
      </w:pPr>
      <w:r>
        <w:rPr>
          <w:rFonts w:hint="eastAsia" w:ascii="仿宋" w:hAnsi="仿宋" w:eastAsia="仿宋"/>
          <w:sz w:val="24"/>
          <w:szCs w:val="24"/>
        </w:rPr>
        <w:t>年  月  日</w:t>
      </w:r>
    </w:p>
    <w:p>
      <w:pPr>
        <w:spacing w:line="520" w:lineRule="exact"/>
        <w:ind w:firstLine="360" w:firstLineChars="150"/>
        <w:rPr>
          <w:rFonts w:ascii="仿宋" w:hAnsi="仿宋" w:eastAsia="仿宋"/>
          <w:sz w:val="24"/>
          <w:szCs w:val="24"/>
        </w:rPr>
      </w:pPr>
      <w:r>
        <w:rPr>
          <w:rFonts w:hint="eastAsia" w:ascii="仿宋" w:hAnsi="仿宋" w:eastAsia="仿宋"/>
          <w:sz w:val="24"/>
          <w:szCs w:val="24"/>
        </w:rPr>
        <w:t>附：1.公司概况</w:t>
      </w:r>
    </w:p>
    <w:p>
      <w:pPr>
        <w:spacing w:line="520" w:lineRule="exact"/>
        <w:ind w:firstLine="840" w:firstLineChars="350"/>
        <w:rPr>
          <w:rFonts w:ascii="仿宋" w:hAnsi="仿宋" w:eastAsia="仿宋"/>
          <w:sz w:val="24"/>
          <w:szCs w:val="24"/>
        </w:rPr>
      </w:pPr>
      <w:r>
        <w:rPr>
          <w:rFonts w:hint="eastAsia" w:ascii="仿宋" w:hAnsi="仿宋" w:eastAsia="仿宋"/>
          <w:sz w:val="24"/>
          <w:szCs w:val="24"/>
        </w:rPr>
        <w:t>2.股本结构及股东持股情况</w:t>
      </w:r>
    </w:p>
    <w:p>
      <w:pPr>
        <w:rPr>
          <w:rFonts w:ascii="仿宋" w:hAnsi="仿宋" w:eastAsia="仿宋"/>
          <w:sz w:val="24"/>
          <w:szCs w:val="24"/>
        </w:rPr>
      </w:pPr>
      <w:r>
        <w:rPr>
          <w:rFonts w:hint="eastAsia" w:ascii="仿宋" w:hAnsi="仿宋" w:eastAsia="仿宋"/>
          <w:sz w:val="24"/>
          <w:szCs w:val="24"/>
        </w:rPr>
        <w:br w:type="page"/>
      </w:r>
    </w:p>
    <w:p>
      <w:pPr>
        <w:pStyle w:val="4"/>
        <w:rPr>
          <w:rFonts w:ascii="仿宋" w:hAnsi="仿宋"/>
        </w:rPr>
      </w:pPr>
      <w:bookmarkStart w:id="146" w:name="_Toc132812842"/>
      <w:bookmarkStart w:id="147" w:name="_Toc129262214"/>
      <w:bookmarkStart w:id="148" w:name="_Toc132810340"/>
      <w:bookmarkStart w:id="149" w:name="_Toc132811764"/>
      <w:r>
        <w:rPr>
          <w:rFonts w:ascii="仿宋" w:hAnsi="仿宋"/>
        </w:rPr>
        <w:t>（二）</w:t>
      </w:r>
      <w:r>
        <w:rPr>
          <w:rFonts w:hint="eastAsia" w:ascii="仿宋" w:hAnsi="仿宋"/>
        </w:rPr>
        <w:t>转板公司上市申请文件参考格式</w:t>
      </w:r>
      <w:bookmarkEnd w:id="146"/>
      <w:bookmarkEnd w:id="147"/>
      <w:bookmarkEnd w:id="148"/>
      <w:bookmarkEnd w:id="149"/>
    </w:p>
    <w:p>
      <w:pPr>
        <w:tabs>
          <w:tab w:val="left" w:pos="1080"/>
        </w:tabs>
        <w:snapToGrid w:val="0"/>
        <w:spacing w:line="500" w:lineRule="exact"/>
        <w:ind w:firstLine="643" w:firstLineChars="200"/>
        <w:rPr>
          <w:rFonts w:ascii="仿宋" w:hAnsi="仿宋" w:eastAsia="仿宋"/>
        </w:rPr>
      </w:pPr>
      <w:r>
        <w:rPr>
          <w:rFonts w:ascii="仿宋" w:hAnsi="仿宋" w:eastAsia="仿宋"/>
          <w:b/>
          <w:sz w:val="32"/>
          <w:szCs w:val="32"/>
        </w:rPr>
        <w:t>1.</w:t>
      </w:r>
      <w:r>
        <w:rPr>
          <w:rFonts w:hint="eastAsia" w:ascii="仿宋" w:hAnsi="仿宋" w:eastAsia="仿宋"/>
          <w:b/>
          <w:sz w:val="32"/>
          <w:szCs w:val="32"/>
        </w:rPr>
        <w:t>转板公司证券简称及证券代码申请书</w:t>
      </w:r>
      <w:bookmarkEnd w:id="140"/>
      <w:bookmarkEnd w:id="141"/>
      <w:bookmarkEnd w:id="142"/>
      <w:bookmarkEnd w:id="143"/>
      <w:bookmarkEnd w:id="145"/>
    </w:p>
    <w:p>
      <w:pPr>
        <w:spacing w:line="460" w:lineRule="exact"/>
        <w:jc w:val="center"/>
        <w:rPr>
          <w:rFonts w:ascii="仿宋" w:hAnsi="仿宋" w:eastAsia="仿宋"/>
          <w:sz w:val="24"/>
          <w:szCs w:val="24"/>
        </w:rPr>
      </w:pPr>
      <w:bookmarkStart w:id="150" w:name="_Toc9082_WPSOffice_Level2"/>
      <w:bookmarkStart w:id="151" w:name="_Toc7765_WPSOffice_Level2"/>
      <w:r>
        <w:rPr>
          <w:rFonts w:hint="eastAsia" w:ascii="仿宋" w:hAnsi="仿宋" w:eastAsia="仿宋"/>
          <w:sz w:val="24"/>
          <w:szCs w:val="24"/>
        </w:rPr>
        <w:t>______股份有限公司关于转板证券简称及证券代码的申请</w:t>
      </w:r>
      <w:bookmarkEnd w:id="150"/>
      <w:bookmarkEnd w:id="151"/>
    </w:p>
    <w:p>
      <w:pPr>
        <w:adjustRightInd w:val="0"/>
        <w:snapToGrid w:val="0"/>
        <w:spacing w:line="460" w:lineRule="exact"/>
        <w:rPr>
          <w:rFonts w:ascii="仿宋" w:hAnsi="仿宋" w:eastAsia="仿宋"/>
          <w:sz w:val="24"/>
          <w:szCs w:val="24"/>
        </w:rPr>
      </w:pPr>
      <w:r>
        <w:rPr>
          <w:rFonts w:hint="eastAsia" w:ascii="仿宋" w:hAnsi="仿宋" w:eastAsia="仿宋"/>
          <w:sz w:val="24"/>
          <w:szCs w:val="24"/>
        </w:rPr>
        <w:t>深圳证券交易所市场发展部：</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经贵所审核同意，我公司股票将申请在贵所创业板上市。我公司中、英文名称如下：</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中文名称：</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英文名称：</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北交所中文简称：</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公司股票中、英文证券简称拟确定为：</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中文证券简称：</w:t>
      </w:r>
    </w:p>
    <w:p>
      <w:pPr>
        <w:adjustRightInd w:val="0"/>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中文证券简称（短）：</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英文证券简称：</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经核查，我公司申请的证券简称不与证券交易所上市公司及全国中小企业股份转让系统挂牌公司重名。</w:t>
      </w:r>
    </w:p>
    <w:p>
      <w:pPr>
        <w:adjustRightInd w:val="0"/>
        <w:snapToGrid w:val="0"/>
        <w:spacing w:line="460" w:lineRule="exact"/>
        <w:ind w:firstLine="480" w:firstLineChars="200"/>
        <w:rPr>
          <w:rFonts w:ascii="仿宋" w:hAnsi="仿宋" w:eastAsia="仿宋"/>
          <w:sz w:val="24"/>
          <w:szCs w:val="24"/>
        </w:rPr>
      </w:pPr>
      <w:r>
        <w:rPr>
          <w:rFonts w:hint="eastAsia" w:ascii="仿宋" w:hAnsi="仿宋" w:eastAsia="仿宋"/>
          <w:sz w:val="24"/>
          <w:szCs w:val="24"/>
        </w:rPr>
        <w:t>现申请确认我公司中、英文证券简称及股票证券代码。</w:t>
      </w:r>
    </w:p>
    <w:p>
      <w:pPr>
        <w:adjustRightInd w:val="0"/>
        <w:snapToGrid w:val="0"/>
        <w:spacing w:line="460" w:lineRule="exact"/>
        <w:ind w:firstLine="480" w:firstLineChars="200"/>
        <w:rPr>
          <w:rFonts w:ascii="仿宋" w:hAnsi="仿宋" w:eastAsia="仿宋"/>
          <w:sz w:val="24"/>
          <w:szCs w:val="24"/>
        </w:rPr>
      </w:pPr>
    </w:p>
    <w:p>
      <w:pPr>
        <w:adjustRightInd w:val="0"/>
        <w:snapToGrid w:val="0"/>
        <w:spacing w:line="460" w:lineRule="exact"/>
        <w:ind w:right="560" w:firstLine="480" w:firstLineChars="200"/>
        <w:jc w:val="right"/>
        <w:rPr>
          <w:rFonts w:ascii="仿宋" w:hAnsi="仿宋" w:eastAsia="仿宋"/>
          <w:sz w:val="24"/>
          <w:szCs w:val="24"/>
        </w:rPr>
      </w:pPr>
      <w:r>
        <w:rPr>
          <w:rFonts w:hint="eastAsia" w:ascii="仿宋" w:hAnsi="仿宋" w:eastAsia="仿宋"/>
          <w:sz w:val="24"/>
          <w:szCs w:val="24"/>
        </w:rPr>
        <w:t xml:space="preserve">经办人签名     </w:t>
      </w:r>
    </w:p>
    <w:p>
      <w:pPr>
        <w:adjustRightInd w:val="0"/>
        <w:snapToGrid w:val="0"/>
        <w:spacing w:line="460" w:lineRule="exact"/>
        <w:jc w:val="right"/>
        <w:rPr>
          <w:rFonts w:ascii="仿宋" w:hAnsi="仿宋" w:eastAsia="仿宋"/>
          <w:sz w:val="24"/>
          <w:szCs w:val="24"/>
        </w:rPr>
      </w:pPr>
      <w:r>
        <w:rPr>
          <w:rFonts w:hint="eastAsia" w:ascii="仿宋" w:hAnsi="仿宋" w:eastAsia="仿宋"/>
          <w:sz w:val="24"/>
          <w:szCs w:val="24"/>
        </w:rPr>
        <w:t>______股份有限公司（加盖公章）</w:t>
      </w:r>
    </w:p>
    <w:p>
      <w:pPr>
        <w:spacing w:line="460" w:lineRule="exact"/>
        <w:ind w:right="560" w:firstLine="435"/>
        <w:jc w:val="right"/>
        <w:rPr>
          <w:rFonts w:ascii="仿宋" w:hAnsi="仿宋" w:eastAsia="仿宋"/>
          <w:sz w:val="24"/>
          <w:szCs w:val="24"/>
        </w:rPr>
      </w:pPr>
      <w:r>
        <w:rPr>
          <w:rFonts w:hint="eastAsia" w:ascii="仿宋" w:hAnsi="仿宋" w:eastAsia="仿宋"/>
          <w:sz w:val="24"/>
          <w:szCs w:val="24"/>
        </w:rPr>
        <w:t xml:space="preserve">年   月  日   </w:t>
      </w:r>
    </w:p>
    <w:p>
      <w:pPr>
        <w:spacing w:line="480" w:lineRule="exact"/>
        <w:rPr>
          <w:rFonts w:ascii="仿宋" w:hAnsi="仿宋" w:eastAsia="仿宋"/>
          <w:b/>
          <w:bCs/>
          <w:sz w:val="28"/>
          <w:szCs w:val="28"/>
        </w:rPr>
      </w:pPr>
    </w:p>
    <w:bookmarkEnd w:id="144"/>
    <w:p>
      <w:pPr>
        <w:rPr>
          <w:rFonts w:ascii="仿宋" w:hAnsi="仿宋" w:eastAsia="仿宋"/>
          <w:szCs w:val="21"/>
        </w:rPr>
      </w:pPr>
      <w:bookmarkStart w:id="152" w:name="_Toc8624"/>
      <w:bookmarkStart w:id="153" w:name="_Toc18044"/>
      <w:bookmarkStart w:id="154" w:name="_Toc25864"/>
      <w:bookmarkStart w:id="155" w:name="_Toc19124"/>
      <w:bookmarkStart w:id="156" w:name="_Toc22175"/>
      <w:bookmarkStart w:id="157" w:name="_Toc24734_WPSOffice_Level2"/>
      <w:bookmarkStart w:id="158" w:name="_Toc21718_WPSOffice_Level2"/>
    </w:p>
    <w:p>
      <w:pPr>
        <w:rPr>
          <w:rFonts w:ascii="仿宋" w:hAnsi="仿宋" w:eastAsia="仿宋"/>
          <w:szCs w:val="21"/>
        </w:rPr>
      </w:pPr>
      <w:r>
        <w:rPr>
          <w:rFonts w:hint="eastAsia" w:ascii="仿宋" w:hAnsi="仿宋" w:eastAsia="仿宋"/>
          <w:szCs w:val="21"/>
        </w:rPr>
        <w:t>中、英文证券简称拟定说明：</w:t>
      </w:r>
    </w:p>
    <w:p>
      <w:pPr>
        <w:ind w:firstLine="315" w:firstLineChars="150"/>
        <w:rPr>
          <w:rFonts w:ascii="仿宋" w:hAnsi="仿宋" w:eastAsia="仿宋"/>
          <w:szCs w:val="21"/>
        </w:rPr>
      </w:pPr>
      <w:r>
        <w:rPr>
          <w:rFonts w:hint="eastAsia" w:ascii="仿宋" w:hAnsi="仿宋" w:eastAsia="仿宋"/>
          <w:szCs w:val="21"/>
        </w:rPr>
        <w:t>1.中文证券简称应选自公司中文名称，特殊字符以外的部分原则上不超过4个汉字，确有必要的，最长不超过8个汉字；中文证券简称（短）长度不超过4个汉字。公司可以从中文名称中选取公司所在地行政区划名称（或者简称）、字号（或者商号）和行业或者经营特点等信息来确定中文证券简称，但不得只选取缺乏显著特征的名称作为中文证券简称。请确保该简称不与证券交易所上市公司及全国中小企业股份转让系统挂牌公司重名。</w:t>
      </w:r>
    </w:p>
    <w:p>
      <w:pPr>
        <w:ind w:firstLine="315" w:firstLineChars="150"/>
        <w:rPr>
          <w:rFonts w:ascii="仿宋" w:hAnsi="仿宋" w:eastAsia="仿宋"/>
          <w:szCs w:val="21"/>
        </w:rPr>
      </w:pPr>
      <w:r>
        <w:rPr>
          <w:rFonts w:hint="eastAsia" w:ascii="仿宋" w:hAnsi="仿宋" w:eastAsia="仿宋"/>
          <w:szCs w:val="21"/>
        </w:rPr>
        <w:t>2.英文证券简称控制在</w:t>
      </w:r>
      <w:r>
        <w:rPr>
          <w:rFonts w:ascii="仿宋" w:hAnsi="仿宋" w:eastAsia="仿宋"/>
          <w:szCs w:val="21"/>
        </w:rPr>
        <w:t>20个字符以内</w:t>
      </w:r>
      <w:r>
        <w:rPr>
          <w:rFonts w:hint="eastAsia" w:ascii="仿宋" w:hAnsi="仿宋" w:eastAsia="仿宋"/>
          <w:szCs w:val="21"/>
        </w:rPr>
        <w:t>，包括空格、单词缩写符(.)等，不区分A、B股；股票英文简称来源于公司英文名称，简写方法可取关键单词（如KONKA）、单词缩写(如TECHNOLOGY缩为TECH.)、符号替代（如&amp;替代AND）、单词合并（如</w:t>
      </w:r>
      <w:r>
        <w:rPr>
          <w:rFonts w:ascii="仿宋" w:hAnsi="仿宋" w:eastAsia="仿宋"/>
          <w:szCs w:val="21"/>
        </w:rPr>
        <w:t>Overseas Chinese Town</w:t>
      </w:r>
      <w:r>
        <w:rPr>
          <w:rFonts w:hint="eastAsia" w:ascii="仿宋" w:hAnsi="仿宋" w:eastAsia="仿宋"/>
          <w:szCs w:val="21"/>
        </w:rPr>
        <w:t>合并为OCT）等；在选取英文证券简称时，建议优先考虑选取关键单词方法，避免采用单词合并方法。</w:t>
      </w:r>
    </w:p>
    <w:p>
      <w:pPr>
        <w:tabs>
          <w:tab w:val="left" w:pos="1080"/>
        </w:tabs>
        <w:snapToGrid w:val="0"/>
        <w:spacing w:line="540" w:lineRule="exact"/>
        <w:ind w:firstLine="643" w:firstLineChars="200"/>
        <w:rPr>
          <w:rFonts w:ascii="仿宋" w:hAnsi="仿宋" w:eastAsia="仿宋"/>
          <w:b/>
          <w:sz w:val="32"/>
          <w:szCs w:val="32"/>
        </w:rPr>
      </w:pPr>
    </w:p>
    <w:p>
      <w:pPr>
        <w:tabs>
          <w:tab w:val="left" w:pos="1080"/>
        </w:tabs>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转板</w:t>
      </w:r>
      <w:r>
        <w:rPr>
          <w:rFonts w:hint="eastAsia" w:ascii="仿宋" w:hAnsi="仿宋" w:eastAsia="仿宋"/>
          <w:b/>
          <w:sz w:val="32"/>
          <w:szCs w:val="32"/>
        </w:rPr>
        <w:t>公司上市申请书</w:t>
      </w:r>
      <w:bookmarkEnd w:id="152"/>
      <w:bookmarkEnd w:id="153"/>
      <w:bookmarkEnd w:id="154"/>
      <w:bookmarkEnd w:id="155"/>
      <w:bookmarkEnd w:id="156"/>
    </w:p>
    <w:p>
      <w:pPr>
        <w:spacing w:line="520" w:lineRule="exact"/>
        <w:jc w:val="center"/>
        <w:rPr>
          <w:rFonts w:ascii="仿宋" w:hAnsi="仿宋" w:eastAsia="仿宋"/>
          <w:sz w:val="24"/>
          <w:szCs w:val="24"/>
        </w:rPr>
      </w:pPr>
      <w:r>
        <w:rPr>
          <w:rFonts w:hint="eastAsia" w:ascii="仿宋" w:hAnsi="仿宋" w:eastAsia="仿宋"/>
          <w:sz w:val="24"/>
          <w:szCs w:val="24"/>
        </w:rPr>
        <w:t>______股份有限公司股票在创业板上市申请书</w:t>
      </w:r>
      <w:bookmarkEnd w:id="157"/>
      <w:bookmarkEnd w:id="158"/>
    </w:p>
    <w:p>
      <w:pPr>
        <w:spacing w:line="520" w:lineRule="exact"/>
        <w:jc w:val="center"/>
        <w:rPr>
          <w:rFonts w:ascii="仿宋" w:hAnsi="仿宋" w:eastAsia="仿宋"/>
          <w:sz w:val="24"/>
          <w:szCs w:val="24"/>
        </w:rPr>
      </w:pPr>
      <w:bookmarkStart w:id="159" w:name="_Toc116_WPSOffice_Level2"/>
      <w:bookmarkStart w:id="160" w:name="_Toc23865_WPSOffice_Level2"/>
      <w:r>
        <w:rPr>
          <w:rFonts w:hint="eastAsia" w:ascii="仿宋" w:hAnsi="仿宋" w:eastAsia="仿宋"/>
          <w:sz w:val="24"/>
          <w:szCs w:val="24"/>
        </w:rPr>
        <w:t>（上市申请书至少应包括以下内容）</w:t>
      </w:r>
      <w:bookmarkEnd w:id="159"/>
      <w:bookmarkEnd w:id="160"/>
    </w:p>
    <w:p>
      <w:pPr>
        <w:spacing w:line="520" w:lineRule="exact"/>
        <w:rPr>
          <w:rFonts w:ascii="仿宋" w:hAnsi="仿宋" w:eastAsia="仿宋"/>
          <w:sz w:val="24"/>
          <w:szCs w:val="24"/>
        </w:rPr>
      </w:pPr>
      <w:r>
        <w:rPr>
          <w:rFonts w:hint="eastAsia" w:ascii="仿宋" w:hAnsi="仿宋" w:eastAsia="仿宋"/>
          <w:sz w:val="24"/>
          <w:szCs w:val="24"/>
        </w:rPr>
        <w:t>深圳证券交易所：</w:t>
      </w:r>
    </w:p>
    <w:p>
      <w:pPr>
        <w:spacing w:line="520" w:lineRule="exact"/>
        <w:ind w:firstLine="489" w:firstLineChars="204"/>
        <w:rPr>
          <w:rFonts w:ascii="仿宋" w:hAnsi="仿宋" w:eastAsia="仿宋"/>
          <w:sz w:val="24"/>
          <w:szCs w:val="24"/>
        </w:rPr>
      </w:pPr>
      <w:r>
        <w:rPr>
          <w:rFonts w:hint="eastAsia" w:ascii="仿宋" w:hAnsi="仿宋" w:eastAsia="仿宋"/>
          <w:sz w:val="24"/>
          <w:szCs w:val="24"/>
        </w:rPr>
        <w:t>经贵所“深[ ]号”同意，______股份有限公司（以下简称本公司）股票可在贵所创业板上市，本公司已于 年 月 日披露转板报告书，并完成办理股权登记、托管等工作。</w:t>
      </w:r>
    </w:p>
    <w:p>
      <w:pPr>
        <w:spacing w:line="520" w:lineRule="exact"/>
        <w:ind w:firstLine="504" w:firstLineChars="210"/>
        <w:rPr>
          <w:rFonts w:ascii="仿宋" w:hAnsi="仿宋" w:eastAsia="仿宋"/>
          <w:sz w:val="24"/>
          <w:szCs w:val="24"/>
        </w:rPr>
      </w:pPr>
      <w:r>
        <w:rPr>
          <w:rFonts w:hint="eastAsia" w:ascii="仿宋" w:hAnsi="仿宋" w:eastAsia="仿宋"/>
          <w:sz w:val="24"/>
          <w:szCs w:val="24"/>
        </w:rPr>
        <w:t>本公司保证，本公司申请股票上市完全符合《中华人民共和国公司法》《中华人民共和国证券法》等法律、法规规定的条件，并符合《深圳证券交易所创业板股票上市规则》（以下简称《创业板上市规则》）等有关规定。</w:t>
      </w:r>
    </w:p>
    <w:p>
      <w:pPr>
        <w:spacing w:line="520" w:lineRule="exact"/>
        <w:ind w:firstLine="616" w:firstLineChars="257"/>
        <w:rPr>
          <w:rFonts w:ascii="仿宋" w:hAnsi="仿宋" w:eastAsia="仿宋"/>
          <w:sz w:val="24"/>
          <w:szCs w:val="24"/>
        </w:rPr>
      </w:pPr>
      <w:r>
        <w:rPr>
          <w:rFonts w:hint="eastAsia" w:ascii="仿宋" w:hAnsi="仿宋" w:eastAsia="仿宋"/>
          <w:sz w:val="24"/>
          <w:szCs w:val="24"/>
        </w:rPr>
        <w:t>本公司保证严格遵守国家有关法律法规、本公司章程，严格遵守贵所《创业板上市规则》和股票上市协议，履行法定义务，接受贵所监管。本公司保证向贵所提交的股票上市申请文件没有虚假记载、误导性陈述及重大遗漏。本公司保证在提出上市申请期间，未经贵所同意，不擅自披露有关信息。本公司控股股东、实际控制人及其一致行动人</w:t>
      </w:r>
      <w:r>
        <w:rPr>
          <w:rFonts w:hint="eastAsia" w:ascii="仿宋" w:hAnsi="仿宋" w:eastAsia="仿宋"/>
          <w:b/>
          <w:sz w:val="24"/>
          <w:szCs w:val="24"/>
        </w:rPr>
        <w:t>（请明确相关股东的名称和持股比例）</w:t>
      </w:r>
      <w:r>
        <w:rPr>
          <w:rFonts w:hint="eastAsia" w:ascii="仿宋" w:hAnsi="仿宋" w:eastAsia="仿宋"/>
          <w:sz w:val="24"/>
          <w:szCs w:val="24"/>
        </w:rPr>
        <w:t>承诺，自本公司股票在创业板上市之日起十二个月内，不转让或者委托他人管理其直接和间接持有的转板前股份，也不提议由公司回购该部分股份，上述限售期满后六个月内减持股份的，不导致公司控制权发生变更。本公司董事、监事及高级管理人员保证依法履行诚信和勤勉的义务。</w:t>
      </w:r>
    </w:p>
    <w:p>
      <w:pPr>
        <w:spacing w:line="520" w:lineRule="exact"/>
        <w:ind w:firstLine="504" w:firstLineChars="210"/>
        <w:rPr>
          <w:rFonts w:ascii="仿宋" w:hAnsi="仿宋" w:eastAsia="仿宋"/>
          <w:sz w:val="24"/>
          <w:szCs w:val="24"/>
        </w:rPr>
      </w:pPr>
      <w:r>
        <w:rPr>
          <w:rFonts w:hint="eastAsia" w:ascii="仿宋" w:hAnsi="仿宋" w:eastAsia="仿宋"/>
          <w:sz w:val="24"/>
          <w:szCs w:val="24"/>
        </w:rPr>
        <w:t>特申请本公司股票在贵所上市交易，请予批准。</w:t>
      </w:r>
    </w:p>
    <w:p>
      <w:pPr>
        <w:spacing w:line="520" w:lineRule="exact"/>
        <w:ind w:firstLine="4320" w:firstLineChars="1800"/>
        <w:rPr>
          <w:rFonts w:ascii="仿宋" w:hAnsi="仿宋" w:eastAsia="仿宋"/>
          <w:sz w:val="24"/>
          <w:szCs w:val="24"/>
        </w:rPr>
      </w:pPr>
      <w:r>
        <w:rPr>
          <w:rFonts w:hint="eastAsia" w:ascii="仿宋" w:hAnsi="仿宋" w:eastAsia="仿宋"/>
          <w:sz w:val="24"/>
          <w:szCs w:val="24"/>
        </w:rPr>
        <w:t>______股份有限公司（加盖公章）</w:t>
      </w:r>
    </w:p>
    <w:p>
      <w:pPr>
        <w:spacing w:line="520" w:lineRule="exact"/>
        <w:ind w:firstLine="5400" w:firstLineChars="2250"/>
        <w:rPr>
          <w:rFonts w:ascii="仿宋" w:hAnsi="仿宋" w:eastAsia="仿宋"/>
          <w:sz w:val="24"/>
          <w:szCs w:val="24"/>
        </w:rPr>
      </w:pPr>
      <w:r>
        <w:rPr>
          <w:rFonts w:hint="eastAsia" w:ascii="仿宋" w:hAnsi="仿宋" w:eastAsia="仿宋"/>
          <w:sz w:val="24"/>
          <w:szCs w:val="24"/>
        </w:rPr>
        <w:t>年  月  日</w:t>
      </w:r>
    </w:p>
    <w:p>
      <w:pPr>
        <w:spacing w:line="520" w:lineRule="exact"/>
        <w:ind w:firstLine="360" w:firstLineChars="150"/>
        <w:rPr>
          <w:rFonts w:ascii="仿宋" w:hAnsi="仿宋" w:eastAsia="仿宋"/>
          <w:sz w:val="24"/>
          <w:szCs w:val="24"/>
        </w:rPr>
      </w:pPr>
      <w:r>
        <w:rPr>
          <w:rFonts w:hint="eastAsia" w:ascii="仿宋" w:hAnsi="仿宋" w:eastAsia="仿宋"/>
          <w:sz w:val="24"/>
          <w:szCs w:val="24"/>
        </w:rPr>
        <w:t>附：</w:t>
      </w:r>
      <w:bookmarkStart w:id="161" w:name="_Toc17435_WPSOffice_Level2"/>
      <w:bookmarkStart w:id="162" w:name="_Toc24963_WPSOffice_Level2"/>
      <w:r>
        <w:rPr>
          <w:rFonts w:hint="eastAsia" w:ascii="仿宋" w:hAnsi="仿宋" w:eastAsia="仿宋"/>
          <w:sz w:val="24"/>
          <w:szCs w:val="24"/>
        </w:rPr>
        <w:t>1.公司概况</w:t>
      </w:r>
      <w:bookmarkEnd w:id="161"/>
      <w:bookmarkEnd w:id="162"/>
    </w:p>
    <w:p>
      <w:pPr>
        <w:spacing w:line="520" w:lineRule="exact"/>
        <w:ind w:firstLine="840" w:firstLineChars="350"/>
        <w:rPr>
          <w:rFonts w:ascii="仿宋" w:hAnsi="仿宋" w:eastAsia="仿宋"/>
          <w:sz w:val="24"/>
          <w:szCs w:val="24"/>
        </w:rPr>
      </w:pPr>
      <w:bookmarkStart w:id="163" w:name="_Toc29443_WPSOffice_Level2"/>
      <w:bookmarkStart w:id="164" w:name="_Toc17038_WPSOffice_Level2"/>
      <w:r>
        <w:rPr>
          <w:rFonts w:hint="eastAsia" w:ascii="仿宋" w:hAnsi="仿宋" w:eastAsia="仿宋"/>
          <w:sz w:val="24"/>
          <w:szCs w:val="24"/>
        </w:rPr>
        <w:t>2.股本结构及股东持股情况</w:t>
      </w:r>
      <w:bookmarkEnd w:id="163"/>
      <w:bookmarkEnd w:id="164"/>
    </w:p>
    <w:p>
      <w:pPr>
        <w:widowControl/>
        <w:jc w:val="left"/>
        <w:rPr>
          <w:rFonts w:ascii="仿宋" w:hAnsi="仿宋" w:eastAsia="仿宋" w:cstheme="majorBidi"/>
          <w:bCs/>
          <w:sz w:val="24"/>
          <w:szCs w:val="24"/>
        </w:rPr>
      </w:pPr>
      <w:r>
        <w:rPr>
          <w:rFonts w:ascii="仿宋" w:hAnsi="仿宋" w:eastAsia="仿宋"/>
          <w:sz w:val="24"/>
          <w:szCs w:val="24"/>
        </w:rPr>
        <w:br w:type="page"/>
      </w:r>
    </w:p>
    <w:p>
      <w:pPr>
        <w:pStyle w:val="4"/>
        <w:rPr>
          <w:rFonts w:ascii="黑体" w:hAnsi="黑体" w:eastAsia="黑体"/>
          <w:b w:val="0"/>
        </w:rPr>
      </w:pPr>
      <w:bookmarkStart w:id="165" w:name="_Toc129262226"/>
      <w:bookmarkStart w:id="166" w:name="_Toc132811765"/>
      <w:bookmarkStart w:id="167" w:name="_Toc132810341"/>
      <w:bookmarkStart w:id="168" w:name="_Toc132812843"/>
      <w:r>
        <w:rPr>
          <w:rFonts w:ascii="黑体" w:hAnsi="黑体" w:eastAsia="黑体"/>
          <w:b w:val="0"/>
        </w:rPr>
        <w:t>附件</w:t>
      </w:r>
      <w:bookmarkEnd w:id="165"/>
      <w:r>
        <w:rPr>
          <w:rFonts w:hint="eastAsia" w:ascii="黑体" w:hAnsi="黑体" w:eastAsia="黑体"/>
          <w:b w:val="0"/>
        </w:rPr>
        <w:t>3</w:t>
      </w:r>
      <w:bookmarkEnd w:id="166"/>
      <w:bookmarkEnd w:id="167"/>
      <w:bookmarkEnd w:id="168"/>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上市公司业务专区功能及数字证书</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办理说明</w:t>
      </w:r>
    </w:p>
    <w:p>
      <w:pPr>
        <w:rPr>
          <w:rFonts w:ascii="宋体" w:hAnsi="宋体" w:cs="宋体"/>
          <w:bCs/>
          <w:szCs w:val="21"/>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深圳证券交易所主板/创业板上市公司业务专区（以下统称业务专区）是主板/创业板上市公司与深圳证券交易所（以下简称本所）进行网上业务办理及信息交流的平台。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一、业务专区的基本功能</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（一）信息披露业务</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上市公司办理日常信息披露业务。主要包括以下功能：信息披露业务申请及查询、临时停牌申请、信息披露审查结果查询及查看媒体回执、除权除息参考价填报、监管信息（函件及回复）、业务办理公开、变更证券简称申请和信息披露考核自评等。</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（二）业务通知</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本所向主板/创业板上市公司发布的业务通知。</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（三）法律规则</w:t>
      </w:r>
    </w:p>
    <w:p>
      <w:pPr>
        <w:spacing w:line="560" w:lineRule="exact"/>
        <w:ind w:firstLine="614" w:firstLineChars="192"/>
        <w:rPr>
          <w:rFonts w:ascii="仿宋" w:hAnsi="仿宋" w:eastAsia="仿宋"/>
          <w:sz w:val="32"/>
          <w:szCs w:val="32"/>
        </w:rPr>
      </w:pPr>
      <w:r>
        <w:rPr>
          <w:rFonts w:hint="eastAsia" w:ascii="仿宋" w:hAnsi="仿宋" w:eastAsia="仿宋"/>
          <w:sz w:val="32"/>
          <w:szCs w:val="32"/>
        </w:rPr>
        <w:t>查询有关法律法规、证监会或其他部门规章及规定、交易所规则等。</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（四）业务指南</w:t>
      </w:r>
    </w:p>
    <w:p>
      <w:pPr>
        <w:spacing w:line="560" w:lineRule="exact"/>
        <w:ind w:firstLine="614" w:firstLineChars="192"/>
        <w:rPr>
          <w:rFonts w:ascii="仿宋" w:hAnsi="仿宋" w:eastAsia="仿宋" w:cs="宋体"/>
          <w:sz w:val="32"/>
          <w:szCs w:val="32"/>
        </w:rPr>
      </w:pPr>
      <w:r>
        <w:rPr>
          <w:rFonts w:hint="eastAsia" w:ascii="仿宋" w:hAnsi="仿宋" w:eastAsia="仿宋" w:cs="宋体"/>
          <w:sz w:val="32"/>
          <w:szCs w:val="32"/>
        </w:rPr>
        <w:t>本所相关业务指南、定期报告报送软件下载、咨询易及相关模板下载。</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（五）资料填报</w:t>
      </w:r>
    </w:p>
    <w:p>
      <w:pPr>
        <w:spacing w:line="560" w:lineRule="exact"/>
        <w:ind w:firstLine="614" w:firstLineChars="192"/>
        <w:rPr>
          <w:rFonts w:ascii="仿宋" w:hAnsi="仿宋" w:eastAsia="仿宋" w:cs="宋体"/>
          <w:sz w:val="32"/>
          <w:szCs w:val="32"/>
        </w:rPr>
      </w:pPr>
      <w:r>
        <w:rPr>
          <w:rFonts w:hint="eastAsia" w:ascii="仿宋" w:hAnsi="仿宋" w:eastAsia="仿宋" w:cs="宋体"/>
          <w:sz w:val="32"/>
          <w:szCs w:val="32"/>
        </w:rPr>
        <w:t>上市公司基础资料及相关信息的填报与更新，主要包括：公司基础资料、董监高信息填报、控股股东等声明及承诺、关联人数据填报、减持预披露数据、并购重组/再融资事项、回购事项、承诺事项、内幕信息知情人、文件上传和投资者关系管理信息填报等。</w:t>
      </w:r>
    </w:p>
    <w:p>
      <w:pPr>
        <w:spacing w:line="560" w:lineRule="exact"/>
        <w:ind w:firstLine="614" w:firstLineChars="192"/>
        <w:rPr>
          <w:rFonts w:ascii="楷体" w:hAnsi="楷体" w:eastAsia="楷体"/>
          <w:sz w:val="32"/>
          <w:szCs w:val="32"/>
        </w:rPr>
      </w:pPr>
      <w:r>
        <w:rPr>
          <w:rFonts w:hint="eastAsia" w:ascii="楷体" w:hAnsi="楷体" w:eastAsia="楷体"/>
          <w:sz w:val="32"/>
          <w:szCs w:val="32"/>
        </w:rPr>
        <w:t>（六）诚信档案</w:t>
      </w:r>
    </w:p>
    <w:p>
      <w:pPr>
        <w:spacing w:line="560" w:lineRule="exact"/>
        <w:ind w:firstLine="614" w:firstLineChars="192"/>
        <w:rPr>
          <w:rFonts w:ascii="仿宋" w:hAnsi="仿宋" w:eastAsia="仿宋" w:cs="宋体"/>
          <w:sz w:val="32"/>
          <w:szCs w:val="32"/>
        </w:rPr>
      </w:pPr>
      <w:r>
        <w:rPr>
          <w:rFonts w:hint="eastAsia" w:ascii="仿宋" w:hAnsi="仿宋" w:eastAsia="仿宋" w:cs="宋体"/>
          <w:sz w:val="32"/>
          <w:szCs w:val="32"/>
        </w:rPr>
        <w:t>本所发布的对上市公司的公开谴责和通报批评等。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二、业务专区登录方法介绍</w:t>
      </w:r>
    </w:p>
    <w:p>
      <w:pPr>
        <w:tabs>
          <w:tab w:val="left" w:pos="0"/>
          <w:tab w:val="left" w:pos="1080"/>
        </w:tabs>
        <w:spacing w:line="560" w:lineRule="exact"/>
        <w:ind w:firstLine="640" w:firstLineChars="200"/>
        <w:jc w:val="left"/>
        <w:rPr>
          <w:rFonts w:ascii="仿宋" w:hAnsi="仿宋" w:eastAsia="仿宋" w:cs="宋体"/>
          <w:color w:val="FF0000"/>
          <w:sz w:val="32"/>
          <w:szCs w:val="32"/>
        </w:rPr>
      </w:pPr>
      <w:r>
        <w:rPr>
          <w:rFonts w:hint="eastAsia" w:ascii="仿宋" w:hAnsi="仿宋" w:eastAsia="仿宋"/>
          <w:sz w:val="32"/>
          <w:szCs w:val="32"/>
        </w:rPr>
        <w:t>1</w:t>
      </w:r>
      <w:r>
        <w:rPr>
          <w:rFonts w:hint="eastAsia" w:ascii="仿宋" w:hAnsi="仿宋" w:eastAsia="仿宋" w:cs="宋体"/>
          <w:sz w:val="32"/>
          <w:szCs w:val="32"/>
        </w:rPr>
        <w:t>．</w:t>
      </w:r>
      <w:r>
        <w:rPr>
          <w:rFonts w:hint="eastAsia" w:ascii="仿宋" w:hAnsi="仿宋" w:eastAsia="仿宋"/>
          <w:sz w:val="32"/>
          <w:szCs w:val="32"/>
        </w:rPr>
        <w:t>用户名密码方式登录：上市公司在浏览器中访问地址</w:t>
      </w:r>
      <w:r>
        <w:fldChar w:fldCharType="begin"/>
      </w:r>
      <w:r>
        <w:instrText xml:space="preserve"> HYPERLINK "https://biz.szse.cn/" </w:instrText>
      </w:r>
      <w:r>
        <w:fldChar w:fldCharType="separate"/>
      </w:r>
      <w:r>
        <w:rPr>
          <w:rStyle w:val="22"/>
          <w:rFonts w:ascii="仿宋" w:hAnsi="仿宋" w:eastAsia="仿宋"/>
          <w:sz w:val="32"/>
          <w:szCs w:val="32"/>
        </w:rPr>
        <w:t>http</w:t>
      </w:r>
      <w:r>
        <w:rPr>
          <w:rStyle w:val="22"/>
          <w:rFonts w:hint="eastAsia" w:ascii="仿宋" w:hAnsi="仿宋" w:eastAsia="仿宋"/>
          <w:sz w:val="32"/>
          <w:szCs w:val="32"/>
        </w:rPr>
        <w:t>s</w:t>
      </w:r>
      <w:r>
        <w:rPr>
          <w:rStyle w:val="22"/>
          <w:rFonts w:ascii="仿宋" w:hAnsi="仿宋" w:eastAsia="仿宋"/>
          <w:sz w:val="32"/>
          <w:szCs w:val="32"/>
        </w:rPr>
        <w:t>://</w:t>
      </w:r>
      <w:r>
        <w:rPr>
          <w:rStyle w:val="22"/>
          <w:rFonts w:hint="eastAsia" w:ascii="仿宋" w:hAnsi="仿宋" w:eastAsia="仿宋"/>
          <w:sz w:val="32"/>
          <w:szCs w:val="32"/>
        </w:rPr>
        <w:t>biz</w:t>
      </w:r>
      <w:r>
        <w:rPr>
          <w:rStyle w:val="22"/>
          <w:rFonts w:ascii="仿宋" w:hAnsi="仿宋" w:eastAsia="仿宋"/>
          <w:sz w:val="32"/>
          <w:szCs w:val="32"/>
        </w:rPr>
        <w:t>.szse.cn/</w:t>
      </w:r>
      <w:r>
        <w:rPr>
          <w:rStyle w:val="22"/>
          <w:rFonts w:ascii="仿宋" w:hAnsi="仿宋" w:eastAsia="仿宋"/>
          <w:sz w:val="32"/>
          <w:szCs w:val="32"/>
        </w:rPr>
        <w:fldChar w:fldCharType="end"/>
      </w:r>
      <w:r>
        <w:rPr>
          <w:rFonts w:hint="eastAsia" w:ascii="仿宋" w:hAnsi="仿宋" w:eastAsia="仿宋"/>
          <w:sz w:val="32"/>
          <w:szCs w:val="32"/>
        </w:rPr>
        <w:t>，点击“主板上市公司业务专区”或者“创业板上市公司业务专区”栏目下的“密码登录”，输入用户名和密码即可登录。用户名</w:t>
      </w:r>
      <w:r>
        <w:rPr>
          <w:rFonts w:hint="eastAsia" w:ascii="仿宋" w:hAnsi="仿宋" w:eastAsia="仿宋" w:cs="宋体"/>
          <w:sz w:val="32"/>
          <w:szCs w:val="32"/>
        </w:rPr>
        <w:t>为：SS+公司代码（共八位）。使用用户名密码方式登录业务专区的用户，只能浏览业务专区，不能进行业务办理。</w:t>
      </w:r>
    </w:p>
    <w:p>
      <w:pPr>
        <w:tabs>
          <w:tab w:val="left" w:pos="0"/>
          <w:tab w:val="left" w:pos="1080"/>
        </w:tabs>
        <w:spacing w:line="560" w:lineRule="exact"/>
        <w:ind w:firstLine="640" w:firstLineChars="200"/>
        <w:jc w:val="left"/>
        <w:rPr>
          <w:rFonts w:ascii="仿宋" w:hAnsi="仿宋" w:eastAsia="仿宋" w:cs="宋体"/>
          <w:sz w:val="32"/>
          <w:szCs w:val="32"/>
        </w:rPr>
      </w:pPr>
      <w:r>
        <w:rPr>
          <w:rFonts w:hint="eastAsia" w:ascii="仿宋" w:hAnsi="仿宋" w:eastAsia="仿宋"/>
          <w:sz w:val="32"/>
          <w:szCs w:val="32"/>
        </w:rPr>
        <w:t>2</w:t>
      </w:r>
      <w:r>
        <w:rPr>
          <w:rFonts w:hint="eastAsia" w:ascii="仿宋" w:hAnsi="仿宋" w:eastAsia="仿宋" w:cs="宋体"/>
          <w:sz w:val="32"/>
          <w:szCs w:val="32"/>
        </w:rPr>
        <w:t>．</w:t>
      </w:r>
      <w:r>
        <w:rPr>
          <w:rFonts w:hint="eastAsia" w:ascii="仿宋" w:hAnsi="仿宋" w:eastAsia="仿宋"/>
          <w:sz w:val="32"/>
          <w:szCs w:val="32"/>
        </w:rPr>
        <w:t>数字证书方式登录：为保障各项网上业务的安全性、保密性和可靠性，上市公司在业务专区进行业务办理时必须使用数字证书方式登录，以标识实体身份。上市公司应按数字证书说明书，在所用电脑上安装数字证书驱动程序。登录业务专区时，上市公司需将数字证书插入所用电脑的USB口，之后在浏览器中访问地址</w:t>
      </w:r>
      <w:r>
        <w:fldChar w:fldCharType="begin"/>
      </w:r>
      <w:r>
        <w:instrText xml:space="preserve"> HYPERLINK "https://business.szse.cn/" </w:instrText>
      </w:r>
      <w:r>
        <w:fldChar w:fldCharType="separate"/>
      </w:r>
      <w:r>
        <w:rPr>
          <w:rStyle w:val="22"/>
          <w:rFonts w:ascii="仿宋" w:hAnsi="仿宋" w:eastAsia="仿宋" w:cs="宋体"/>
          <w:sz w:val="32"/>
          <w:szCs w:val="32"/>
        </w:rPr>
        <w:t>https://b</w:t>
      </w:r>
      <w:r>
        <w:rPr>
          <w:rStyle w:val="22"/>
          <w:rFonts w:hint="eastAsia" w:ascii="仿宋" w:hAnsi="仿宋" w:eastAsia="仿宋" w:cs="宋体"/>
          <w:sz w:val="32"/>
          <w:szCs w:val="32"/>
        </w:rPr>
        <w:t>iz</w:t>
      </w:r>
      <w:r>
        <w:rPr>
          <w:rStyle w:val="22"/>
          <w:rFonts w:ascii="仿宋" w:hAnsi="仿宋" w:eastAsia="仿宋" w:cs="宋体"/>
          <w:sz w:val="32"/>
          <w:szCs w:val="32"/>
        </w:rPr>
        <w:t>.szse.cn/</w:t>
      </w:r>
      <w:r>
        <w:rPr>
          <w:rStyle w:val="22"/>
          <w:rFonts w:ascii="仿宋" w:hAnsi="仿宋" w:eastAsia="仿宋" w:cs="宋体"/>
          <w:sz w:val="32"/>
          <w:szCs w:val="32"/>
        </w:rPr>
        <w:fldChar w:fldCharType="end"/>
      </w:r>
      <w:r>
        <w:rPr>
          <w:rFonts w:hint="eastAsia" w:ascii="仿宋" w:hAnsi="仿宋" w:eastAsia="仿宋"/>
          <w:sz w:val="32"/>
          <w:szCs w:val="32"/>
        </w:rPr>
        <w:t>，点击“主板上市公司业务专区”或者“创业板上市公司业务专区”栏目下的“证书登录”，输入证书密码即可登录进行业务办理。办理数字证书业务说明、申请表、用户责任条款等请详见附件，或通过深圳证券交易所数字证书认证中心网站</w:t>
      </w:r>
      <w:r>
        <w:fldChar w:fldCharType="begin"/>
      </w:r>
      <w:r>
        <w:instrText xml:space="preserve"> HYPERLINK "http://ca.szse.cn/" </w:instrText>
      </w:r>
      <w:r>
        <w:fldChar w:fldCharType="separate"/>
      </w:r>
      <w:r>
        <w:rPr>
          <w:rStyle w:val="22"/>
          <w:rFonts w:hint="eastAsia" w:ascii="仿宋" w:hAnsi="仿宋" w:eastAsia="仿宋" w:cs="宋体"/>
          <w:sz w:val="32"/>
          <w:szCs w:val="32"/>
        </w:rPr>
        <w:t>http://ca.szse.cn/</w:t>
      </w:r>
      <w:r>
        <w:rPr>
          <w:rStyle w:val="22"/>
          <w:rFonts w:hint="eastAsia" w:ascii="仿宋" w:hAnsi="仿宋" w:eastAsia="仿宋" w:cs="宋体"/>
          <w:sz w:val="32"/>
          <w:szCs w:val="32"/>
        </w:rPr>
        <w:fldChar w:fldCharType="end"/>
      </w:r>
      <w:r>
        <w:rPr>
          <w:rFonts w:hint="eastAsia" w:ascii="仿宋" w:hAnsi="仿宋" w:eastAsia="仿宋" w:cs="宋体"/>
          <w:sz w:val="32"/>
          <w:szCs w:val="32"/>
        </w:rPr>
        <w:t>查阅下载。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三、业务专区使用方法</w:t>
      </w:r>
    </w:p>
    <w:p>
      <w:pPr>
        <w:tabs>
          <w:tab w:val="left" w:pos="540"/>
          <w:tab w:val="left" w:pos="1080"/>
        </w:tabs>
        <w:spacing w:line="560" w:lineRule="exact"/>
        <w:ind w:firstLine="570"/>
        <w:jc w:val="left"/>
        <w:rPr>
          <w:rFonts w:ascii="仿宋" w:hAnsi="仿宋" w:eastAsia="仿宋" w:cs="宋体"/>
          <w:sz w:val="32"/>
          <w:szCs w:val="32"/>
        </w:rPr>
      </w:pPr>
      <w:r>
        <w:rPr>
          <w:rFonts w:hint="eastAsia" w:ascii="仿宋" w:hAnsi="仿宋" w:eastAsia="仿宋" w:cs="宋体"/>
          <w:sz w:val="32"/>
          <w:szCs w:val="32"/>
        </w:rPr>
        <w:t xml:space="preserve">请登录业务专区查看相关说明。业务专区及数字证书使用如有问题请咨询： </w:t>
      </w:r>
    </w:p>
    <w:p>
      <w:pPr>
        <w:tabs>
          <w:tab w:val="left" w:pos="540"/>
          <w:tab w:val="left" w:pos="1080"/>
        </w:tabs>
        <w:spacing w:line="560" w:lineRule="exact"/>
        <w:ind w:firstLine="570"/>
        <w:jc w:val="left"/>
        <w:rPr>
          <w:rFonts w:ascii="仿宋" w:hAnsi="仿宋" w:eastAsia="仿宋" w:cs="宋体"/>
          <w:sz w:val="32"/>
          <w:szCs w:val="32"/>
        </w:rPr>
      </w:pPr>
      <w:r>
        <w:rPr>
          <w:rFonts w:hint="eastAsia" w:ascii="仿宋" w:hAnsi="仿宋" w:eastAsia="仿宋" w:cs="宋体"/>
          <w:sz w:val="32"/>
          <w:szCs w:val="32"/>
        </w:rPr>
        <w:t>主板：0755-88820030、0755-88666614、0755-88668271；</w:t>
      </w:r>
    </w:p>
    <w:p>
      <w:pPr>
        <w:tabs>
          <w:tab w:val="left" w:pos="540"/>
          <w:tab w:val="left" w:pos="1080"/>
        </w:tabs>
        <w:spacing w:line="560" w:lineRule="exact"/>
        <w:ind w:firstLine="570"/>
        <w:jc w:val="left"/>
        <w:rPr>
          <w:rFonts w:ascii="仿宋" w:hAnsi="仿宋" w:eastAsia="仿宋" w:cs="宋体"/>
          <w:color w:val="000000"/>
          <w:kern w:val="0"/>
          <w:sz w:val="32"/>
          <w:szCs w:val="32"/>
        </w:rPr>
      </w:pPr>
      <w:r>
        <w:rPr>
          <w:rFonts w:hint="eastAsia" w:ascii="仿宋" w:hAnsi="仿宋" w:eastAsia="仿宋" w:cs="宋体"/>
          <w:sz w:val="32"/>
          <w:szCs w:val="32"/>
        </w:rPr>
        <w:t>创业板：0755-88666049、0755-88668499。</w:t>
      </w:r>
    </w:p>
    <w:p>
      <w:pPr>
        <w:tabs>
          <w:tab w:val="left" w:pos="540"/>
          <w:tab w:val="left" w:pos="1080"/>
        </w:tabs>
        <w:spacing w:line="560" w:lineRule="exact"/>
        <w:jc w:val="left"/>
        <w:rPr>
          <w:rFonts w:ascii="仿宋" w:hAnsi="仿宋" w:eastAsia="仿宋" w:cs="宋体"/>
          <w:sz w:val="32"/>
          <w:szCs w:val="32"/>
        </w:rPr>
      </w:pPr>
    </w:p>
    <w:p>
      <w:pPr>
        <w:pStyle w:val="8"/>
        <w:tabs>
          <w:tab w:val="left" w:pos="540"/>
        </w:tabs>
        <w:spacing w:line="560" w:lineRule="exact"/>
        <w:jc w:val="left"/>
        <w:rPr>
          <w:rFonts w:ascii="仿宋" w:hAnsi="仿宋" w:eastAsia="仿宋"/>
          <w:sz w:val="32"/>
          <w:szCs w:val="32"/>
        </w:rPr>
      </w:pPr>
      <w:r>
        <w:rPr>
          <w:rFonts w:hint="eastAsia" w:ascii="仿宋" w:hAnsi="仿宋" w:eastAsia="仿宋" w:cs="宋体"/>
          <w:sz w:val="32"/>
          <w:szCs w:val="32"/>
        </w:rPr>
        <w:t xml:space="preserve">     附件：3-1.</w:t>
      </w:r>
      <w:r>
        <w:rPr>
          <w:rFonts w:hint="eastAsia" w:ascii="仿宋" w:hAnsi="仿宋" w:eastAsia="仿宋"/>
          <w:sz w:val="32"/>
          <w:szCs w:val="32"/>
        </w:rPr>
        <w:t>深圳证券交易所深圳证券数字证书业务</w:t>
      </w:r>
    </w:p>
    <w:p>
      <w:pPr>
        <w:pStyle w:val="8"/>
        <w:tabs>
          <w:tab w:val="left" w:pos="540"/>
        </w:tabs>
        <w:spacing w:line="560" w:lineRule="exact"/>
        <w:ind w:firstLine="1760" w:firstLineChars="550"/>
        <w:jc w:val="left"/>
        <w:rPr>
          <w:rFonts w:ascii="仿宋" w:hAnsi="仿宋" w:eastAsia="仿宋"/>
          <w:sz w:val="32"/>
          <w:szCs w:val="32"/>
        </w:rPr>
      </w:pPr>
      <w:r>
        <w:rPr>
          <w:rFonts w:hint="eastAsia" w:ascii="仿宋" w:hAnsi="仿宋" w:eastAsia="仿宋"/>
          <w:sz w:val="32"/>
          <w:szCs w:val="32"/>
        </w:rPr>
        <w:t>办理说明</w:t>
      </w:r>
    </w:p>
    <w:p>
      <w:pPr>
        <w:pStyle w:val="8"/>
        <w:tabs>
          <w:tab w:val="left" w:pos="540"/>
        </w:tabs>
        <w:spacing w:line="560" w:lineRule="exact"/>
        <w:ind w:firstLine="1760" w:firstLineChars="550"/>
        <w:jc w:val="left"/>
        <w:rPr>
          <w:rFonts w:ascii="仿宋" w:hAnsi="仿宋" w:eastAsia="仿宋"/>
          <w:sz w:val="32"/>
          <w:szCs w:val="32"/>
        </w:rPr>
      </w:pPr>
      <w:r>
        <w:rPr>
          <w:rFonts w:hint="eastAsia" w:ascii="仿宋" w:hAnsi="仿宋" w:eastAsia="仿宋" w:cs="宋体"/>
          <w:sz w:val="32"/>
          <w:szCs w:val="32"/>
        </w:rPr>
        <w:t>3-2．</w:t>
      </w:r>
      <w:r>
        <w:rPr>
          <w:rFonts w:hint="eastAsia" w:ascii="仿宋" w:hAnsi="仿宋" w:eastAsia="仿宋"/>
          <w:bCs/>
          <w:sz w:val="32"/>
          <w:szCs w:val="32"/>
        </w:rPr>
        <w:t>深圳证券交易所主板业务专区使用</w:t>
      </w:r>
      <w:r>
        <w:rPr>
          <w:rFonts w:hint="eastAsia" w:ascii="仿宋" w:hAnsi="仿宋" w:eastAsia="仿宋"/>
          <w:sz w:val="32"/>
          <w:szCs w:val="32"/>
        </w:rPr>
        <w:t>协议</w:t>
      </w:r>
    </w:p>
    <w:p>
      <w:pPr>
        <w:pStyle w:val="8"/>
        <w:tabs>
          <w:tab w:val="left" w:pos="540"/>
        </w:tabs>
        <w:spacing w:line="560" w:lineRule="exact"/>
        <w:ind w:firstLine="1760" w:firstLineChars="550"/>
        <w:jc w:val="left"/>
        <w:rPr>
          <w:rFonts w:ascii="仿宋" w:hAnsi="仿宋" w:eastAsia="仿宋"/>
          <w:bCs/>
          <w:sz w:val="32"/>
          <w:szCs w:val="32"/>
        </w:rPr>
      </w:pPr>
      <w:r>
        <w:rPr>
          <w:rFonts w:hint="eastAsia" w:ascii="仿宋" w:hAnsi="仿宋" w:eastAsia="仿宋"/>
          <w:sz w:val="32"/>
          <w:szCs w:val="32"/>
        </w:rPr>
        <w:t>（一式两份）</w:t>
      </w:r>
    </w:p>
    <w:p>
      <w:pPr>
        <w:pStyle w:val="8"/>
        <w:tabs>
          <w:tab w:val="left" w:pos="540"/>
        </w:tabs>
        <w:spacing w:line="560" w:lineRule="exact"/>
        <w:ind w:firstLine="1760" w:firstLineChars="550"/>
        <w:jc w:val="left"/>
        <w:rPr>
          <w:rFonts w:ascii="仿宋" w:hAnsi="仿宋" w:eastAsia="仿宋"/>
          <w:bCs/>
          <w:sz w:val="32"/>
          <w:szCs w:val="32"/>
        </w:rPr>
      </w:pPr>
      <w:r>
        <w:rPr>
          <w:rFonts w:hint="eastAsia" w:ascii="仿宋" w:hAnsi="仿宋" w:eastAsia="仿宋" w:cs="宋体"/>
          <w:sz w:val="32"/>
          <w:szCs w:val="32"/>
        </w:rPr>
        <w:t>3-3．</w:t>
      </w:r>
      <w:r>
        <w:rPr>
          <w:rFonts w:hint="eastAsia" w:ascii="仿宋" w:hAnsi="仿宋" w:eastAsia="仿宋"/>
          <w:bCs/>
          <w:sz w:val="32"/>
          <w:szCs w:val="32"/>
        </w:rPr>
        <w:t>深圳证券交易所创业板业务专区使用</w:t>
      </w:r>
    </w:p>
    <w:p>
      <w:pPr>
        <w:pStyle w:val="8"/>
        <w:tabs>
          <w:tab w:val="left" w:pos="540"/>
        </w:tabs>
        <w:spacing w:line="560" w:lineRule="exact"/>
        <w:ind w:firstLine="1760" w:firstLineChars="550"/>
        <w:jc w:val="left"/>
        <w:rPr>
          <w:rFonts w:ascii="仿宋" w:hAnsi="仿宋" w:eastAsia="仿宋"/>
          <w:sz w:val="32"/>
          <w:szCs w:val="32"/>
        </w:rPr>
      </w:pPr>
      <w:r>
        <w:rPr>
          <w:rFonts w:hint="eastAsia" w:ascii="仿宋" w:hAnsi="仿宋" w:eastAsia="仿宋"/>
          <w:sz w:val="32"/>
          <w:szCs w:val="32"/>
        </w:rPr>
        <w:t>协议（一式两份）</w:t>
      </w:r>
    </w:p>
    <w:p>
      <w:pPr>
        <w:pStyle w:val="10"/>
        <w:spacing w:line="520" w:lineRule="exact"/>
        <w:ind w:left="0" w:leftChars="0"/>
        <w:rPr>
          <w:rFonts w:ascii="黑体" w:hAnsi="黑体" w:eastAsia="黑体"/>
          <w:sz w:val="24"/>
        </w:rPr>
      </w:pPr>
      <w:r>
        <w:br w:type="page"/>
      </w:r>
      <w:r>
        <w:rPr>
          <w:rFonts w:hint="eastAsia" w:ascii="黑体" w:hAnsi="黑体" w:eastAsia="黑体"/>
          <w:sz w:val="32"/>
          <w:szCs w:val="32"/>
        </w:rPr>
        <w:t>附件3</w:t>
      </w:r>
      <w:r>
        <w:rPr>
          <w:rFonts w:ascii="黑体" w:hAnsi="黑体" w:eastAsia="黑体"/>
          <w:sz w:val="32"/>
          <w:szCs w:val="32"/>
        </w:rPr>
        <w:t>-1</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深圳证券交易所</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深圳证券数字证书业务办理说明</w:t>
      </w:r>
    </w:p>
    <w:p>
      <w:pPr>
        <w:pStyle w:val="16"/>
        <w:shd w:val="clear" w:color="auto" w:fill="FFFFFF"/>
        <w:spacing w:beforeAutospacing="0" w:afterAutospacing="0" w:line="480" w:lineRule="atLeast"/>
        <w:ind w:firstLine="482" w:firstLineChars="200"/>
        <w:rPr>
          <w:b/>
          <w:bCs/>
          <w:color w:val="333333"/>
          <w:shd w:val="clear" w:color="auto" w:fill="FFFFFF"/>
        </w:rPr>
      </w:pPr>
    </w:p>
    <w:p>
      <w:pPr>
        <w:pStyle w:val="16"/>
        <w:shd w:val="clear" w:color="auto" w:fill="FFFFFF"/>
        <w:spacing w:beforeAutospacing="0" w:afterAutospacing="0" w:line="480" w:lineRule="atLeast"/>
        <w:ind w:firstLine="482" w:firstLineChars="200"/>
        <w:rPr>
          <w:rFonts w:ascii="仿宋" w:hAnsi="仿宋" w:eastAsia="仿宋"/>
          <w:b/>
          <w:bCs/>
          <w:color w:val="333333"/>
          <w:shd w:val="clear" w:color="auto" w:fill="FFFFFF"/>
        </w:rPr>
      </w:pPr>
      <w:r>
        <w:rPr>
          <w:rFonts w:hint="eastAsia" w:ascii="仿宋" w:hAnsi="仿宋" w:eastAsia="仿宋"/>
          <w:b/>
          <w:bCs/>
          <w:color w:val="333333"/>
          <w:shd w:val="clear" w:color="auto" w:fill="FFFFFF"/>
        </w:rPr>
        <w:t>深圳证券交易所受理点服务范围：深圳证券交易所上市公司、会员、基金管理公司、QFII托管人、主承销商、询价对象、保荐机构、媒体、投资者等用户的数字证书业务申请（数字证书适用于深圳证券交易所网上业务平台）。</w:t>
      </w:r>
    </w:p>
    <w:p>
      <w:pPr>
        <w:pStyle w:val="16"/>
        <w:shd w:val="clear" w:color="auto" w:fill="FFFFFF"/>
        <w:spacing w:beforeAutospacing="0" w:afterAutospacing="0" w:line="480" w:lineRule="atLeast"/>
        <w:ind w:firstLine="482" w:firstLineChars="200"/>
        <w:rPr>
          <w:rFonts w:ascii="仿宋" w:hAnsi="仿宋" w:eastAsia="仿宋"/>
          <w:b/>
          <w:bCs/>
          <w:color w:val="333333"/>
          <w:shd w:val="clear" w:color="auto" w:fill="FFFFFF"/>
        </w:rPr>
      </w:pPr>
    </w:p>
    <w:p>
      <w:pPr>
        <w:pStyle w:val="16"/>
        <w:shd w:val="clear" w:color="auto" w:fill="FFFFFF"/>
        <w:spacing w:beforeAutospacing="0" w:afterAutospacing="0" w:line="480" w:lineRule="atLeast"/>
        <w:ind w:firstLine="480" w:firstLineChars="200"/>
        <w:rPr>
          <w:rFonts w:ascii="仿宋" w:hAnsi="仿宋" w:eastAsia="仿宋"/>
          <w:b/>
          <w:bCs/>
          <w:color w:val="333333"/>
          <w:shd w:val="clear" w:color="auto" w:fill="FFFFFF"/>
        </w:rPr>
      </w:pPr>
      <w:r>
        <w:rPr>
          <w:rFonts w:hint="eastAsia" w:ascii="仿宋" w:hAnsi="仿宋" w:eastAsia="仿宋"/>
          <w:color w:val="333333"/>
          <w:shd w:val="clear" w:color="auto" w:fill="FFFFFF"/>
        </w:rPr>
        <w:t>按用户类型分为两类：</w:t>
      </w:r>
      <w:r>
        <w:rPr>
          <w:rFonts w:hint="eastAsia" w:ascii="仿宋" w:hAnsi="仿宋" w:eastAsia="仿宋"/>
          <w:b/>
          <w:bCs/>
          <w:color w:val="333333"/>
          <w:shd w:val="clear" w:color="auto" w:fill="FFFFFF"/>
        </w:rPr>
        <w:t>非EIPO用户、EIPO用户。</w:t>
      </w:r>
    </w:p>
    <w:p>
      <w:pPr>
        <w:pStyle w:val="16"/>
        <w:numPr>
          <w:ilvl w:val="0"/>
          <w:numId w:val="20"/>
        </w:numPr>
        <w:shd w:val="clear" w:color="auto" w:fill="FFFFFF"/>
        <w:spacing w:before="0" w:beforeAutospacing="0" w:after="0" w:afterAutospacing="0" w:line="480" w:lineRule="atLeast"/>
        <w:ind w:firstLine="480"/>
        <w:rPr>
          <w:rFonts w:ascii="仿宋" w:hAnsi="仿宋" w:eastAsia="仿宋"/>
          <w:b/>
          <w:bCs/>
          <w:color w:val="333333"/>
          <w:shd w:val="clear" w:color="auto" w:fill="FFFFFF"/>
        </w:rPr>
      </w:pPr>
      <w:r>
        <w:rPr>
          <w:rFonts w:hint="eastAsia" w:ascii="仿宋" w:hAnsi="仿宋" w:eastAsia="仿宋"/>
          <w:b/>
          <w:bCs/>
          <w:color w:val="333333"/>
          <w:shd w:val="clear" w:color="auto" w:fill="FFFFFF"/>
        </w:rPr>
        <w:t>非EIPO用户（</w:t>
      </w:r>
      <w:r>
        <w:rPr>
          <w:rFonts w:hint="eastAsia" w:ascii="仿宋" w:hAnsi="仿宋" w:eastAsia="仿宋"/>
        </w:rPr>
        <w:t>除EIPO网下发行电子平台外的其余各业务专区用户</w:t>
      </w:r>
      <w:r>
        <w:rPr>
          <w:rFonts w:hint="eastAsia" w:ascii="仿宋" w:hAnsi="仿宋" w:eastAsia="仿宋"/>
          <w:b/>
          <w:bCs/>
          <w:color w:val="333333"/>
          <w:shd w:val="clear" w:color="auto" w:fill="FFFFFF"/>
        </w:rPr>
        <w:t>）</w:t>
      </w:r>
    </w:p>
    <w:p>
      <w:pPr>
        <w:pStyle w:val="16"/>
        <w:numPr>
          <w:ilvl w:val="0"/>
          <w:numId w:val="21"/>
        </w:numPr>
        <w:shd w:val="clear" w:color="auto" w:fill="FFFFFF"/>
        <w:spacing w:before="0" w:beforeAutospacing="0" w:after="0" w:afterAutospacing="0" w:line="480" w:lineRule="atLeast"/>
        <w:ind w:left="-714" w:firstLine="1134"/>
        <w:rPr>
          <w:rStyle w:val="21"/>
          <w:rFonts w:ascii="仿宋" w:hAnsi="仿宋" w:eastAsia="仿宋"/>
          <w:bCs w:val="0"/>
          <w:color w:val="333333"/>
          <w:shd w:val="clear" w:color="auto" w:fill="FFFFFF"/>
        </w:rPr>
      </w:pPr>
      <w:r>
        <w:rPr>
          <w:rStyle w:val="21"/>
          <w:rFonts w:hint="eastAsia" w:ascii="仿宋" w:hAnsi="仿宋" w:eastAsia="仿宋" w:cstheme="minorBidi"/>
          <w:color w:val="333333"/>
          <w:shd w:val="clear" w:color="auto" w:fill="FFFFFF"/>
        </w:rPr>
        <w:t>业务办理材料</w:t>
      </w:r>
    </w:p>
    <w:p>
      <w:pPr>
        <w:pStyle w:val="16"/>
        <w:shd w:val="clear" w:color="auto" w:fill="FFFFFF"/>
        <w:spacing w:beforeAutospacing="0" w:afterAutospacing="0" w:line="480" w:lineRule="atLeast"/>
        <w:ind w:firstLine="480" w:firstLineChars="200"/>
        <w:rPr>
          <w:rFonts w:ascii="仿宋" w:hAnsi="仿宋" w:eastAsia="仿宋"/>
          <w:color w:val="FF0000"/>
          <w:shd w:val="clear" w:color="auto" w:fill="FFFFFF"/>
        </w:rPr>
      </w:pPr>
      <w:r>
        <w:rPr>
          <w:rFonts w:hint="eastAsia" w:ascii="仿宋" w:hAnsi="仿宋" w:eastAsia="仿宋"/>
          <w:color w:val="FF0000"/>
          <w:shd w:val="clear" w:color="auto" w:fill="FFFFFF"/>
        </w:rPr>
        <w:t>注意：关于上市公司业务专区证书，所有材料除加盖单位公章外还需同时加</w:t>
      </w:r>
      <w:r>
        <w:rPr>
          <w:rFonts w:hint="eastAsia" w:ascii="仿宋" w:hAnsi="仿宋" w:eastAsia="仿宋"/>
          <w:color w:val="FF0000"/>
          <w:shd w:val="clear" w:color="auto" w:fill="FFFFFF"/>
        </w:rPr>
        <w:tab/>
      </w:r>
      <w:r>
        <w:rPr>
          <w:rFonts w:hint="eastAsia" w:ascii="仿宋" w:hAnsi="仿宋" w:eastAsia="仿宋"/>
          <w:color w:val="FF0000"/>
          <w:shd w:val="clear" w:color="auto" w:fill="FFFFFF"/>
        </w:rPr>
        <w:t>盖董事会章。</w:t>
      </w:r>
    </w:p>
    <w:tbl>
      <w:tblPr>
        <w:tblStyle w:val="1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439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tcPr>
          <w:p>
            <w:pPr>
              <w:pStyle w:val="35"/>
              <w:ind w:firstLine="0" w:firstLineChars="0"/>
              <w:jc w:val="center"/>
              <w:rPr>
                <w:rFonts w:ascii="仿宋" w:hAnsi="仿宋" w:eastAsia="仿宋"/>
                <w:b/>
                <w:sz w:val="24"/>
              </w:rPr>
            </w:pPr>
            <w:r>
              <w:rPr>
                <w:rFonts w:hint="eastAsia" w:ascii="仿宋" w:hAnsi="仿宋" w:eastAsia="仿宋" w:cs="宋体"/>
                <w:b/>
                <w:color w:val="333333"/>
                <w:sz w:val="24"/>
                <w:shd w:val="clear" w:color="auto" w:fill="FFFFFF"/>
              </w:rPr>
              <w:t>业务类型</w:t>
            </w:r>
          </w:p>
        </w:tc>
        <w:tc>
          <w:tcPr>
            <w:tcW w:w="4394" w:type="dxa"/>
            <w:shd w:val="clear" w:color="auto" w:fill="auto"/>
          </w:tcPr>
          <w:p>
            <w:pPr>
              <w:pStyle w:val="35"/>
              <w:ind w:firstLine="0" w:firstLineChars="0"/>
              <w:jc w:val="center"/>
              <w:rPr>
                <w:rFonts w:ascii="仿宋" w:hAnsi="仿宋" w:eastAsia="仿宋"/>
                <w:b/>
                <w:sz w:val="24"/>
              </w:rPr>
            </w:pPr>
            <w:r>
              <w:rPr>
                <w:rFonts w:hint="eastAsia" w:ascii="仿宋" w:hAnsi="仿宋" w:eastAsia="仿宋" w:cs="宋体"/>
                <w:b/>
                <w:color w:val="333333"/>
                <w:sz w:val="24"/>
                <w:shd w:val="clear" w:color="auto" w:fill="FFFFFF"/>
              </w:rPr>
              <w:t>材料名称</w:t>
            </w:r>
          </w:p>
        </w:tc>
        <w:tc>
          <w:tcPr>
            <w:tcW w:w="2835" w:type="dxa"/>
            <w:shd w:val="clear" w:color="auto" w:fill="auto"/>
          </w:tcPr>
          <w:p>
            <w:pPr>
              <w:pStyle w:val="35"/>
              <w:ind w:firstLine="0" w:firstLineChars="0"/>
              <w:jc w:val="center"/>
              <w:rPr>
                <w:rFonts w:ascii="仿宋" w:hAnsi="仿宋" w:eastAsia="仿宋" w:cs="宋体"/>
                <w:b/>
                <w:color w:val="333333"/>
                <w:sz w:val="24"/>
                <w:shd w:val="clear" w:color="auto" w:fill="FFFFFF"/>
              </w:rPr>
            </w:pPr>
            <w:r>
              <w:rPr>
                <w:rFonts w:hint="eastAsia" w:ascii="仿宋" w:hAnsi="仿宋" w:eastAsia="仿宋" w:cs="宋体"/>
                <w:b/>
                <w:color w:val="333333"/>
                <w:sz w:val="24"/>
                <w:shd w:val="clear" w:color="auto" w:fill="FFFFFF"/>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60" w:type="dxa"/>
            <w:vMerge w:val="restart"/>
            <w:shd w:val="clear" w:color="auto" w:fill="auto"/>
          </w:tcPr>
          <w:p>
            <w:pPr>
              <w:jc w:val="cente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新   增/</w:t>
            </w:r>
          </w:p>
          <w:p>
            <w:pPr>
              <w:jc w:val="cente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补   办/</w:t>
            </w:r>
          </w:p>
          <w:p>
            <w:pPr>
              <w:jc w:val="cente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冻   结/</w:t>
            </w:r>
          </w:p>
          <w:p>
            <w:pPr>
              <w:jc w:val="cente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解   冻/</w:t>
            </w:r>
          </w:p>
          <w:p>
            <w:pPr>
              <w:jc w:val="cente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注   销</w:t>
            </w:r>
          </w:p>
        </w:tc>
        <w:tc>
          <w:tcPr>
            <w:tcW w:w="4394" w:type="dxa"/>
            <w:shd w:val="clear" w:color="auto" w:fill="auto"/>
          </w:tcPr>
          <w:p>
            <w:pPr>
              <w:pStyle w:val="35"/>
              <w:ind w:left="240" w:hanging="240" w:hangingChars="100"/>
              <w:rPr>
                <w:rFonts w:ascii="仿宋" w:hAnsi="仿宋" w:eastAsia="仿宋"/>
                <w:sz w:val="24"/>
              </w:rPr>
            </w:pPr>
            <w:r>
              <w:rPr>
                <w:rFonts w:hint="eastAsia" w:ascii="仿宋" w:hAnsi="仿宋" w:eastAsia="仿宋"/>
                <w:sz w:val="24"/>
              </w:rPr>
              <w:t>1.《深圳证券数字证书业务申请表（机构用户专用）》，</w:t>
            </w:r>
            <w:r>
              <w:rPr>
                <w:rFonts w:hint="eastAsia" w:ascii="仿宋" w:hAnsi="仿宋" w:eastAsia="仿宋"/>
                <w:b/>
                <w:sz w:val="24"/>
              </w:rPr>
              <w:t>一式三份</w:t>
            </w:r>
            <w:r>
              <w:rPr>
                <w:rFonts w:hint="eastAsia" w:ascii="仿宋" w:hAnsi="仿宋" w:eastAsia="仿宋"/>
                <w:sz w:val="24"/>
              </w:rPr>
              <w:t xml:space="preserve"> </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手工签名、签署日期、盖单位公章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560" w:type="dxa"/>
            <w:vMerge w:val="continue"/>
            <w:shd w:val="clear" w:color="auto" w:fill="auto"/>
          </w:tcPr>
          <w:p>
            <w:pPr>
              <w:rPr>
                <w:rStyle w:val="21"/>
                <w:rFonts w:ascii="仿宋" w:hAnsi="仿宋" w:eastAsia="仿宋" w:cs="宋体"/>
                <w:color w:val="333333"/>
                <w:sz w:val="24"/>
                <w:szCs w:val="24"/>
                <w:shd w:val="clear" w:color="auto" w:fill="FFFFFF"/>
              </w:rPr>
            </w:pPr>
          </w:p>
        </w:tc>
        <w:tc>
          <w:tcPr>
            <w:tcW w:w="4394" w:type="dxa"/>
            <w:shd w:val="clear" w:color="auto" w:fill="auto"/>
          </w:tcPr>
          <w:p>
            <w:pPr>
              <w:pStyle w:val="35"/>
              <w:ind w:firstLine="0" w:firstLineChars="0"/>
              <w:rPr>
                <w:rFonts w:ascii="仿宋" w:hAnsi="仿宋" w:eastAsia="仿宋"/>
                <w:sz w:val="24"/>
              </w:rPr>
            </w:pPr>
            <w:r>
              <w:rPr>
                <w:rFonts w:hint="eastAsia" w:ascii="仿宋" w:hAnsi="仿宋" w:eastAsia="仿宋"/>
                <w:sz w:val="24"/>
              </w:rPr>
              <w:t>2.《深圳证券数字证书用户责任条款》，</w:t>
            </w:r>
            <w:r>
              <w:rPr>
                <w:rFonts w:hint="eastAsia" w:ascii="仿宋" w:hAnsi="仿宋" w:eastAsia="仿宋"/>
                <w:b/>
                <w:sz w:val="24"/>
              </w:rPr>
              <w:t>一式二份</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手工签署日期、盖单位公章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shd w:val="clear" w:color="auto" w:fill="auto"/>
          </w:tcPr>
          <w:p>
            <w:pPr>
              <w:pStyle w:val="35"/>
              <w:ind w:firstLine="0" w:firstLineChars="0"/>
              <w:rPr>
                <w:rFonts w:ascii="仿宋" w:hAnsi="仿宋" w:eastAsia="仿宋"/>
                <w:sz w:val="24"/>
              </w:rPr>
            </w:pPr>
          </w:p>
        </w:tc>
        <w:tc>
          <w:tcPr>
            <w:tcW w:w="4394" w:type="dxa"/>
            <w:shd w:val="clear" w:color="auto" w:fill="auto"/>
          </w:tcPr>
          <w:p>
            <w:pPr>
              <w:pStyle w:val="35"/>
              <w:ind w:left="240" w:hanging="240" w:hangingChars="100"/>
              <w:rPr>
                <w:rFonts w:ascii="仿宋" w:hAnsi="仿宋" w:eastAsia="仿宋"/>
                <w:sz w:val="24"/>
              </w:rPr>
            </w:pPr>
            <w:r>
              <w:rPr>
                <w:rFonts w:hint="eastAsia" w:ascii="仿宋" w:hAnsi="仿宋" w:eastAsia="仿宋"/>
                <w:sz w:val="24"/>
              </w:rPr>
              <w:t>3.《深圳证券数字证书业务授权办理证明》，</w:t>
            </w:r>
            <w:r>
              <w:rPr>
                <w:rFonts w:hint="eastAsia" w:ascii="仿宋" w:hAnsi="仿宋" w:eastAsia="仿宋"/>
                <w:b/>
                <w:sz w:val="24"/>
              </w:rPr>
              <w:t>一式二份</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shd w:val="clear" w:color="auto" w:fill="auto"/>
          </w:tcPr>
          <w:p>
            <w:pPr>
              <w:pStyle w:val="35"/>
              <w:ind w:firstLine="0" w:firstLineChars="0"/>
              <w:rPr>
                <w:rFonts w:ascii="仿宋" w:hAnsi="仿宋" w:eastAsia="仿宋"/>
                <w:sz w:val="24"/>
              </w:rPr>
            </w:pPr>
          </w:p>
        </w:tc>
        <w:tc>
          <w:tcPr>
            <w:tcW w:w="4394" w:type="dxa"/>
            <w:shd w:val="clear" w:color="auto" w:fill="auto"/>
          </w:tcPr>
          <w:p>
            <w:pPr>
              <w:pStyle w:val="35"/>
              <w:ind w:firstLine="0" w:firstLineChars="0"/>
              <w:rPr>
                <w:rFonts w:ascii="仿宋" w:hAnsi="仿宋" w:eastAsia="仿宋"/>
                <w:sz w:val="24"/>
              </w:rPr>
            </w:pPr>
            <w:r>
              <w:rPr>
                <w:rFonts w:hint="eastAsia" w:ascii="仿宋" w:hAnsi="仿宋" w:eastAsia="仿宋"/>
                <w:sz w:val="24"/>
              </w:rPr>
              <w:t>4. 企业法人营业执照复印件，</w:t>
            </w:r>
            <w:r>
              <w:rPr>
                <w:rFonts w:hint="eastAsia" w:ascii="仿宋" w:hAnsi="仿宋" w:eastAsia="仿宋"/>
                <w:b/>
                <w:sz w:val="24"/>
              </w:rPr>
              <w:t>一式二份</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shd w:val="clear" w:color="auto" w:fill="auto"/>
          </w:tcPr>
          <w:p>
            <w:pPr>
              <w:pStyle w:val="35"/>
              <w:ind w:firstLine="0" w:firstLineChars="0"/>
              <w:rPr>
                <w:rFonts w:ascii="仿宋" w:hAnsi="仿宋" w:eastAsia="仿宋"/>
                <w:sz w:val="24"/>
              </w:rPr>
            </w:pPr>
          </w:p>
        </w:tc>
        <w:tc>
          <w:tcPr>
            <w:tcW w:w="4394" w:type="dxa"/>
            <w:shd w:val="clear" w:color="auto" w:fill="auto"/>
          </w:tcPr>
          <w:p>
            <w:pPr>
              <w:pStyle w:val="35"/>
              <w:ind w:firstLine="0" w:firstLineChars="0"/>
              <w:rPr>
                <w:rFonts w:ascii="仿宋" w:hAnsi="仿宋" w:eastAsia="仿宋"/>
                <w:sz w:val="24"/>
              </w:rPr>
            </w:pPr>
            <w:r>
              <w:rPr>
                <w:rFonts w:hint="eastAsia" w:ascii="仿宋" w:hAnsi="仿宋" w:eastAsia="仿宋"/>
                <w:sz w:val="24"/>
              </w:rPr>
              <w:t>5. 授权办理人身份证件复印件，</w:t>
            </w:r>
            <w:r>
              <w:rPr>
                <w:rFonts w:hint="eastAsia" w:ascii="仿宋" w:hAnsi="仿宋" w:eastAsia="仿宋"/>
                <w:b/>
                <w:sz w:val="24"/>
              </w:rPr>
              <w:t>一式二份</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手工签名、签署日期、盖单位公章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shd w:val="clear" w:color="auto" w:fill="auto"/>
          </w:tcPr>
          <w:p>
            <w:pPr>
              <w:rPr>
                <w:rStyle w:val="21"/>
                <w:rFonts w:ascii="仿宋" w:hAnsi="仿宋" w:eastAsia="仿宋" w:cs="宋体"/>
                <w:color w:val="333333"/>
                <w:sz w:val="24"/>
                <w:szCs w:val="24"/>
                <w:shd w:val="clear" w:color="auto" w:fill="FFFFFF"/>
              </w:rPr>
            </w:pPr>
            <w:r>
              <w:rPr>
                <w:rStyle w:val="21"/>
                <w:rFonts w:hint="eastAsia" w:ascii="仿宋" w:hAnsi="仿宋" w:eastAsia="仿宋" w:cs="宋体"/>
                <w:color w:val="333333"/>
                <w:sz w:val="24"/>
                <w:szCs w:val="24"/>
                <w:shd w:val="clear" w:color="auto" w:fill="FFFFFF"/>
              </w:rPr>
              <w:t>更   新/</w:t>
            </w:r>
          </w:p>
          <w:p>
            <w:pPr>
              <w:rPr>
                <w:rFonts w:ascii="仿宋" w:hAnsi="仿宋" w:eastAsia="仿宋"/>
                <w:sz w:val="24"/>
                <w:szCs w:val="24"/>
              </w:rPr>
            </w:pPr>
            <w:r>
              <w:rPr>
                <w:rStyle w:val="21"/>
                <w:rFonts w:hint="eastAsia" w:ascii="仿宋" w:hAnsi="仿宋" w:eastAsia="仿宋" w:cs="宋体"/>
                <w:color w:val="333333"/>
                <w:sz w:val="24"/>
                <w:szCs w:val="24"/>
                <w:shd w:val="clear" w:color="auto" w:fill="FFFFFF"/>
              </w:rPr>
              <w:t>解   锁</w:t>
            </w:r>
          </w:p>
        </w:tc>
        <w:tc>
          <w:tcPr>
            <w:tcW w:w="4394" w:type="dxa"/>
            <w:shd w:val="clear" w:color="auto" w:fill="auto"/>
          </w:tcPr>
          <w:p>
            <w:pPr>
              <w:pStyle w:val="35"/>
              <w:ind w:left="240" w:hanging="240" w:hangingChars="100"/>
              <w:rPr>
                <w:rFonts w:ascii="仿宋" w:hAnsi="仿宋" w:eastAsia="仿宋"/>
                <w:sz w:val="24"/>
              </w:rPr>
            </w:pPr>
            <w:r>
              <w:rPr>
                <w:rFonts w:hint="eastAsia" w:ascii="仿宋" w:hAnsi="仿宋" w:eastAsia="仿宋"/>
                <w:sz w:val="24"/>
              </w:rPr>
              <w:t>1.《深圳证券数字证书业务申请表（机构用户专用）》，</w:t>
            </w:r>
            <w:r>
              <w:rPr>
                <w:rFonts w:hint="eastAsia" w:ascii="仿宋" w:hAnsi="仿宋" w:eastAsia="仿宋"/>
                <w:b/>
                <w:sz w:val="24"/>
              </w:rPr>
              <w:t>一式一份</w:t>
            </w:r>
            <w:r>
              <w:rPr>
                <w:rFonts w:hint="eastAsia" w:ascii="仿宋" w:hAnsi="仿宋" w:eastAsia="仿宋"/>
                <w:sz w:val="24"/>
              </w:rPr>
              <w:t>，</w:t>
            </w:r>
          </w:p>
          <w:p>
            <w:pPr>
              <w:pStyle w:val="35"/>
              <w:ind w:firstLine="0" w:firstLineChars="0"/>
              <w:rPr>
                <w:rFonts w:ascii="仿宋" w:hAnsi="仿宋" w:eastAsia="仿宋"/>
                <w:sz w:val="24"/>
              </w:rPr>
            </w:pPr>
            <w:r>
              <w:rPr>
                <w:rFonts w:hint="eastAsia" w:ascii="仿宋" w:hAnsi="仿宋" w:eastAsia="仿宋"/>
                <w:sz w:val="24"/>
              </w:rPr>
              <w:t>2. EKey硬件</w:t>
            </w:r>
          </w:p>
        </w:tc>
        <w:tc>
          <w:tcPr>
            <w:tcW w:w="2835" w:type="dxa"/>
            <w:shd w:val="clear" w:color="auto" w:fill="auto"/>
          </w:tcPr>
          <w:p>
            <w:pPr>
              <w:pStyle w:val="35"/>
              <w:ind w:firstLine="0" w:firstLineChars="0"/>
              <w:rPr>
                <w:rFonts w:ascii="仿宋" w:hAnsi="仿宋" w:eastAsia="仿宋"/>
                <w:sz w:val="24"/>
              </w:rPr>
            </w:pPr>
            <w:r>
              <w:rPr>
                <w:rFonts w:hint="eastAsia" w:ascii="仿宋" w:hAnsi="仿宋" w:eastAsia="仿宋"/>
                <w:sz w:val="24"/>
              </w:rPr>
              <w:t>手工签名、签署日期、盖单位公章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9" w:type="dxa"/>
            <w:gridSpan w:val="3"/>
            <w:shd w:val="clear" w:color="auto" w:fill="auto"/>
          </w:tcPr>
          <w:p>
            <w:pPr>
              <w:pStyle w:val="35"/>
              <w:tabs>
                <w:tab w:val="left" w:pos="3253"/>
              </w:tabs>
              <w:ind w:firstLine="0" w:firstLineChars="0"/>
              <w:rPr>
                <w:rFonts w:ascii="仿宋" w:hAnsi="仿宋" w:eastAsia="仿宋"/>
                <w:sz w:val="24"/>
              </w:rPr>
            </w:pPr>
            <w:r>
              <w:rPr>
                <w:rFonts w:hint="eastAsia" w:ascii="仿宋" w:hAnsi="仿宋" w:eastAsia="仿宋" w:cs="宋体"/>
                <w:color w:val="333333"/>
                <w:sz w:val="24"/>
                <w:shd w:val="clear" w:color="auto" w:fill="FFFFFF"/>
              </w:rPr>
              <w:t>业务申请表、用户责任条款、授权办理证明可以从深圳证券数字证书认证中心网站（</w:t>
            </w:r>
            <w:r>
              <w:fldChar w:fldCharType="begin"/>
            </w:r>
            <w:r>
              <w:instrText xml:space="preserve"> HYPERLINK "http://ca.szse.cn/" </w:instrText>
            </w:r>
            <w:r>
              <w:fldChar w:fldCharType="separate"/>
            </w:r>
            <w:r>
              <w:rPr>
                <w:rStyle w:val="22"/>
                <w:rFonts w:hint="eastAsia" w:ascii="仿宋" w:hAnsi="仿宋" w:eastAsia="仿宋" w:cs="宋体"/>
                <w:color w:val="337AB7"/>
                <w:sz w:val="24"/>
                <w:shd w:val="clear" w:color="auto" w:fill="FFFFFF"/>
              </w:rPr>
              <w:t>http://ca.szse.cn/</w:t>
            </w:r>
            <w:r>
              <w:rPr>
                <w:rStyle w:val="22"/>
                <w:rFonts w:hint="eastAsia" w:ascii="仿宋" w:hAnsi="仿宋" w:eastAsia="仿宋" w:cs="宋体"/>
                <w:color w:val="337AB7"/>
                <w:sz w:val="24"/>
                <w:shd w:val="clear" w:color="auto" w:fill="FFFFFF"/>
              </w:rPr>
              <w:fldChar w:fldCharType="end"/>
            </w:r>
            <w:r>
              <w:rPr>
                <w:rFonts w:hint="eastAsia" w:ascii="仿宋" w:hAnsi="仿宋" w:eastAsia="仿宋" w:cs="宋体"/>
                <w:color w:val="333333"/>
                <w:sz w:val="24"/>
                <w:shd w:val="clear" w:color="auto" w:fill="FFFFFF"/>
              </w:rPr>
              <w:t>）的《资料下载》栏目下载</w:t>
            </w:r>
          </w:p>
        </w:tc>
      </w:tr>
    </w:tbl>
    <w:p>
      <w:pPr>
        <w:pStyle w:val="16"/>
        <w:numPr>
          <w:ilvl w:val="0"/>
          <w:numId w:val="21"/>
        </w:numPr>
        <w:shd w:val="clear" w:color="auto" w:fill="FFFFFF"/>
        <w:spacing w:before="0" w:beforeAutospacing="0" w:after="0" w:afterAutospacing="0" w:line="480" w:lineRule="atLeast"/>
        <w:ind w:left="-714" w:firstLine="1134"/>
        <w:rPr>
          <w:rFonts w:ascii="仿宋" w:hAnsi="仿宋" w:eastAsia="仿宋"/>
          <w:color w:val="333333"/>
          <w:shd w:val="clear" w:color="auto" w:fill="FFFFFF"/>
        </w:rPr>
      </w:pPr>
      <w:r>
        <w:rPr>
          <w:rStyle w:val="21"/>
          <w:rFonts w:hint="eastAsia" w:ascii="仿宋" w:hAnsi="仿宋" w:eastAsia="仿宋" w:cstheme="minorBidi"/>
          <w:color w:val="333333"/>
          <w:shd w:val="clear" w:color="auto" w:fill="FFFFFF"/>
        </w:rPr>
        <w:t>业务办理流程</w:t>
      </w:r>
    </w:p>
    <w:p>
      <w:pPr>
        <w:pStyle w:val="16"/>
        <w:shd w:val="clear" w:color="auto" w:fill="FFFFFF"/>
        <w:spacing w:beforeAutospacing="0" w:afterAutospacing="0" w:line="480" w:lineRule="atLeast"/>
        <w:ind w:firstLine="480" w:firstLineChars="200"/>
        <w:rPr>
          <w:rFonts w:ascii="仿宋" w:hAnsi="仿宋" w:eastAsia="仿宋"/>
          <w:color w:val="333333"/>
          <w:shd w:val="clear" w:color="auto" w:fill="FFFFFF"/>
        </w:rPr>
      </w:pPr>
      <w:r>
        <w:rPr>
          <w:rFonts w:hint="eastAsia" w:ascii="仿宋" w:hAnsi="仿宋" w:eastAsia="仿宋"/>
          <w:color w:val="333333"/>
          <w:shd w:val="clear" w:color="auto" w:fill="FFFFFF"/>
        </w:rPr>
        <w:t>2.1申请人准备好全部业务办理材料，可以选择邮寄或现场递交材料，联系</w:t>
      </w:r>
      <w:r>
        <w:rPr>
          <w:rFonts w:hint="eastAsia" w:ascii="仿宋" w:hAnsi="仿宋" w:eastAsia="仿宋"/>
          <w:color w:val="333333"/>
          <w:shd w:val="clear" w:color="auto" w:fill="FFFFFF"/>
        </w:rPr>
        <w:tab/>
      </w:r>
      <w:r>
        <w:rPr>
          <w:rFonts w:hint="eastAsia" w:ascii="仿宋" w:hAnsi="仿宋" w:eastAsia="仿宋"/>
          <w:color w:val="333333"/>
          <w:shd w:val="clear" w:color="auto" w:fill="FFFFFF"/>
        </w:rPr>
        <w:tab/>
      </w:r>
      <w:r>
        <w:rPr>
          <w:rFonts w:hint="eastAsia" w:ascii="仿宋" w:hAnsi="仿宋" w:eastAsia="仿宋"/>
          <w:color w:val="333333"/>
          <w:shd w:val="clear" w:color="auto" w:fill="FFFFFF"/>
        </w:rPr>
        <w:t>方式见下。</w:t>
      </w:r>
      <w:r>
        <w:rPr>
          <w:rFonts w:hint="eastAsia" w:ascii="仿宋" w:hAnsi="仿宋" w:eastAsia="仿宋"/>
          <w:color w:val="FF0000"/>
          <w:shd w:val="clear" w:color="auto" w:fill="FFFFFF"/>
        </w:rPr>
        <w:t>注：办理</w:t>
      </w:r>
      <w:r>
        <w:rPr>
          <w:rStyle w:val="21"/>
          <w:rFonts w:hint="eastAsia" w:ascii="仿宋" w:hAnsi="仿宋" w:eastAsia="仿宋" w:cstheme="minorBidi"/>
          <w:color w:val="FF0000"/>
          <w:shd w:val="clear" w:color="auto" w:fill="FFFFFF"/>
        </w:rPr>
        <w:t>更新、解锁</w:t>
      </w:r>
      <w:r>
        <w:rPr>
          <w:rFonts w:hint="eastAsia" w:ascii="仿宋" w:hAnsi="仿宋" w:eastAsia="仿宋"/>
          <w:color w:val="FF0000"/>
          <w:shd w:val="clear" w:color="auto" w:fill="FFFFFF"/>
        </w:rPr>
        <w:t>业务，材料还需包括EKey硬件。</w:t>
      </w:r>
    </w:p>
    <w:p>
      <w:pPr>
        <w:pStyle w:val="16"/>
        <w:shd w:val="clear" w:color="auto" w:fill="FFFFFF"/>
        <w:spacing w:beforeAutospacing="0" w:afterAutospacing="0" w:line="480" w:lineRule="atLeast"/>
        <w:ind w:firstLine="480" w:firstLineChars="200"/>
        <w:rPr>
          <w:rFonts w:ascii="仿宋" w:hAnsi="仿宋" w:eastAsia="仿宋"/>
          <w:color w:val="333333"/>
          <w:shd w:val="clear" w:color="auto" w:fill="FFFFFF"/>
        </w:rPr>
      </w:pPr>
      <w:r>
        <w:rPr>
          <w:rFonts w:hint="eastAsia" w:ascii="仿宋" w:hAnsi="仿宋" w:eastAsia="仿宋"/>
          <w:color w:val="333333"/>
          <w:shd w:val="clear" w:color="auto" w:fill="FFFFFF"/>
        </w:rPr>
        <w:t>2.2深交所CA中心接收申请材料并进行初审。现场办理方式需要核对身份</w:t>
      </w:r>
      <w:r>
        <w:rPr>
          <w:rFonts w:hint="eastAsia" w:ascii="仿宋" w:hAnsi="仿宋" w:eastAsia="仿宋"/>
          <w:color w:val="333333"/>
          <w:shd w:val="clear" w:color="auto" w:fill="FFFFFF"/>
        </w:rPr>
        <w:tab/>
      </w:r>
      <w:r>
        <w:rPr>
          <w:rFonts w:hint="eastAsia" w:ascii="仿宋" w:hAnsi="仿宋" w:eastAsia="仿宋"/>
          <w:color w:val="333333"/>
          <w:shd w:val="clear" w:color="auto" w:fill="FFFFFF"/>
        </w:rPr>
        <w:tab/>
      </w:r>
      <w:r>
        <w:rPr>
          <w:rFonts w:hint="eastAsia" w:ascii="仿宋" w:hAnsi="仿宋" w:eastAsia="仿宋"/>
          <w:color w:val="333333"/>
          <w:shd w:val="clear" w:color="auto" w:fill="FFFFFF"/>
        </w:rPr>
        <w:t>证件原件。</w:t>
      </w:r>
    </w:p>
    <w:p>
      <w:pPr>
        <w:pStyle w:val="16"/>
        <w:shd w:val="clear" w:color="auto" w:fill="FFFFFF"/>
        <w:spacing w:beforeAutospacing="0" w:afterAutospacing="0" w:line="480" w:lineRule="atLeast"/>
        <w:ind w:firstLine="480" w:firstLineChars="200"/>
        <w:rPr>
          <w:rFonts w:ascii="仿宋" w:hAnsi="仿宋" w:eastAsia="仿宋"/>
          <w:color w:val="333333"/>
          <w:shd w:val="clear" w:color="auto" w:fill="FFFFFF"/>
        </w:rPr>
      </w:pPr>
      <w:r>
        <w:rPr>
          <w:rFonts w:hint="eastAsia" w:ascii="仿宋" w:hAnsi="仿宋" w:eastAsia="仿宋"/>
          <w:color w:val="333333"/>
          <w:shd w:val="clear" w:color="auto" w:fill="FFFFFF"/>
        </w:rPr>
        <w:t>2.3申请材料初审后递交业务主管部门审核。</w:t>
      </w:r>
    </w:p>
    <w:p>
      <w:pPr>
        <w:pStyle w:val="16"/>
        <w:shd w:val="clear" w:color="auto" w:fill="FFFFFF"/>
        <w:spacing w:beforeAutospacing="0" w:afterAutospacing="0" w:line="480" w:lineRule="atLeast"/>
        <w:ind w:firstLine="480" w:firstLineChars="200"/>
        <w:rPr>
          <w:rFonts w:ascii="仿宋" w:hAnsi="仿宋" w:eastAsia="仿宋"/>
          <w:color w:val="333333"/>
          <w:shd w:val="clear" w:color="auto" w:fill="FFFFFF"/>
        </w:rPr>
      </w:pPr>
      <w:r>
        <w:rPr>
          <w:rFonts w:hint="eastAsia" w:ascii="仿宋" w:hAnsi="仿宋" w:eastAsia="仿宋"/>
          <w:color w:val="333333"/>
          <w:shd w:val="clear" w:color="auto" w:fill="FFFFFF"/>
        </w:rPr>
        <w:t>2.4业务主管部门审核通过后，CA中心制作证书。</w:t>
      </w:r>
    </w:p>
    <w:p>
      <w:pPr>
        <w:adjustRightInd w:val="0"/>
        <w:snapToGrid w:val="0"/>
        <w:spacing w:line="480" w:lineRule="atLeast"/>
        <w:ind w:firstLine="480" w:firstLineChars="200"/>
        <w:rPr>
          <w:rFonts w:ascii="仿宋" w:hAnsi="仿宋" w:eastAsia="仿宋" w:cs="宋体"/>
          <w:color w:val="333333"/>
          <w:sz w:val="24"/>
          <w:shd w:val="clear" w:color="auto" w:fill="FFFFFF"/>
        </w:rPr>
      </w:pPr>
      <w:r>
        <w:rPr>
          <w:rFonts w:hint="eastAsia" w:ascii="仿宋" w:hAnsi="仿宋" w:eastAsia="仿宋" w:cs="宋体"/>
          <w:color w:val="333333"/>
          <w:kern w:val="0"/>
          <w:sz w:val="24"/>
          <w:shd w:val="clear" w:color="auto" w:fill="FFFFFF"/>
          <w:lang w:bidi="ar"/>
        </w:rPr>
        <w:t>2.5发放证书。邮寄领取方式，CA中心将按照申请表上通信地址邮寄；现场</w:t>
      </w:r>
      <w:r>
        <w:rPr>
          <w:rFonts w:hint="eastAsia" w:ascii="仿宋" w:hAnsi="仿宋" w:eastAsia="仿宋" w:cs="宋体"/>
          <w:color w:val="333333"/>
          <w:kern w:val="0"/>
          <w:sz w:val="24"/>
          <w:shd w:val="clear" w:color="auto" w:fill="FFFFFF"/>
          <w:lang w:bidi="ar"/>
        </w:rPr>
        <w:tab/>
      </w:r>
      <w:r>
        <w:rPr>
          <w:rFonts w:hint="eastAsia" w:ascii="仿宋" w:hAnsi="仿宋" w:eastAsia="仿宋" w:cs="宋体"/>
          <w:color w:val="333333"/>
          <w:kern w:val="0"/>
          <w:sz w:val="24"/>
          <w:shd w:val="clear" w:color="auto" w:fill="FFFFFF"/>
          <w:lang w:bidi="ar"/>
        </w:rPr>
        <w:tab/>
      </w:r>
      <w:r>
        <w:rPr>
          <w:rFonts w:hint="eastAsia" w:ascii="仿宋" w:hAnsi="仿宋" w:eastAsia="仿宋" w:cs="宋体"/>
          <w:color w:val="333333"/>
          <w:kern w:val="0"/>
          <w:sz w:val="24"/>
          <w:shd w:val="clear" w:color="auto" w:fill="FFFFFF"/>
          <w:lang w:bidi="ar"/>
        </w:rPr>
        <w:t>领取方式，授权办理人携带身份证原件到CA中心领取证书。</w:t>
      </w:r>
    </w:p>
    <w:p>
      <w:pPr>
        <w:pStyle w:val="16"/>
        <w:shd w:val="clear" w:color="auto" w:fill="FFFFFF"/>
        <w:spacing w:beforeAutospacing="0" w:afterAutospacing="0" w:line="480" w:lineRule="atLeast"/>
        <w:ind w:firstLine="480" w:firstLineChars="200"/>
        <w:rPr>
          <w:rFonts w:ascii="仿宋" w:hAnsi="仿宋" w:eastAsia="仿宋"/>
          <w:color w:val="333333"/>
          <w:shd w:val="clear" w:color="auto" w:fill="FFFFFF"/>
        </w:rPr>
      </w:pPr>
    </w:p>
    <w:p>
      <w:pPr>
        <w:pStyle w:val="16"/>
        <w:numPr>
          <w:ilvl w:val="0"/>
          <w:numId w:val="22"/>
        </w:numPr>
        <w:shd w:val="clear" w:color="auto" w:fill="FFFFFF"/>
        <w:spacing w:before="0" w:beforeAutospacing="0" w:after="0" w:afterAutospacing="0" w:line="420" w:lineRule="atLeast"/>
        <w:ind w:firstLine="482" w:firstLineChars="200"/>
        <w:rPr>
          <w:rFonts w:ascii="仿宋" w:hAnsi="仿宋" w:eastAsia="仿宋"/>
          <w:b/>
          <w:bCs/>
          <w:color w:val="333333"/>
          <w:shd w:val="clear" w:color="auto" w:fill="FFFFFF"/>
        </w:rPr>
      </w:pPr>
      <w:r>
        <w:rPr>
          <w:rFonts w:hint="eastAsia" w:ascii="仿宋" w:hAnsi="仿宋" w:eastAsia="仿宋"/>
          <w:b/>
          <w:bCs/>
          <w:color w:val="333333"/>
          <w:shd w:val="clear" w:color="auto" w:fill="FFFFFF"/>
        </w:rPr>
        <w:t>EIPO用户（</w:t>
      </w:r>
      <w:r>
        <w:rPr>
          <w:rFonts w:hint="eastAsia" w:ascii="仿宋" w:hAnsi="仿宋" w:eastAsia="仿宋"/>
        </w:rPr>
        <w:t>EIPO网下发行电子平台的专区用户</w:t>
      </w:r>
      <w:r>
        <w:rPr>
          <w:rFonts w:hint="eastAsia" w:ascii="仿宋" w:hAnsi="仿宋" w:eastAsia="仿宋"/>
          <w:b/>
          <w:bCs/>
          <w:color w:val="333333"/>
          <w:shd w:val="clear" w:color="auto" w:fill="FFFFFF"/>
        </w:rPr>
        <w:t>）</w:t>
      </w:r>
    </w:p>
    <w:p>
      <w:pPr>
        <w:pStyle w:val="16"/>
        <w:numPr>
          <w:ilvl w:val="255"/>
          <w:numId w:val="0"/>
        </w:numPr>
        <w:shd w:val="clear" w:color="auto" w:fill="FFFFFF"/>
        <w:spacing w:beforeAutospacing="0" w:afterAutospacing="0" w:line="420" w:lineRule="atLeast"/>
        <w:ind w:firstLine="480" w:firstLineChars="200"/>
        <w:rPr>
          <w:rStyle w:val="36"/>
          <w:rFonts w:ascii="仿宋" w:hAnsi="仿宋" w:eastAsia="仿宋"/>
          <w:color w:val="333333"/>
          <w:sz w:val="21"/>
          <w:szCs w:val="21"/>
        </w:rPr>
      </w:pPr>
      <w:r>
        <w:rPr>
          <w:rFonts w:hint="eastAsia" w:ascii="仿宋" w:hAnsi="仿宋" w:eastAsia="仿宋"/>
          <w:color w:val="333333"/>
          <w:shd w:val="clear" w:color="auto" w:fill="FFFFFF"/>
        </w:rPr>
        <w:t>请按照下列文档办理：</w:t>
      </w:r>
    </w:p>
    <w:p>
      <w:pPr>
        <w:pStyle w:val="16"/>
        <w:numPr>
          <w:ilvl w:val="0"/>
          <w:numId w:val="23"/>
        </w:numPr>
        <w:shd w:val="clear" w:color="auto" w:fill="FFFFFF"/>
        <w:spacing w:before="0" w:beforeAutospacing="0" w:after="0" w:afterAutospacing="0" w:line="420" w:lineRule="atLeast"/>
        <w:ind w:left="0" w:firstLine="480" w:firstLineChars="200"/>
        <w:rPr>
          <w:rFonts w:ascii="仿宋" w:hAnsi="仿宋" w:eastAsia="仿宋"/>
          <w:color w:val="333333"/>
          <w:sz w:val="21"/>
          <w:szCs w:val="21"/>
        </w:rPr>
      </w:pPr>
      <w:r>
        <w:fldChar w:fldCharType="begin"/>
      </w:r>
      <w:r>
        <w:instrText xml:space="preserve"> HYPERLINK "http://docs.static.szse.cn/www/marketServices/message/ca/explain/W020211216384904998437.doc" \t "http://www.szse.cn/marketServices/message/ca/_blank" </w:instrText>
      </w:r>
      <w:r>
        <w:fldChar w:fldCharType="separate"/>
      </w:r>
      <w:r>
        <w:rPr>
          <w:rStyle w:val="22"/>
          <w:rFonts w:hint="eastAsia" w:ascii="仿宋" w:hAnsi="仿宋" w:eastAsia="仿宋" w:cstheme="minorBidi"/>
          <w:color w:val="337AB7"/>
          <w:shd w:val="clear" w:color="auto" w:fill="FFFFFF"/>
        </w:rPr>
        <w:t>《投资者办理EIPO平台CA证书业务流程》</w:t>
      </w:r>
      <w:r>
        <w:rPr>
          <w:rStyle w:val="22"/>
          <w:rFonts w:hint="eastAsia" w:ascii="仿宋" w:hAnsi="仿宋" w:eastAsia="仿宋" w:cstheme="minorBidi"/>
          <w:color w:val="337AB7"/>
          <w:shd w:val="clear" w:color="auto" w:fill="FFFFFF"/>
        </w:rPr>
        <w:fldChar w:fldCharType="end"/>
      </w:r>
    </w:p>
    <w:p>
      <w:pPr>
        <w:pStyle w:val="16"/>
        <w:numPr>
          <w:ilvl w:val="0"/>
          <w:numId w:val="23"/>
        </w:numPr>
        <w:shd w:val="clear" w:color="auto" w:fill="FFFFFF"/>
        <w:spacing w:before="0" w:beforeAutospacing="0" w:after="0" w:afterAutospacing="0" w:line="420" w:lineRule="atLeast"/>
        <w:ind w:left="0" w:firstLine="480" w:firstLineChars="200"/>
        <w:rPr>
          <w:rFonts w:ascii="仿宋" w:hAnsi="仿宋" w:eastAsia="仿宋"/>
          <w:color w:val="333333"/>
          <w:sz w:val="21"/>
          <w:szCs w:val="21"/>
        </w:rPr>
      </w:pPr>
      <w:r>
        <w:fldChar w:fldCharType="begin"/>
      </w:r>
      <w:r>
        <w:instrText xml:space="preserve"> HYPERLINK "http://docs.static.szse.cn/www/marketServices/message/ca/explain/W020211216384905652899.doc" \t "http://www.szse.cn/marketServices/message/ca/_blank" </w:instrText>
      </w:r>
      <w:r>
        <w:fldChar w:fldCharType="separate"/>
      </w:r>
      <w:r>
        <w:rPr>
          <w:rStyle w:val="22"/>
          <w:rFonts w:hint="eastAsia" w:ascii="仿宋" w:hAnsi="仿宋" w:eastAsia="仿宋" w:cstheme="minorBidi"/>
          <w:color w:val="337AB7"/>
          <w:shd w:val="clear" w:color="auto" w:fill="FFFFFF"/>
        </w:rPr>
        <w:t>《EIPO平台数字证书手工更新和解锁业务办理说明》</w:t>
      </w:r>
      <w:r>
        <w:rPr>
          <w:rStyle w:val="22"/>
          <w:rFonts w:hint="eastAsia" w:ascii="仿宋" w:hAnsi="仿宋" w:eastAsia="仿宋" w:cstheme="minorBidi"/>
          <w:color w:val="337AB7"/>
          <w:shd w:val="clear" w:color="auto" w:fill="FFFFFF"/>
        </w:rPr>
        <w:fldChar w:fldCharType="end"/>
      </w:r>
    </w:p>
    <w:p>
      <w:pPr>
        <w:rPr>
          <w:rFonts w:ascii="仿宋" w:hAnsi="仿宋" w:eastAsia="仿宋" w:cs="宋体"/>
        </w:rPr>
      </w:pPr>
    </w:p>
    <w:p>
      <w:pPr>
        <w:pStyle w:val="16"/>
        <w:numPr>
          <w:ilvl w:val="0"/>
          <w:numId w:val="24"/>
        </w:numPr>
        <w:shd w:val="clear" w:color="auto" w:fill="FFFFFF"/>
        <w:spacing w:before="0" w:beforeAutospacing="0" w:after="0" w:afterAutospacing="0" w:line="480" w:lineRule="atLeast"/>
        <w:ind w:firstLine="482" w:firstLineChars="200"/>
        <w:rPr>
          <w:rFonts w:ascii="仿宋" w:hAnsi="仿宋" w:eastAsia="仿宋"/>
          <w:b/>
          <w:bCs/>
          <w:color w:val="333333"/>
          <w:shd w:val="clear" w:color="auto" w:fill="FFFFFF"/>
        </w:rPr>
      </w:pPr>
      <w:r>
        <w:rPr>
          <w:rFonts w:hint="eastAsia" w:ascii="仿宋" w:hAnsi="仿宋" w:eastAsia="仿宋"/>
          <w:b/>
          <w:bCs/>
          <w:color w:val="333333"/>
          <w:shd w:val="clear" w:color="auto" w:fill="FFFFFF"/>
        </w:rPr>
        <w:t>联系方式</w:t>
      </w:r>
    </w:p>
    <w:p>
      <w:pPr>
        <w:pStyle w:val="16"/>
        <w:shd w:val="clear" w:color="auto" w:fill="FFFFFF"/>
        <w:spacing w:beforeAutospacing="0" w:afterAutospacing="0" w:line="480" w:lineRule="atLeast"/>
        <w:ind w:firstLine="482" w:firstLineChars="200"/>
        <w:rPr>
          <w:rFonts w:ascii="仿宋" w:hAnsi="仿宋" w:eastAsia="仿宋"/>
          <w:color w:val="333333"/>
          <w:shd w:val="clear" w:color="auto" w:fill="FFFFFF"/>
        </w:rPr>
      </w:pPr>
      <w:r>
        <w:rPr>
          <w:rFonts w:hint="eastAsia" w:ascii="仿宋" w:hAnsi="仿宋" w:eastAsia="仿宋"/>
          <w:b/>
          <w:bCs/>
          <w:color w:val="333333"/>
          <w:shd w:val="clear" w:color="auto" w:fill="FFFFFF"/>
        </w:rPr>
        <w:t>咨询电话</w:t>
      </w:r>
      <w:r>
        <w:rPr>
          <w:rFonts w:hint="eastAsia" w:ascii="仿宋" w:hAnsi="仿宋" w:eastAsia="仿宋"/>
          <w:color w:val="333333"/>
          <w:shd w:val="clear" w:color="auto" w:fill="FFFFFF"/>
        </w:rPr>
        <w:t>：</w:t>
      </w:r>
    </w:p>
    <w:p>
      <w:pPr>
        <w:pStyle w:val="16"/>
        <w:shd w:val="clear" w:color="auto" w:fill="FFFFFF"/>
        <w:spacing w:beforeAutospacing="0" w:afterAutospacing="0" w:line="480" w:lineRule="atLeast"/>
        <w:ind w:firstLine="960" w:firstLineChars="400"/>
        <w:rPr>
          <w:rFonts w:ascii="仿宋" w:hAnsi="仿宋" w:eastAsia="仿宋"/>
          <w:color w:val="333333"/>
          <w:shd w:val="clear" w:color="auto" w:fill="FFFFFF"/>
        </w:rPr>
      </w:pPr>
      <w:r>
        <w:rPr>
          <w:rFonts w:hint="eastAsia" w:ascii="仿宋" w:hAnsi="仿宋" w:eastAsia="仿宋"/>
          <w:color w:val="333333"/>
          <w:shd w:val="clear" w:color="auto" w:fill="FFFFFF"/>
        </w:rPr>
        <w:t>技术支持以及专区证书使用问题：0755-88820030</w:t>
      </w:r>
    </w:p>
    <w:p>
      <w:pPr>
        <w:pStyle w:val="16"/>
        <w:shd w:val="clear" w:color="auto" w:fill="FFFFFF"/>
        <w:spacing w:beforeAutospacing="0" w:afterAutospacing="0" w:line="480" w:lineRule="atLeast"/>
        <w:ind w:firstLine="960" w:firstLineChars="400"/>
        <w:rPr>
          <w:rFonts w:ascii="仿宋" w:hAnsi="仿宋" w:eastAsia="仿宋"/>
          <w:color w:val="333333"/>
          <w:shd w:val="clear" w:color="auto" w:fill="FFFFFF"/>
        </w:rPr>
      </w:pPr>
      <w:r>
        <w:rPr>
          <w:rFonts w:hint="eastAsia" w:ascii="仿宋" w:hAnsi="仿宋" w:eastAsia="仿宋"/>
          <w:color w:val="333333"/>
          <w:shd w:val="clear" w:color="auto" w:fill="FFFFFF"/>
        </w:rPr>
        <w:t>数字证书申请流程：0755-88666172，88666344</w:t>
      </w:r>
    </w:p>
    <w:p>
      <w:pPr>
        <w:pStyle w:val="16"/>
        <w:shd w:val="clear" w:color="auto" w:fill="FFFFFF"/>
        <w:spacing w:beforeAutospacing="0" w:afterAutospacing="0" w:line="480" w:lineRule="atLeast"/>
        <w:ind w:firstLine="482" w:firstLineChars="200"/>
        <w:rPr>
          <w:rFonts w:ascii="仿宋" w:hAnsi="仿宋" w:eastAsia="仿宋"/>
          <w:color w:val="333333"/>
          <w:shd w:val="clear" w:color="auto" w:fill="FFFFFF"/>
        </w:rPr>
      </w:pPr>
      <w:r>
        <w:rPr>
          <w:rFonts w:hint="eastAsia" w:ascii="仿宋" w:hAnsi="仿宋" w:eastAsia="仿宋"/>
          <w:b/>
          <w:bCs/>
          <w:color w:val="333333"/>
          <w:shd w:val="clear" w:color="auto" w:fill="FFFFFF"/>
        </w:rPr>
        <w:t>电子邮箱：</w:t>
      </w:r>
      <w:r>
        <w:fldChar w:fldCharType="begin"/>
      </w:r>
      <w:r>
        <w:instrText xml:space="preserve"> HYPERLINK "mailto:ca@szse.cn" </w:instrText>
      </w:r>
      <w:r>
        <w:fldChar w:fldCharType="separate"/>
      </w:r>
      <w:r>
        <w:rPr>
          <w:rStyle w:val="22"/>
          <w:rFonts w:hint="eastAsia" w:ascii="仿宋" w:hAnsi="仿宋" w:eastAsia="仿宋" w:cstheme="minorBidi"/>
          <w:color w:val="333333"/>
          <w:shd w:val="clear" w:color="auto" w:fill="FFFFFF"/>
        </w:rPr>
        <w:t>ca@szse.cn</w:t>
      </w:r>
      <w:r>
        <w:rPr>
          <w:rStyle w:val="22"/>
          <w:rFonts w:hint="eastAsia" w:ascii="仿宋" w:hAnsi="仿宋" w:eastAsia="仿宋" w:cstheme="minorBidi"/>
          <w:color w:val="333333"/>
          <w:shd w:val="clear" w:color="auto" w:fill="FFFFFF"/>
        </w:rPr>
        <w:fldChar w:fldCharType="end"/>
      </w:r>
    </w:p>
    <w:p>
      <w:pPr>
        <w:pStyle w:val="16"/>
        <w:shd w:val="clear" w:color="auto" w:fill="FFFFFF"/>
        <w:spacing w:beforeAutospacing="0" w:afterAutospacing="0" w:line="480" w:lineRule="atLeast"/>
        <w:ind w:firstLine="482" w:firstLineChars="200"/>
        <w:rPr>
          <w:rFonts w:ascii="仿宋" w:hAnsi="仿宋" w:eastAsia="仿宋"/>
          <w:color w:val="333333"/>
          <w:shd w:val="clear" w:color="auto" w:fill="FFFFFF"/>
        </w:rPr>
      </w:pPr>
      <w:r>
        <w:rPr>
          <w:rFonts w:hint="eastAsia" w:ascii="仿宋" w:hAnsi="仿宋" w:eastAsia="仿宋"/>
          <w:b/>
          <w:bCs/>
          <w:color w:val="333333"/>
          <w:shd w:val="clear" w:color="auto" w:fill="FFFFFF"/>
        </w:rPr>
        <w:t>工作时间：</w:t>
      </w:r>
      <w:r>
        <w:rPr>
          <w:rFonts w:hint="eastAsia" w:ascii="仿宋" w:hAnsi="仿宋" w:eastAsia="仿宋"/>
          <w:color w:val="333333"/>
          <w:shd w:val="clear" w:color="auto" w:fill="FFFFFF"/>
        </w:rPr>
        <w:t>工作日8:30-11:30,13:30-17:00</w:t>
      </w:r>
    </w:p>
    <w:p>
      <w:pPr>
        <w:pStyle w:val="16"/>
        <w:shd w:val="clear" w:color="auto" w:fill="FFFFFF"/>
        <w:spacing w:beforeAutospacing="0" w:afterAutospacing="0" w:line="480" w:lineRule="atLeast"/>
        <w:ind w:firstLine="482" w:firstLineChars="200"/>
        <w:rPr>
          <w:rFonts w:ascii="仿宋" w:hAnsi="仿宋" w:eastAsia="仿宋"/>
          <w:color w:val="333333"/>
          <w:shd w:val="clear" w:color="auto" w:fill="FFFFFF"/>
        </w:rPr>
      </w:pPr>
      <w:r>
        <w:rPr>
          <w:rFonts w:hint="eastAsia" w:ascii="仿宋" w:hAnsi="仿宋" w:eastAsia="仿宋"/>
          <w:b/>
          <w:bCs/>
          <w:color w:val="333333"/>
          <w:shd w:val="clear" w:color="auto" w:fill="FFFFFF"/>
        </w:rPr>
        <w:t>邮寄收件人：</w:t>
      </w:r>
      <w:r>
        <w:rPr>
          <w:rFonts w:hint="eastAsia" w:ascii="仿宋" w:hAnsi="仿宋" w:eastAsia="仿宋"/>
          <w:color w:val="333333"/>
          <w:shd w:val="clear" w:color="auto" w:fill="FFFFFF"/>
        </w:rPr>
        <w:t>深交所CA中心，电话：0755-88666172</w:t>
      </w:r>
    </w:p>
    <w:p>
      <w:pPr>
        <w:widowControl/>
        <w:ind w:firstLine="482" w:firstLineChars="200"/>
        <w:jc w:val="left"/>
        <w:rPr>
          <w:rFonts w:ascii="仿宋" w:hAnsi="仿宋" w:eastAsia="仿宋" w:cs="宋体"/>
          <w:color w:val="333333"/>
          <w:sz w:val="24"/>
          <w:shd w:val="clear" w:color="auto" w:fill="FFFFFF"/>
        </w:rPr>
      </w:pPr>
      <w:r>
        <w:rPr>
          <w:rFonts w:hint="eastAsia" w:ascii="仿宋" w:hAnsi="仿宋" w:eastAsia="仿宋" w:cs="宋体"/>
          <w:b/>
          <w:bCs/>
          <w:color w:val="333333"/>
          <w:sz w:val="24"/>
          <w:shd w:val="clear" w:color="auto" w:fill="FFFFFF"/>
        </w:rPr>
        <w:t>邮寄地址：</w:t>
      </w:r>
      <w:r>
        <w:rPr>
          <w:rFonts w:hint="eastAsia" w:ascii="仿宋" w:hAnsi="仿宋" w:eastAsia="仿宋" w:cs="宋体"/>
          <w:color w:val="333333"/>
          <w:sz w:val="24"/>
          <w:shd w:val="clear" w:color="auto" w:fill="FFFFFF"/>
        </w:rPr>
        <w:t>广东省深圳市深南大道2012号深圳证券交易所广场M725办公室</w:t>
      </w: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widowControl/>
        <w:jc w:val="left"/>
        <w:rPr>
          <w:rFonts w:ascii="宋体" w:hAnsi="宋体" w:cs="宋体"/>
          <w:color w:val="333333"/>
          <w:sz w:val="24"/>
          <w:shd w:val="clear" w:color="auto" w:fill="FFFFFF"/>
        </w:rPr>
      </w:pPr>
    </w:p>
    <w:p>
      <w:pPr>
        <w:pStyle w:val="10"/>
        <w:spacing w:line="520" w:lineRule="exact"/>
        <w:ind w:left="0" w:leftChars="0"/>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w:t>
      </w:r>
      <w:r>
        <w:rPr>
          <w:rFonts w:ascii="黑体" w:hAnsi="黑体" w:eastAsia="黑体"/>
          <w:sz w:val="32"/>
          <w:szCs w:val="32"/>
        </w:rPr>
        <w:t>-</w:t>
      </w:r>
      <w:r>
        <w:rPr>
          <w:rFonts w:hint="eastAsia" w:ascii="黑体" w:hAnsi="黑体" w:eastAsia="黑体"/>
          <w:sz w:val="32"/>
          <w:szCs w:val="32"/>
        </w:rPr>
        <w:t>2</w:t>
      </w:r>
    </w:p>
    <w:p>
      <w:pPr>
        <w:spacing w:line="560" w:lineRule="exact"/>
        <w:rPr>
          <w:sz w:val="28"/>
          <w:szCs w:val="28"/>
        </w:rPr>
      </w:pPr>
    </w:p>
    <w:p>
      <w:pPr>
        <w:spacing w:line="560" w:lineRule="exact"/>
        <w:rPr>
          <w:sz w:val="28"/>
          <w:szCs w:val="28"/>
        </w:rPr>
      </w:pPr>
    </w:p>
    <w:p>
      <w:pPr>
        <w:spacing w:line="560" w:lineRule="exact"/>
        <w:rPr>
          <w:sz w:val="28"/>
          <w:szCs w:val="28"/>
        </w:rPr>
      </w:pPr>
    </w:p>
    <w:tbl>
      <w:tblPr>
        <w:tblStyle w:val="1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280" w:type="dxa"/>
            <w:tcBorders>
              <w:left w:val="nil"/>
              <w:right w:val="nil"/>
            </w:tcBorders>
          </w:tcPr>
          <w:p>
            <w:pPr>
              <w:ind w:firstLine="1687" w:firstLineChars="300"/>
              <w:rPr>
                <w:b/>
                <w:color w:val="FF0000"/>
                <w:sz w:val="56"/>
                <w:szCs w:val="56"/>
              </w:rPr>
            </w:pPr>
          </w:p>
          <w:p>
            <w:pPr>
              <w:jc w:val="center"/>
              <w:rPr>
                <w:b/>
                <w:color w:val="FF0000"/>
                <w:sz w:val="54"/>
                <w:szCs w:val="54"/>
              </w:rPr>
            </w:pPr>
            <w:r>
              <w:rPr>
                <w:rFonts w:hint="eastAsia"/>
                <w:b/>
                <w:color w:val="FF0000"/>
                <w:sz w:val="54"/>
                <w:szCs w:val="54"/>
              </w:rPr>
              <w:t>深圳证券交易所</w:t>
            </w:r>
          </w:p>
          <w:p>
            <w:pPr>
              <w:ind w:firstLine="271" w:firstLineChars="50"/>
              <w:jc w:val="center"/>
              <w:rPr>
                <w:b/>
                <w:color w:val="FF0000"/>
                <w:sz w:val="54"/>
                <w:szCs w:val="54"/>
              </w:rPr>
            </w:pPr>
            <w:r>
              <w:rPr>
                <w:rFonts w:hint="eastAsia"/>
                <w:b/>
                <w:color w:val="FF0000"/>
                <w:sz w:val="54"/>
                <w:szCs w:val="54"/>
              </w:rPr>
              <w:t>主板业务专区使用协议</w:t>
            </w:r>
          </w:p>
          <w:p>
            <w:pPr>
              <w:ind w:firstLine="361" w:firstLineChars="50"/>
              <w:rPr>
                <w:b/>
                <w:color w:val="FF0000"/>
                <w:sz w:val="72"/>
                <w:szCs w:val="72"/>
              </w:rPr>
            </w:pPr>
          </w:p>
        </w:tc>
      </w:tr>
    </w:tbl>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rPr>
          <w:sz w:val="28"/>
          <w:szCs w:val="28"/>
        </w:rPr>
      </w:pPr>
      <w:r>
        <w:rPr>
          <w:rFonts w:hint="eastAsia"/>
          <w:sz w:val="28"/>
          <w:szCs w:val="28"/>
        </w:rPr>
        <w:t xml:space="preserve">                  </w:t>
      </w:r>
      <w:r>
        <w:rPr>
          <w:sz w:val="28"/>
          <w:szCs w:val="28"/>
        </w:rPr>
        <w:drawing>
          <wp:inline distT="0" distB="0" distL="0" distR="0">
            <wp:extent cx="2133600" cy="1009650"/>
            <wp:effectExtent l="0" t="0" r="0" b="0"/>
            <wp:docPr id="25" name="图片 25" descr="szse-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szse-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33600" cy="1009650"/>
                    </a:xfrm>
                    <a:prstGeom prst="rect">
                      <a:avLst/>
                    </a:prstGeom>
                    <a:noFill/>
                    <a:ln>
                      <a:noFill/>
                    </a:ln>
                  </pic:spPr>
                </pic:pic>
              </a:graphicData>
            </a:graphic>
          </wp:inline>
        </w:drawing>
      </w:r>
    </w:p>
    <w:p>
      <w:pPr>
        <w:widowControl/>
        <w:jc w:val="left"/>
        <w:rPr>
          <w:rFonts w:ascii="黑体" w:hAnsi="宋体" w:eastAsia="黑体" w:cs="宋体"/>
          <w:b/>
          <w:color w:val="000000"/>
          <w:kern w:val="0"/>
          <w:sz w:val="32"/>
          <w:szCs w:val="32"/>
        </w:rPr>
      </w:pPr>
      <w:r>
        <w:rPr>
          <w:rFonts w:ascii="黑体" w:hAnsi="宋体" w:eastAsia="黑体" w:cs="宋体"/>
          <w:b/>
          <w:color w:val="000000"/>
          <w:kern w:val="0"/>
          <w:sz w:val="32"/>
          <w:szCs w:val="32"/>
        </w:rPr>
        <w:br w:type="page"/>
      </w:r>
    </w:p>
    <w:p>
      <w:pPr>
        <w:jc w:val="left"/>
        <w:rPr>
          <w:rFonts w:ascii="黑体" w:hAnsi="宋体" w:eastAsia="黑体" w:cs="宋体"/>
          <w:b/>
          <w:color w:val="000000"/>
          <w:kern w:val="0"/>
          <w:sz w:val="32"/>
          <w:szCs w:val="32"/>
        </w:rPr>
      </w:pPr>
    </w:p>
    <w:p>
      <w:pPr>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深圳证券交易所</w:t>
      </w:r>
    </w:p>
    <w:p>
      <w:pPr>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主板业务专区使用协议</w:t>
      </w:r>
    </w:p>
    <w:p>
      <w:pPr>
        <w:spacing w:line="56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深圳证券交易所(以下简称“深交所”或“甲方”)主板业务专区（以下简称“业务专区” 或“乙方”）是深交所与主板上市公司或拟上市公司（以下简称“上市公司”）进行业务办理及业务交流的网上业务平台。为确保网上业务安全顺利进行，明确双方的权利义务，规范双方的行为，现就业务专区使用相关事宜达成以下协议：</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一、上市公司的权利和义务</w:t>
      </w:r>
    </w:p>
    <w:p>
      <w:pPr>
        <w:numPr>
          <w:ilvl w:val="0"/>
          <w:numId w:val="25"/>
        </w:numPr>
        <w:tabs>
          <w:tab w:val="left" w:pos="1146"/>
          <w:tab w:val="left" w:pos="1440"/>
          <w:tab w:val="clear" w:pos="1260"/>
        </w:tabs>
        <w:spacing w:line="560" w:lineRule="exact"/>
        <w:ind w:left="0" w:firstLine="540"/>
        <w:rPr>
          <w:rFonts w:ascii="仿宋" w:hAnsi="仿宋" w:eastAsia="仿宋" w:cs="宋体"/>
          <w:color w:val="000000"/>
          <w:kern w:val="0"/>
          <w:sz w:val="28"/>
          <w:szCs w:val="28"/>
        </w:rPr>
      </w:pPr>
      <w:r>
        <w:rPr>
          <w:rFonts w:hint="eastAsia" w:ascii="仿宋" w:hAnsi="仿宋" w:eastAsia="仿宋"/>
          <w:color w:val="000000"/>
          <w:sz w:val="28"/>
          <w:szCs w:val="28"/>
        </w:rPr>
        <w:t>上市公司有权依照本协议的规定使用业务专区进行</w:t>
      </w:r>
      <w:r>
        <w:rPr>
          <w:rFonts w:hint="eastAsia" w:ascii="仿宋" w:hAnsi="仿宋" w:eastAsia="仿宋" w:cs="宋体"/>
          <w:color w:val="000000"/>
          <w:kern w:val="0"/>
          <w:sz w:val="28"/>
          <w:szCs w:val="28"/>
        </w:rPr>
        <w:t>业务办理和业务交流。</w:t>
      </w:r>
    </w:p>
    <w:p>
      <w:pPr>
        <w:numPr>
          <w:ilvl w:val="0"/>
          <w:numId w:val="25"/>
        </w:numPr>
        <w:tabs>
          <w:tab w:val="left" w:pos="1146"/>
          <w:tab w:val="left" w:pos="1440"/>
          <w:tab w:val="clear" w:pos="1260"/>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上市公司使用业务专区，应当严格遵守国家有关法律、法规、规章和本所的有关要求，不得利用业务专区复制、制造和传播危害国家安全、妨碍社会治安和淫秽色情的信息，不得利用业务专区从事危害他人信息系统和网络安全、侵法他人合法权益的活动。</w:t>
      </w:r>
    </w:p>
    <w:p>
      <w:pPr>
        <w:numPr>
          <w:ilvl w:val="0"/>
          <w:numId w:val="25"/>
        </w:numPr>
        <w:tabs>
          <w:tab w:val="left" w:pos="1146"/>
          <w:tab w:val="left" w:pos="1440"/>
          <w:tab w:val="clear" w:pos="1260"/>
        </w:tabs>
        <w:spacing w:line="56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上市公司应当保证通过业务专区向深交所提交的发行上市、信息披露文件的电子文件，包括申请文件、董事会决议公告、监事会公告、股东大会公告等，其内容应与对应的纸质原件完全一致。</w:t>
      </w:r>
    </w:p>
    <w:p>
      <w:pPr>
        <w:numPr>
          <w:ilvl w:val="0"/>
          <w:numId w:val="25"/>
        </w:numPr>
        <w:tabs>
          <w:tab w:val="left" w:pos="1146"/>
          <w:tab w:val="left" w:pos="1440"/>
          <w:tab w:val="clear" w:pos="1260"/>
        </w:tabs>
        <w:spacing w:line="56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将带有相关机构、个人署名或签章的备查文件（如相关决议、中介机构报告、合同、协议或批文等），通过业务专区或者传真的方式向深交所报送，并保证该电子文档或传真件的内容与原件完全一致。</w:t>
      </w:r>
    </w:p>
    <w:p>
      <w:pPr>
        <w:numPr>
          <w:ilvl w:val="0"/>
          <w:numId w:val="25"/>
        </w:numPr>
        <w:tabs>
          <w:tab w:val="left" w:pos="1146"/>
          <w:tab w:val="left" w:pos="1440"/>
          <w:tab w:val="clear" w:pos="1260"/>
        </w:tabs>
        <w:spacing w:line="56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妥善保管进入业务专区所需的密码或“深圳证券交易所数字证书”（以下简称“数字证书”）。密码或数字证书仅限上市公司自身使用，不得采取转让、出借等任何方式许可他人使用。数字证书或密码如遗失或泄漏，应及时告知深交所进行注销。任何人使用上市公司的密码或数字证书在业务专区中的操作行为均视同上市公司自身的行为，上市公司应当承担由此种操作行为所直接或间接导致的一切法律责任。</w:t>
      </w:r>
    </w:p>
    <w:p>
      <w:pPr>
        <w:numPr>
          <w:ilvl w:val="0"/>
          <w:numId w:val="25"/>
        </w:numPr>
        <w:tabs>
          <w:tab w:val="left" w:pos="1146"/>
          <w:tab w:val="left" w:pos="1440"/>
          <w:tab w:val="clear" w:pos="1260"/>
        </w:tabs>
        <w:spacing w:line="56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上市公司应当保证发行上市和信息披露文件的真实、准确和完整，并及时通过业务专区向信息披露指定报纸和指定网站（以下简称“指定媒体”）传递信息披露文件</w:t>
      </w:r>
      <w:r>
        <w:rPr>
          <w:rFonts w:hint="eastAsia" w:ascii="仿宋" w:hAnsi="仿宋" w:eastAsia="仿宋"/>
          <w:sz w:val="28"/>
          <w:szCs w:val="28"/>
        </w:rPr>
        <w:t>。</w:t>
      </w:r>
      <w:r>
        <w:rPr>
          <w:rFonts w:hint="eastAsia" w:ascii="仿宋" w:hAnsi="仿宋" w:eastAsia="仿宋"/>
          <w:color w:val="000000"/>
          <w:sz w:val="28"/>
          <w:szCs w:val="28"/>
        </w:rPr>
        <w:t>因网络原因或其他原因无法传递的，上市公司应及时与深交所及指定媒体联系并采取适当方式传递有关文件。</w:t>
      </w:r>
    </w:p>
    <w:p>
      <w:pPr>
        <w:numPr>
          <w:ilvl w:val="0"/>
          <w:numId w:val="25"/>
        </w:numPr>
        <w:tabs>
          <w:tab w:val="left" w:pos="1146"/>
          <w:tab w:val="left" w:pos="1440"/>
          <w:tab w:val="clear" w:pos="1260"/>
        </w:tabs>
        <w:spacing w:line="56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上市公司应当积极配合深交所对业务专区进行的维护、升级及测试等相关工作，上市公司发现业务专区存在技术或安全问题，或者其他需要改进的地方，应及时通知深交所相关人员。</w:t>
      </w:r>
    </w:p>
    <w:p>
      <w:pPr>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二、深交所的权利和义务</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深交所可根据业务需要，适时调整业务专区的内容、功能及用户权限</w:t>
      </w:r>
      <w:r>
        <w:rPr>
          <w:rFonts w:hint="eastAsia" w:ascii="仿宋" w:hAnsi="仿宋" w:eastAsia="仿宋"/>
          <w:color w:val="000000"/>
          <w:sz w:val="28"/>
          <w:szCs w:val="28"/>
        </w:rPr>
        <w:t>。</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深交所应当严格遵守国家有关法律法规，保证所发布的信息内容合法。</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深交所通过业务专区向上市公司发送监管函件，视同已向上市公司送达。</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olor w:val="000000"/>
          <w:sz w:val="28"/>
          <w:szCs w:val="28"/>
        </w:rPr>
        <w:t>深交所承担业务专区的日常运行管理及系统维护工作，适时对业务专区</w:t>
      </w:r>
      <w:r>
        <w:rPr>
          <w:rFonts w:hint="eastAsia" w:ascii="仿宋" w:hAnsi="仿宋" w:eastAsia="仿宋" w:cs="宋体"/>
          <w:color w:val="000000"/>
          <w:kern w:val="0"/>
          <w:sz w:val="28"/>
          <w:szCs w:val="28"/>
        </w:rPr>
        <w:t>进行优化及升级，不断改进业务专区的网络安全性和使用的方便性，保证为业务专区用户提供良好的服务。</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因系统维护或升级等原因需暂停业务专区使用的，深交所应当事先通知上市公司。</w:t>
      </w:r>
    </w:p>
    <w:p>
      <w:pPr>
        <w:numPr>
          <w:ilvl w:val="0"/>
          <w:numId w:val="26"/>
        </w:numPr>
        <w:tabs>
          <w:tab w:val="left" w:pos="1440"/>
          <w:tab w:val="clear" w:pos="2336"/>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深交所应当对上市公司使用业务专区提供技术指导，必要时对有关人员进行技术培训。</w:t>
      </w:r>
    </w:p>
    <w:p>
      <w:pPr>
        <w:spacing w:line="56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三、免责条款</w:t>
      </w:r>
    </w:p>
    <w:p>
      <w:pPr>
        <w:tabs>
          <w:tab w:val="left" w:pos="1440"/>
        </w:tabs>
        <w:spacing w:line="5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因不可抗力、意外事故、技术故障或其他非深交所所能控制的异常情况导致业务专区相关系统部分或全部不能正常运行，且深交所已采取相应措施，由此给上市公司造成的任何直接或间接损失，深交所不承担法律责任。</w:t>
      </w:r>
    </w:p>
    <w:p>
      <w:pPr>
        <w:spacing w:line="56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四、附则</w:t>
      </w:r>
    </w:p>
    <w:p>
      <w:pPr>
        <w:numPr>
          <w:ilvl w:val="0"/>
          <w:numId w:val="27"/>
        </w:numPr>
        <w:tabs>
          <w:tab w:val="left" w:pos="1440"/>
          <w:tab w:val="clear" w:pos="1260"/>
        </w:tabs>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本协议一式两份，双方各执一份。</w:t>
      </w:r>
    </w:p>
    <w:p>
      <w:pPr>
        <w:numPr>
          <w:ilvl w:val="0"/>
          <w:numId w:val="27"/>
        </w:numPr>
        <w:tabs>
          <w:tab w:val="left" w:pos="1440"/>
          <w:tab w:val="clear" w:pos="1260"/>
        </w:tabs>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本协议自双方法定代表人或授权代表签字盖章后生效。</w:t>
      </w:r>
    </w:p>
    <w:p>
      <w:pPr>
        <w:numPr>
          <w:ilvl w:val="0"/>
          <w:numId w:val="27"/>
        </w:numPr>
        <w:tabs>
          <w:tab w:val="left" w:pos="1440"/>
          <w:tab w:val="clear" w:pos="1260"/>
        </w:tabs>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深交所保留对本协议的解释权。</w:t>
      </w:r>
    </w:p>
    <w:p>
      <w:pPr>
        <w:numPr>
          <w:ilvl w:val="0"/>
          <w:numId w:val="27"/>
        </w:numPr>
        <w:tabs>
          <w:tab w:val="left" w:pos="1440"/>
          <w:tab w:val="clear" w:pos="1260"/>
        </w:tabs>
        <w:spacing w:line="56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与本协议有关或因执行本协议所产生的争议，</w:t>
      </w:r>
      <w:r>
        <w:rPr>
          <w:rFonts w:hint="eastAsia" w:ascii="仿宋" w:hAnsi="仿宋" w:eastAsia="仿宋"/>
          <w:color w:val="000000"/>
          <w:kern w:val="0"/>
          <w:sz w:val="28"/>
          <w:szCs w:val="28"/>
        </w:rPr>
        <w:t>双方应首先通过友好协商解决。</w:t>
      </w:r>
      <w:r>
        <w:rPr>
          <w:rFonts w:hint="eastAsia" w:ascii="仿宋" w:hAnsi="仿宋" w:eastAsia="仿宋"/>
          <w:color w:val="000000"/>
          <w:sz w:val="28"/>
          <w:szCs w:val="28"/>
        </w:rPr>
        <w:t>协商不成的，</w:t>
      </w:r>
      <w:r>
        <w:rPr>
          <w:rFonts w:hint="eastAsia" w:ascii="仿宋" w:hAnsi="仿宋" w:eastAsia="仿宋"/>
          <w:color w:val="000000"/>
          <w:kern w:val="0"/>
          <w:sz w:val="28"/>
          <w:szCs w:val="28"/>
        </w:rPr>
        <w:t>任何一方均可将该项争议提交华南国际经济贸易仲裁委员会进行仲裁。仲裁裁决为最终裁决，对双方均具有法律约束力。</w:t>
      </w:r>
    </w:p>
    <w:p>
      <w:pPr>
        <w:spacing w:line="560" w:lineRule="exact"/>
        <w:rPr>
          <w:rFonts w:ascii="仿宋" w:hAnsi="仿宋" w:eastAsia="仿宋" w:cs="宋体"/>
          <w:b/>
          <w:color w:val="000000"/>
          <w:kern w:val="0"/>
          <w:sz w:val="32"/>
          <w:szCs w:val="32"/>
        </w:rPr>
      </w:pPr>
    </w:p>
    <w:p>
      <w:pPr>
        <w:spacing w:line="560" w:lineRule="exact"/>
        <w:rPr>
          <w:rFonts w:ascii="仿宋" w:hAnsi="仿宋" w:eastAsia="仿宋" w:cs="宋体"/>
          <w:b/>
          <w:color w:val="000000"/>
          <w:kern w:val="0"/>
          <w:sz w:val="32"/>
          <w:szCs w:val="32"/>
        </w:rPr>
      </w:pPr>
    </w:p>
    <w:p>
      <w:p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甲方：深圳证券交易所             乙方：</w:t>
      </w:r>
    </w:p>
    <w:p>
      <w:p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法定代表人或授权代表：           法定代表人或授权代表：</w:t>
      </w:r>
    </w:p>
    <w:p>
      <w:pPr>
        <w:spacing w:line="560" w:lineRule="exact"/>
        <w:rPr>
          <w:rFonts w:ascii="仿宋" w:hAnsi="仿宋" w:eastAsia="仿宋" w:cs="宋体"/>
          <w:color w:val="000000"/>
          <w:kern w:val="0"/>
          <w:sz w:val="28"/>
          <w:szCs w:val="28"/>
        </w:rPr>
      </w:pPr>
    </w:p>
    <w:p>
      <w:pPr>
        <w:spacing w:line="56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签署日期：                       签署日期：</w:t>
      </w:r>
    </w:p>
    <w:p>
      <w:pPr>
        <w:spacing w:line="560" w:lineRule="exact"/>
        <w:rPr>
          <w:rFonts w:ascii="仿宋" w:hAnsi="仿宋" w:eastAsia="仿宋"/>
        </w:rPr>
      </w:pPr>
    </w:p>
    <w:p>
      <w:pPr>
        <w:widowControl/>
        <w:jc w:val="left"/>
        <w:rPr>
          <w:rFonts w:ascii="黑体" w:hAnsi="黑体" w:eastAsia="黑体"/>
          <w:sz w:val="32"/>
          <w:szCs w:val="32"/>
        </w:rPr>
      </w:pPr>
      <w:r>
        <w:rPr>
          <w:rFonts w:ascii="黑体" w:hAnsi="黑体" w:eastAsia="黑体"/>
          <w:sz w:val="32"/>
          <w:szCs w:val="32"/>
        </w:rPr>
        <w:br w:type="page"/>
      </w:r>
    </w:p>
    <w:p>
      <w:pPr>
        <w:pStyle w:val="10"/>
        <w:spacing w:line="520" w:lineRule="exact"/>
        <w:ind w:left="0" w:leftChars="0"/>
        <w:rPr>
          <w:rFonts w:ascii="黑体" w:hAnsi="黑体" w:eastAsia="黑体"/>
          <w:sz w:val="32"/>
          <w:szCs w:val="32"/>
        </w:rPr>
      </w:pPr>
      <w:r>
        <w:rPr>
          <w:rFonts w:hint="eastAsia" w:ascii="黑体" w:hAnsi="黑体" w:eastAsia="黑体"/>
          <w:sz w:val="32"/>
          <w:szCs w:val="32"/>
        </w:rPr>
        <w:t>附件3</w:t>
      </w:r>
      <w:r>
        <w:rPr>
          <w:rFonts w:ascii="黑体" w:hAnsi="黑体" w:eastAsia="黑体"/>
          <w:sz w:val="32"/>
          <w:szCs w:val="32"/>
        </w:rPr>
        <w:t>-</w:t>
      </w:r>
      <w:r>
        <w:rPr>
          <w:rFonts w:hint="eastAsia" w:ascii="黑体" w:hAnsi="黑体" w:eastAsia="黑体"/>
          <w:sz w:val="32"/>
          <w:szCs w:val="32"/>
        </w:rPr>
        <w:t>3</w:t>
      </w:r>
    </w:p>
    <w:p>
      <w:pPr>
        <w:spacing w:line="560" w:lineRule="exact"/>
        <w:rPr>
          <w:sz w:val="28"/>
          <w:szCs w:val="28"/>
        </w:rPr>
      </w:pPr>
    </w:p>
    <w:p>
      <w:pPr>
        <w:spacing w:line="560" w:lineRule="exact"/>
        <w:rPr>
          <w:sz w:val="28"/>
          <w:szCs w:val="28"/>
        </w:rPr>
      </w:pPr>
    </w:p>
    <w:tbl>
      <w:tblPr>
        <w:tblStyle w:val="1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8280" w:type="dxa"/>
            <w:tcBorders>
              <w:left w:val="nil"/>
              <w:right w:val="nil"/>
            </w:tcBorders>
          </w:tcPr>
          <w:p>
            <w:pPr>
              <w:ind w:firstLine="1687" w:firstLineChars="300"/>
              <w:rPr>
                <w:b/>
                <w:color w:val="FF0000"/>
                <w:sz w:val="56"/>
                <w:szCs w:val="56"/>
              </w:rPr>
            </w:pPr>
          </w:p>
          <w:p>
            <w:pPr>
              <w:jc w:val="center"/>
              <w:rPr>
                <w:b/>
                <w:color w:val="FF0000"/>
                <w:sz w:val="54"/>
                <w:szCs w:val="54"/>
              </w:rPr>
            </w:pPr>
            <w:r>
              <w:rPr>
                <w:rFonts w:hint="eastAsia"/>
                <w:b/>
                <w:color w:val="FF0000"/>
                <w:sz w:val="54"/>
                <w:szCs w:val="54"/>
              </w:rPr>
              <w:t>深圳证券交易所</w:t>
            </w:r>
          </w:p>
          <w:p>
            <w:pPr>
              <w:ind w:firstLine="271" w:firstLineChars="50"/>
              <w:jc w:val="center"/>
              <w:rPr>
                <w:b/>
                <w:color w:val="FF0000"/>
                <w:sz w:val="54"/>
                <w:szCs w:val="54"/>
              </w:rPr>
            </w:pPr>
            <w:r>
              <w:rPr>
                <w:rFonts w:hint="eastAsia"/>
                <w:b/>
                <w:color w:val="FF0000"/>
                <w:sz w:val="54"/>
                <w:szCs w:val="54"/>
              </w:rPr>
              <w:t>创业板业务专区使用协议</w:t>
            </w:r>
          </w:p>
          <w:p>
            <w:pPr>
              <w:ind w:firstLine="361" w:firstLineChars="50"/>
              <w:rPr>
                <w:b/>
                <w:color w:val="FF0000"/>
                <w:sz w:val="72"/>
                <w:szCs w:val="72"/>
              </w:rPr>
            </w:pPr>
          </w:p>
        </w:tc>
      </w:tr>
    </w:tbl>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rPr>
          <w:sz w:val="28"/>
          <w:szCs w:val="28"/>
        </w:rPr>
      </w:pPr>
      <w:r>
        <w:rPr>
          <w:rFonts w:hint="eastAsia"/>
          <w:sz w:val="28"/>
          <w:szCs w:val="28"/>
        </w:rPr>
        <w:t xml:space="preserve">                  </w:t>
      </w:r>
      <w:r>
        <w:rPr>
          <w:sz w:val="28"/>
          <w:szCs w:val="28"/>
        </w:rPr>
        <w:drawing>
          <wp:inline distT="0" distB="0" distL="0" distR="0">
            <wp:extent cx="2133600" cy="1009650"/>
            <wp:effectExtent l="0" t="0" r="0" b="0"/>
            <wp:docPr id="27" name="图片 27" descr="szse-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szse-new-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33600" cy="1009650"/>
                    </a:xfrm>
                    <a:prstGeom prst="rect">
                      <a:avLst/>
                    </a:prstGeom>
                    <a:noFill/>
                    <a:ln>
                      <a:noFill/>
                    </a:ln>
                  </pic:spPr>
                </pic:pic>
              </a:graphicData>
            </a:graphic>
          </wp:inline>
        </w:drawing>
      </w:r>
    </w:p>
    <w:p>
      <w:pPr>
        <w:spacing w:line="560" w:lineRule="exact"/>
        <w:rPr>
          <w:sz w:val="28"/>
          <w:szCs w:val="28"/>
        </w:rPr>
      </w:pPr>
    </w:p>
    <w:p>
      <w:pPr>
        <w:spacing w:line="560" w:lineRule="exact"/>
        <w:jc w:val="center"/>
        <w:rPr>
          <w:rFonts w:ascii="黑体" w:hAnsi="宋体" w:eastAsia="黑体" w:cs="宋体"/>
          <w:b/>
          <w:color w:val="000000"/>
          <w:kern w:val="0"/>
          <w:sz w:val="32"/>
          <w:szCs w:val="32"/>
        </w:rPr>
      </w:pPr>
    </w:p>
    <w:p>
      <w:pPr>
        <w:spacing w:line="560" w:lineRule="exact"/>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深圳证券交易所</w:t>
      </w:r>
    </w:p>
    <w:p>
      <w:pPr>
        <w:spacing w:line="560" w:lineRule="exact"/>
        <w:jc w:val="center"/>
        <w:rPr>
          <w:rFonts w:ascii="黑体" w:hAnsi="宋体" w:eastAsia="黑体" w:cs="宋体"/>
          <w:b/>
          <w:color w:val="000000"/>
          <w:kern w:val="0"/>
          <w:sz w:val="32"/>
          <w:szCs w:val="32"/>
        </w:rPr>
      </w:pPr>
      <w:r>
        <w:rPr>
          <w:rFonts w:hint="eastAsia" w:ascii="黑体" w:hAnsi="宋体" w:eastAsia="黑体" w:cs="宋体"/>
          <w:b/>
          <w:color w:val="000000"/>
          <w:kern w:val="0"/>
          <w:sz w:val="32"/>
          <w:szCs w:val="32"/>
        </w:rPr>
        <w:t>上市公司业务专区使用协议</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深圳证券交易所(以下简称“深交所”或“甲方”)创业板业务专区（以下简称“业务专区”）是深交所与创业板上市公司或拟上市公司（以下简称“上市公司”或“乙方”）进行业务办理及业务交流的网上业务平台，包括发行上市和信息披露业务办理，法律法规、业务通知、业务指南的发布以及诚信档案的公布，监管函件的发送，网上论坛的提供等项内容。其中“发行上市业务”子专区和“信息披露业务”子专区是上市公司办理发行上市、信息披露文件的申请、提交、接受审核反馈和确认刊登等业务的子专区。</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为确保网上业务安全顺利进行，明确双方的权利义务，规范双方的行为，现就业务专区使用相关事宜达成以下协议：</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一、上市公司的权利和义务</w:t>
      </w:r>
    </w:p>
    <w:p>
      <w:pPr>
        <w:numPr>
          <w:ilvl w:val="0"/>
          <w:numId w:val="28"/>
        </w:numPr>
        <w:tabs>
          <w:tab w:val="left" w:pos="1440"/>
        </w:tabs>
        <w:spacing w:line="54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上市公司有权依照本协议的规定使用业务专区进行业务办理和业务交流。</w:t>
      </w:r>
    </w:p>
    <w:p>
      <w:pPr>
        <w:numPr>
          <w:ilvl w:val="0"/>
          <w:numId w:val="28"/>
        </w:numPr>
        <w:tabs>
          <w:tab w:val="left" w:pos="1440"/>
        </w:tabs>
        <w:spacing w:line="540" w:lineRule="exact"/>
        <w:ind w:left="0" w:firstLine="540"/>
        <w:rPr>
          <w:rFonts w:ascii="仿宋" w:hAnsi="仿宋" w:eastAsia="仿宋" w:cs="宋体"/>
          <w:color w:val="000000"/>
          <w:kern w:val="0"/>
          <w:sz w:val="28"/>
          <w:szCs w:val="28"/>
        </w:rPr>
      </w:pPr>
      <w:r>
        <w:rPr>
          <w:rFonts w:hint="eastAsia" w:ascii="仿宋" w:hAnsi="仿宋" w:eastAsia="仿宋" w:cs="宋体"/>
          <w:color w:val="000000"/>
          <w:kern w:val="0"/>
          <w:sz w:val="28"/>
          <w:szCs w:val="28"/>
        </w:rPr>
        <w:t>上市公司使用业务专区，应当严格遵守国家有关法律、法规、规章和本所的有关要求，不得利用业务专区复制、制造和传播危害国家安全、妨碍社会治安和淫秽色情的信息，不得利用业务专区从事危害他人信息系统和网络安全、侵法他人合法权益的活动。</w:t>
      </w:r>
    </w:p>
    <w:p>
      <w:pPr>
        <w:numPr>
          <w:ilvl w:val="0"/>
          <w:numId w:val="28"/>
        </w:numPr>
        <w:tabs>
          <w:tab w:val="left" w:pos="1440"/>
        </w:tabs>
        <w:spacing w:line="54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上市公司应当保证通过业务专区向深交所提交的发行上市、信息披露文件的电子文件，包括申请文件、董事会决议公告、监事会公告、股东大会公告等，其内容应与对应的纸质原件完全一致。</w:t>
      </w:r>
    </w:p>
    <w:p>
      <w:pPr>
        <w:numPr>
          <w:ilvl w:val="0"/>
          <w:numId w:val="28"/>
        </w:numPr>
        <w:tabs>
          <w:tab w:val="left" w:pos="1440"/>
        </w:tabs>
        <w:spacing w:line="52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将带有相关机构、个人署名或签章的备查文件（如相关决议、中介机构报告、合同、协议或批文等），通过业务专区或者传真的方式向深交所报送，并保证该电子文档或传真件的内容与原件完全一致。</w:t>
      </w:r>
    </w:p>
    <w:p>
      <w:pPr>
        <w:numPr>
          <w:ilvl w:val="0"/>
          <w:numId w:val="28"/>
        </w:numPr>
        <w:tabs>
          <w:tab w:val="left" w:pos="1440"/>
        </w:tabs>
        <w:spacing w:line="52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妥善保管进入业务专区所需的密码或“深圳证券交易所数字证书”（以下简称“数字证书”）。密码或数字证书仅限上市公司自身使用，不得采取转让、出借等任何方式许可他人使用。数字证书或密码如遗失或泄漏，应及时告知深交所进行注销。任何人使用上市公司的密码或数字证书在业务专区中的操作行为均视同上市公司自身的行为，上市公司应当承担由此种操作行为所直接或间接导致的一切法律责任。</w:t>
      </w:r>
    </w:p>
    <w:p>
      <w:pPr>
        <w:numPr>
          <w:ilvl w:val="0"/>
          <w:numId w:val="28"/>
        </w:numPr>
        <w:tabs>
          <w:tab w:val="left" w:pos="1440"/>
        </w:tabs>
        <w:spacing w:line="52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上市公司应当保证发行上市和信息披露文件的真实、准确和完整，并及时通过业务专区向信息披露指定报纸和指定网站（以下简称“指定媒体”）传递信息披露文件</w:t>
      </w:r>
      <w:r>
        <w:rPr>
          <w:rFonts w:hint="eastAsia" w:ascii="仿宋" w:hAnsi="仿宋" w:eastAsia="仿宋"/>
          <w:sz w:val="28"/>
          <w:szCs w:val="28"/>
        </w:rPr>
        <w:t>。</w:t>
      </w:r>
      <w:r>
        <w:rPr>
          <w:rFonts w:hint="eastAsia" w:ascii="仿宋" w:hAnsi="仿宋" w:eastAsia="仿宋"/>
          <w:color w:val="000000"/>
          <w:sz w:val="28"/>
          <w:szCs w:val="28"/>
        </w:rPr>
        <w:t>因网络原因或其他原因无法传递的，上市公司应及时与深交所及指定媒体联系并采取适当方式传递有关文件。</w:t>
      </w:r>
    </w:p>
    <w:p>
      <w:pPr>
        <w:numPr>
          <w:ilvl w:val="0"/>
          <w:numId w:val="28"/>
        </w:numPr>
        <w:tabs>
          <w:tab w:val="left" w:pos="1440"/>
        </w:tabs>
        <w:spacing w:line="520" w:lineRule="exact"/>
        <w:ind w:left="0" w:firstLine="540"/>
        <w:rPr>
          <w:rFonts w:ascii="仿宋" w:hAnsi="仿宋" w:eastAsia="仿宋"/>
          <w:color w:val="000000"/>
          <w:sz w:val="28"/>
          <w:szCs w:val="28"/>
        </w:rPr>
      </w:pPr>
      <w:r>
        <w:rPr>
          <w:rFonts w:hint="eastAsia" w:ascii="仿宋" w:hAnsi="仿宋" w:eastAsia="仿宋"/>
          <w:color w:val="000000"/>
          <w:sz w:val="28"/>
          <w:szCs w:val="28"/>
        </w:rPr>
        <w:t>上市公司应当积极配合深交所对业务专区进行的维护、升级及测试等相关工作，上市公司发现业务专区存在技术或安全问题，或者其他需要改进的地方，应及时通知深交所相关人员。</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二、深交所的权利和义务</w:t>
      </w:r>
    </w:p>
    <w:p>
      <w:pPr>
        <w:spacing w:line="52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（一）深交所可根据业务需要，适时调整业务专区的内容、功能及用户权限。</w:t>
      </w:r>
    </w:p>
    <w:p>
      <w:pPr>
        <w:spacing w:line="52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（二）深交所应当严格遵守国家有关法律法规，保证所发布的信息内容合法。</w:t>
      </w:r>
    </w:p>
    <w:p>
      <w:pPr>
        <w:spacing w:line="52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（三）深交所通过业务专区向上市公司发送监管函件，视同已向上市公司送达。</w:t>
      </w:r>
    </w:p>
    <w:p>
      <w:pPr>
        <w:spacing w:line="52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（四）</w:t>
      </w:r>
      <w:r>
        <w:rPr>
          <w:rFonts w:hint="eastAsia" w:ascii="仿宋" w:hAnsi="仿宋" w:eastAsia="仿宋"/>
          <w:color w:val="000000"/>
          <w:sz w:val="28"/>
          <w:szCs w:val="28"/>
        </w:rPr>
        <w:t>深交所承担业务专区的日常运行管理及系统维护工作，适时对业务专区</w:t>
      </w:r>
      <w:r>
        <w:rPr>
          <w:rFonts w:hint="eastAsia" w:ascii="仿宋" w:hAnsi="仿宋" w:eastAsia="仿宋" w:cs="宋体"/>
          <w:color w:val="000000"/>
          <w:kern w:val="0"/>
          <w:sz w:val="28"/>
          <w:szCs w:val="28"/>
        </w:rPr>
        <w:t>进行优化及升级，不断改进业务专区的网络安全性和使用的方便性，保证为业务专区用户提供良好的服务。</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（五）因系统维护或升级等原因需暂停业务专区使用的，深交所应当事先通知上市公司。</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（六）深交所应当对上市公司使用业务专区提供技术指导，必要时对有关人员进行技术培训。</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三、免责条款</w:t>
      </w:r>
    </w:p>
    <w:p>
      <w:pPr>
        <w:tabs>
          <w:tab w:val="left" w:pos="1440"/>
        </w:tabs>
        <w:spacing w:line="5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因不可抗力、意外事故、技术故障或其他非深交所所能控制的异常情况导致业务专区相关系统部分或全部不能正常运行，且深交所已采取相应措施，由此给上市公司造成的任何直接或间接损失，深交所不承担法律责任。</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四、附则</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（一）本协议一式两份，双方各执一份。</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（二）本协议自双方法定代表人或授权代表签字盖章后生效。</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（三）深交所保留对本协议的解释权。</w:t>
      </w:r>
    </w:p>
    <w:p>
      <w:pPr>
        <w:spacing w:line="54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四）与本协议有关或因执行本协议所产生的争议，双方应首先通过友好协商解决。协商不成的，任何一方均可将该项争议提交华南国际经济贸易仲裁委员会进行仲裁。仲裁裁决为最终裁决，对双方均具有法律约束力。</w:t>
      </w:r>
    </w:p>
    <w:p>
      <w:pPr>
        <w:spacing w:line="540" w:lineRule="exact"/>
        <w:rPr>
          <w:rFonts w:ascii="仿宋" w:hAnsi="仿宋" w:eastAsia="仿宋" w:cs="宋体"/>
          <w:color w:val="000000"/>
          <w:kern w:val="0"/>
          <w:sz w:val="28"/>
          <w:szCs w:val="28"/>
        </w:rPr>
      </w:pPr>
    </w:p>
    <w:p>
      <w:pPr>
        <w:spacing w:line="540" w:lineRule="exact"/>
        <w:rPr>
          <w:rFonts w:ascii="仿宋" w:hAnsi="仿宋" w:eastAsia="仿宋" w:cs="宋体"/>
          <w:color w:val="000000"/>
          <w:kern w:val="0"/>
          <w:sz w:val="28"/>
          <w:szCs w:val="28"/>
        </w:rPr>
      </w:pPr>
    </w:p>
    <w:p>
      <w:pPr>
        <w:spacing w:line="5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甲方：深圳证券交易所             乙方：</w:t>
      </w:r>
    </w:p>
    <w:p>
      <w:pPr>
        <w:spacing w:line="5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法定代表人或授权代表：           法定代表人或授权代表：</w:t>
      </w:r>
    </w:p>
    <w:p>
      <w:pPr>
        <w:spacing w:line="540" w:lineRule="exact"/>
        <w:rPr>
          <w:rFonts w:ascii="仿宋" w:hAnsi="仿宋" w:eastAsia="仿宋" w:cs="宋体"/>
          <w:color w:val="000000"/>
          <w:kern w:val="0"/>
          <w:sz w:val="28"/>
          <w:szCs w:val="28"/>
        </w:rPr>
      </w:pPr>
    </w:p>
    <w:p>
      <w:pPr>
        <w:spacing w:line="540" w:lineRule="exact"/>
        <w:rPr>
          <w:rFonts w:ascii="仿宋" w:hAnsi="仿宋" w:eastAsia="仿宋" w:cs="宋体"/>
          <w:color w:val="000000"/>
          <w:kern w:val="0"/>
          <w:sz w:val="28"/>
          <w:szCs w:val="28"/>
        </w:rPr>
      </w:pPr>
      <w:r>
        <w:rPr>
          <w:rFonts w:hint="eastAsia" w:ascii="仿宋" w:hAnsi="仿宋" w:eastAsia="仿宋" w:cs="宋体"/>
          <w:color w:val="000000"/>
          <w:kern w:val="0"/>
          <w:sz w:val="28"/>
          <w:szCs w:val="28"/>
        </w:rPr>
        <w:t>签署日期：                       签署日期：</w:t>
      </w:r>
    </w:p>
    <w:p>
      <w:pPr>
        <w:spacing w:line="540" w:lineRule="exact"/>
        <w:rPr>
          <w:rFonts w:ascii="仿宋" w:hAnsi="仿宋" w:eastAsia="仿宋"/>
        </w:rPr>
      </w:pPr>
    </w:p>
    <w:p>
      <w:pPr>
        <w:pStyle w:val="3"/>
        <w:adjustRightInd w:val="0"/>
        <w:snapToGrid w:val="0"/>
        <w:ind w:firstLine="480" w:firstLineChars="200"/>
        <w:rPr>
          <w:rFonts w:ascii="仿宋" w:hAnsi="仿宋" w:eastAsia="仿宋"/>
          <w:sz w:val="24"/>
          <w:szCs w:val="24"/>
        </w:rPr>
      </w:pPr>
    </w:p>
    <w:sectPr>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498209"/>
    </w:sdtPr>
    <w:sdtContent>
      <w:p>
        <w:pPr>
          <w:pStyle w:val="12"/>
          <w:jc w:val="center"/>
        </w:pPr>
        <w:r>
          <w:fldChar w:fldCharType="begin"/>
        </w:r>
        <w:r>
          <w:instrText xml:space="preserve">PAGE   \* MERGEFORMAT</w:instrText>
        </w:r>
        <w:r>
          <w:fldChar w:fldCharType="separate"/>
        </w:r>
        <w:r>
          <w:rPr>
            <w:lang w:val="zh-CN"/>
          </w:rPr>
          <w:t>32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341898"/>
    </w:sdtPr>
    <w:sdtContent>
      <w:p>
        <w:pPr>
          <w:pStyle w:val="12"/>
          <w:jc w:val="center"/>
        </w:pPr>
        <w:r>
          <w:fldChar w:fldCharType="begin"/>
        </w:r>
        <w:r>
          <w:instrText xml:space="preserve">PAGE   \* MERGEFORMAT</w:instrText>
        </w:r>
        <w:r>
          <w:fldChar w:fldCharType="separate"/>
        </w:r>
        <w:r>
          <w:rPr>
            <w:lang w:val="zh-CN"/>
          </w:rPr>
          <w:t>60</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FB7DA"/>
    <w:multiLevelType w:val="singleLevel"/>
    <w:tmpl w:val="826FB7DA"/>
    <w:lvl w:ilvl="0" w:tentative="0">
      <w:start w:val="3"/>
      <w:numFmt w:val="chineseCounting"/>
      <w:suff w:val="space"/>
      <w:lvlText w:val="%1."/>
      <w:lvlJc w:val="left"/>
      <w:rPr>
        <w:rFonts w:hint="eastAsia"/>
      </w:rPr>
    </w:lvl>
  </w:abstractNum>
  <w:abstractNum w:abstractNumId="1">
    <w:nsid w:val="85C111E1"/>
    <w:multiLevelType w:val="singleLevel"/>
    <w:tmpl w:val="85C111E1"/>
    <w:lvl w:ilvl="0" w:tentative="0">
      <w:start w:val="1"/>
      <w:numFmt w:val="decimal"/>
      <w:lvlText w:val="%1."/>
      <w:lvlJc w:val="left"/>
      <w:pPr>
        <w:ind w:left="425" w:hanging="425"/>
      </w:pPr>
      <w:rPr>
        <w:rFonts w:hint="default" w:ascii="宋体" w:hAnsi="宋体" w:eastAsia="宋体" w:cs="宋体"/>
        <w:sz w:val="24"/>
        <w:szCs w:val="24"/>
      </w:rPr>
    </w:lvl>
  </w:abstractNum>
  <w:abstractNum w:abstractNumId="2">
    <w:nsid w:val="AAB7E856"/>
    <w:multiLevelType w:val="singleLevel"/>
    <w:tmpl w:val="AAB7E856"/>
    <w:lvl w:ilvl="0" w:tentative="0">
      <w:start w:val="1"/>
      <w:numFmt w:val="decimal"/>
      <w:suff w:val="nothing"/>
      <w:lvlText w:val="%1．"/>
      <w:lvlJc w:val="left"/>
      <w:pPr>
        <w:ind w:left="0" w:firstLine="400"/>
      </w:pPr>
      <w:rPr>
        <w:rFonts w:hint="default"/>
      </w:rPr>
    </w:lvl>
  </w:abstractNum>
  <w:abstractNum w:abstractNumId="3">
    <w:nsid w:val="AC093224"/>
    <w:multiLevelType w:val="singleLevel"/>
    <w:tmpl w:val="AC093224"/>
    <w:lvl w:ilvl="0" w:tentative="0">
      <w:start w:val="1"/>
      <w:numFmt w:val="decimal"/>
      <w:suff w:val="nothing"/>
      <w:lvlText w:val="%1．"/>
      <w:lvlJc w:val="left"/>
      <w:pPr>
        <w:ind w:left="0" w:firstLine="400"/>
      </w:pPr>
      <w:rPr>
        <w:rFonts w:hint="default"/>
      </w:rPr>
    </w:lvl>
  </w:abstractNum>
  <w:abstractNum w:abstractNumId="4">
    <w:nsid w:val="AFBAB2B3"/>
    <w:multiLevelType w:val="singleLevel"/>
    <w:tmpl w:val="AFBAB2B3"/>
    <w:lvl w:ilvl="0" w:tentative="0">
      <w:start w:val="1"/>
      <w:numFmt w:val="decimal"/>
      <w:suff w:val="nothing"/>
      <w:lvlText w:val="%1．"/>
      <w:lvlJc w:val="left"/>
      <w:pPr>
        <w:ind w:left="0" w:firstLine="400"/>
      </w:pPr>
      <w:rPr>
        <w:rFonts w:hint="default"/>
      </w:rPr>
    </w:lvl>
  </w:abstractNum>
  <w:abstractNum w:abstractNumId="5">
    <w:nsid w:val="CE511DB4"/>
    <w:multiLevelType w:val="singleLevel"/>
    <w:tmpl w:val="CE511DB4"/>
    <w:lvl w:ilvl="0" w:tentative="0">
      <w:start w:val="1"/>
      <w:numFmt w:val="decimal"/>
      <w:suff w:val="nothing"/>
      <w:lvlText w:val="%1．"/>
      <w:lvlJc w:val="left"/>
      <w:pPr>
        <w:ind w:left="0" w:firstLine="400"/>
      </w:pPr>
      <w:rPr>
        <w:rFonts w:hint="default"/>
      </w:rPr>
    </w:lvl>
  </w:abstractNum>
  <w:abstractNum w:abstractNumId="6">
    <w:nsid w:val="D3BAB325"/>
    <w:multiLevelType w:val="singleLevel"/>
    <w:tmpl w:val="D3BAB325"/>
    <w:lvl w:ilvl="0" w:tentative="0">
      <w:start w:val="1"/>
      <w:numFmt w:val="decimal"/>
      <w:suff w:val="nothing"/>
      <w:lvlText w:val="%1．"/>
      <w:lvlJc w:val="left"/>
      <w:pPr>
        <w:ind w:left="0" w:firstLine="400"/>
      </w:pPr>
      <w:rPr>
        <w:rFonts w:hint="default"/>
      </w:rPr>
    </w:lvl>
  </w:abstractNum>
  <w:abstractNum w:abstractNumId="7">
    <w:nsid w:val="DC4E56B2"/>
    <w:multiLevelType w:val="singleLevel"/>
    <w:tmpl w:val="DC4E56B2"/>
    <w:lvl w:ilvl="0" w:tentative="0">
      <w:start w:val="1"/>
      <w:numFmt w:val="decimal"/>
      <w:suff w:val="nothing"/>
      <w:lvlText w:val="%1．"/>
      <w:lvlJc w:val="left"/>
      <w:pPr>
        <w:ind w:left="0" w:firstLine="400"/>
      </w:pPr>
      <w:rPr>
        <w:rFonts w:hint="default"/>
      </w:rPr>
    </w:lvl>
  </w:abstractNum>
  <w:abstractNum w:abstractNumId="8">
    <w:nsid w:val="E5FD4C96"/>
    <w:multiLevelType w:val="singleLevel"/>
    <w:tmpl w:val="E5FD4C96"/>
    <w:lvl w:ilvl="0" w:tentative="0">
      <w:start w:val="1"/>
      <w:numFmt w:val="decimal"/>
      <w:suff w:val="nothing"/>
      <w:lvlText w:val="%1．"/>
      <w:lvlJc w:val="left"/>
      <w:pPr>
        <w:ind w:left="0" w:firstLine="400"/>
      </w:pPr>
      <w:rPr>
        <w:rFonts w:hint="default"/>
      </w:rPr>
    </w:lvl>
  </w:abstractNum>
  <w:abstractNum w:abstractNumId="9">
    <w:nsid w:val="03735924"/>
    <w:multiLevelType w:val="singleLevel"/>
    <w:tmpl w:val="03735924"/>
    <w:lvl w:ilvl="0" w:tentative="0">
      <w:start w:val="1"/>
      <w:numFmt w:val="decimal"/>
      <w:suff w:val="nothing"/>
      <w:lvlText w:val="%1．"/>
      <w:lvlJc w:val="left"/>
      <w:pPr>
        <w:ind w:left="0" w:firstLine="400"/>
      </w:pPr>
      <w:rPr>
        <w:rFonts w:hint="default"/>
      </w:rPr>
    </w:lvl>
  </w:abstractNum>
  <w:abstractNum w:abstractNumId="10">
    <w:nsid w:val="0634346E"/>
    <w:multiLevelType w:val="singleLevel"/>
    <w:tmpl w:val="0634346E"/>
    <w:lvl w:ilvl="0" w:tentative="0">
      <w:start w:val="1"/>
      <w:numFmt w:val="decimal"/>
      <w:suff w:val="nothing"/>
      <w:lvlText w:val="%1．"/>
      <w:lvlJc w:val="left"/>
      <w:pPr>
        <w:ind w:left="0" w:firstLine="400"/>
      </w:pPr>
      <w:rPr>
        <w:rFonts w:hint="default"/>
      </w:rPr>
    </w:lvl>
  </w:abstractNum>
  <w:abstractNum w:abstractNumId="11">
    <w:nsid w:val="0BB43CAD"/>
    <w:multiLevelType w:val="singleLevel"/>
    <w:tmpl w:val="0BB43CAD"/>
    <w:lvl w:ilvl="0" w:tentative="0">
      <w:start w:val="1"/>
      <w:numFmt w:val="decimal"/>
      <w:suff w:val="nothing"/>
      <w:lvlText w:val="%1．"/>
      <w:lvlJc w:val="left"/>
      <w:pPr>
        <w:ind w:left="-694" w:firstLine="400"/>
      </w:pPr>
      <w:rPr>
        <w:rFonts w:hint="default" w:ascii="宋体" w:hAnsi="宋体" w:eastAsia="宋体" w:cs="宋体"/>
        <w:b/>
        <w:bCs/>
        <w:sz w:val="24"/>
        <w:szCs w:val="24"/>
      </w:rPr>
    </w:lvl>
  </w:abstractNum>
  <w:abstractNum w:abstractNumId="12">
    <w:nsid w:val="0E028F2E"/>
    <w:multiLevelType w:val="singleLevel"/>
    <w:tmpl w:val="0E028F2E"/>
    <w:lvl w:ilvl="0" w:tentative="0">
      <w:start w:val="1"/>
      <w:numFmt w:val="decimal"/>
      <w:suff w:val="space"/>
      <w:lvlText w:val="%1."/>
      <w:lvlJc w:val="left"/>
    </w:lvl>
  </w:abstractNum>
  <w:abstractNum w:abstractNumId="13">
    <w:nsid w:val="3001426B"/>
    <w:multiLevelType w:val="multilevel"/>
    <w:tmpl w:val="3001426B"/>
    <w:lvl w:ilvl="0" w:tentative="0">
      <w:start w:val="1"/>
      <w:numFmt w:val="ideographDigital"/>
      <w:lvlText w:val="（%1）"/>
      <w:lvlJc w:val="left"/>
      <w:pPr>
        <w:tabs>
          <w:tab w:val="left" w:pos="1260"/>
        </w:tabs>
        <w:ind w:left="1260" w:hanging="720"/>
      </w:pPr>
      <w:rPr>
        <w:rFonts w:hint="default"/>
      </w:rPr>
    </w:lvl>
    <w:lvl w:ilvl="1" w:tentative="0">
      <w:start w:val="1"/>
      <w:numFmt w:val="japaneseCounting"/>
      <w:lvlText w:val="（%2）"/>
      <w:lvlJc w:val="left"/>
      <w:pPr>
        <w:tabs>
          <w:tab w:val="left" w:pos="1515"/>
        </w:tabs>
        <w:ind w:left="1515" w:hanging="1095"/>
      </w:pPr>
      <w:rPr>
        <w:rFonts w:hint="default"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B54564"/>
    <w:multiLevelType w:val="singleLevel"/>
    <w:tmpl w:val="30B54564"/>
    <w:lvl w:ilvl="0" w:tentative="0">
      <w:start w:val="1"/>
      <w:numFmt w:val="decimal"/>
      <w:suff w:val="nothing"/>
      <w:lvlText w:val="%1．"/>
      <w:lvlJc w:val="left"/>
      <w:pPr>
        <w:ind w:left="0" w:firstLine="400"/>
      </w:pPr>
      <w:rPr>
        <w:rFonts w:hint="default"/>
      </w:rPr>
    </w:lvl>
  </w:abstractNum>
  <w:abstractNum w:abstractNumId="15">
    <w:nsid w:val="36CE2C8B"/>
    <w:multiLevelType w:val="multilevel"/>
    <w:tmpl w:val="36CE2C8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E3D477"/>
    <w:multiLevelType w:val="singleLevel"/>
    <w:tmpl w:val="36E3D477"/>
    <w:lvl w:ilvl="0" w:tentative="0">
      <w:start w:val="1"/>
      <w:numFmt w:val="decimal"/>
      <w:suff w:val="nothing"/>
      <w:lvlText w:val="%1．"/>
      <w:lvlJc w:val="left"/>
      <w:pPr>
        <w:ind w:left="0" w:firstLine="400"/>
      </w:pPr>
      <w:rPr>
        <w:rFonts w:hint="default"/>
      </w:rPr>
    </w:lvl>
  </w:abstractNum>
  <w:abstractNum w:abstractNumId="17">
    <w:nsid w:val="41117DAA"/>
    <w:multiLevelType w:val="singleLevel"/>
    <w:tmpl w:val="41117DAA"/>
    <w:lvl w:ilvl="0" w:tentative="0">
      <w:start w:val="1"/>
      <w:numFmt w:val="decimal"/>
      <w:suff w:val="nothing"/>
      <w:lvlText w:val="%1．"/>
      <w:lvlJc w:val="left"/>
      <w:pPr>
        <w:ind w:left="0" w:firstLine="400"/>
      </w:pPr>
      <w:rPr>
        <w:rFonts w:hint="default"/>
      </w:rPr>
    </w:lvl>
  </w:abstractNum>
  <w:abstractNum w:abstractNumId="18">
    <w:nsid w:val="498E00A7"/>
    <w:multiLevelType w:val="multilevel"/>
    <w:tmpl w:val="498E00A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3521BE"/>
    <w:multiLevelType w:val="singleLevel"/>
    <w:tmpl w:val="4B3521BE"/>
    <w:lvl w:ilvl="0" w:tentative="0">
      <w:start w:val="1"/>
      <w:numFmt w:val="chineseCounting"/>
      <w:suff w:val="nothing"/>
      <w:lvlText w:val="%1、"/>
      <w:lvlJc w:val="left"/>
      <w:pPr>
        <w:ind w:left="-60"/>
      </w:pPr>
      <w:rPr>
        <w:rFonts w:hint="eastAsia"/>
      </w:rPr>
    </w:lvl>
  </w:abstractNum>
  <w:abstractNum w:abstractNumId="20">
    <w:nsid w:val="4EA6EADA"/>
    <w:multiLevelType w:val="singleLevel"/>
    <w:tmpl w:val="4EA6EADA"/>
    <w:lvl w:ilvl="0" w:tentative="0">
      <w:start w:val="1"/>
      <w:numFmt w:val="decimal"/>
      <w:suff w:val="nothing"/>
      <w:lvlText w:val="%1．"/>
      <w:lvlJc w:val="left"/>
      <w:pPr>
        <w:ind w:left="0" w:firstLine="400"/>
      </w:pPr>
      <w:rPr>
        <w:rFonts w:hint="default"/>
      </w:rPr>
    </w:lvl>
  </w:abstractNum>
  <w:abstractNum w:abstractNumId="21">
    <w:nsid w:val="57E2506E"/>
    <w:multiLevelType w:val="singleLevel"/>
    <w:tmpl w:val="57E2506E"/>
    <w:lvl w:ilvl="0" w:tentative="0">
      <w:start w:val="1"/>
      <w:numFmt w:val="decimal"/>
      <w:suff w:val="nothing"/>
      <w:lvlText w:val="%1．"/>
      <w:lvlJc w:val="left"/>
      <w:pPr>
        <w:ind w:left="0" w:firstLine="400"/>
      </w:pPr>
      <w:rPr>
        <w:rFonts w:hint="default"/>
      </w:rPr>
    </w:lvl>
  </w:abstractNum>
  <w:abstractNum w:abstractNumId="22">
    <w:nsid w:val="5B1D2733"/>
    <w:multiLevelType w:val="singleLevel"/>
    <w:tmpl w:val="5B1D2733"/>
    <w:lvl w:ilvl="0" w:tentative="0">
      <w:start w:val="2"/>
      <w:numFmt w:val="chineseCounting"/>
      <w:suff w:val="nothing"/>
      <w:lvlText w:val="%1．"/>
      <w:lvlJc w:val="left"/>
      <w:rPr>
        <w:rFonts w:hint="eastAsia"/>
      </w:rPr>
    </w:lvl>
  </w:abstractNum>
  <w:abstractNum w:abstractNumId="23">
    <w:nsid w:val="5B4B3F99"/>
    <w:multiLevelType w:val="singleLevel"/>
    <w:tmpl w:val="5B4B3F99"/>
    <w:lvl w:ilvl="0" w:tentative="0">
      <w:start w:val="1"/>
      <w:numFmt w:val="decimal"/>
      <w:suff w:val="nothing"/>
      <w:lvlText w:val="%1．"/>
      <w:lvlJc w:val="left"/>
      <w:pPr>
        <w:ind w:left="0" w:firstLine="400"/>
      </w:pPr>
      <w:rPr>
        <w:rFonts w:hint="default"/>
      </w:rPr>
    </w:lvl>
  </w:abstractNum>
  <w:abstractNum w:abstractNumId="24">
    <w:nsid w:val="5F6A3C69"/>
    <w:multiLevelType w:val="multilevel"/>
    <w:tmpl w:val="5F6A3C69"/>
    <w:lvl w:ilvl="0" w:tentative="0">
      <w:start w:val="1"/>
      <w:numFmt w:val="ideographDigital"/>
      <w:lvlText w:val="（%1）"/>
      <w:lvlJc w:val="left"/>
      <w:pPr>
        <w:tabs>
          <w:tab w:val="left" w:pos="2336"/>
        </w:tabs>
        <w:ind w:left="2336"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03A6C4A"/>
    <w:multiLevelType w:val="multilevel"/>
    <w:tmpl w:val="603A6C4A"/>
    <w:lvl w:ilvl="0" w:tentative="0">
      <w:start w:val="1"/>
      <w:numFmt w:val="ideographDigital"/>
      <w:lvlText w:val="（%1）"/>
      <w:lvlJc w:val="left"/>
      <w:pPr>
        <w:tabs>
          <w:tab w:val="left" w:pos="1260"/>
        </w:tabs>
        <w:ind w:left="1260" w:hanging="720"/>
      </w:pPr>
      <w:rPr>
        <w:rFonts w:hint="default"/>
      </w:rPr>
    </w:lvl>
    <w:lvl w:ilvl="1" w:tentative="0">
      <w:start w:val="1"/>
      <w:numFmt w:val="japaneseCounting"/>
      <w:lvlText w:val="（%2）"/>
      <w:lvlJc w:val="left"/>
      <w:pPr>
        <w:tabs>
          <w:tab w:val="left" w:pos="1515"/>
        </w:tabs>
        <w:ind w:left="1515" w:hanging="1095"/>
      </w:pPr>
      <w:rPr>
        <w:rFonts w:hint="default"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93A7E53"/>
    <w:multiLevelType w:val="multilevel"/>
    <w:tmpl w:val="793A7E53"/>
    <w:lvl w:ilvl="0" w:tentative="0">
      <w:start w:val="1"/>
      <w:numFmt w:val="ideographDigital"/>
      <w:lvlText w:val="（%1）"/>
      <w:lvlJc w:val="left"/>
      <w:pPr>
        <w:tabs>
          <w:tab w:val="left" w:pos="1260"/>
        </w:tabs>
        <w:ind w:left="1260" w:hanging="720"/>
      </w:pPr>
      <w:rPr>
        <w:rFonts w:hint="default"/>
      </w:rPr>
    </w:lvl>
    <w:lvl w:ilvl="1" w:tentative="0">
      <w:start w:val="1"/>
      <w:numFmt w:val="lowerLetter"/>
      <w:lvlText w:val="%2)"/>
      <w:lvlJc w:val="left"/>
      <w:pPr>
        <w:tabs>
          <w:tab w:val="left" w:pos="-236"/>
        </w:tabs>
        <w:ind w:left="-236" w:hanging="420"/>
      </w:pPr>
    </w:lvl>
    <w:lvl w:ilvl="2" w:tentative="0">
      <w:start w:val="1"/>
      <w:numFmt w:val="lowerRoman"/>
      <w:lvlText w:val="%3."/>
      <w:lvlJc w:val="right"/>
      <w:pPr>
        <w:tabs>
          <w:tab w:val="left" w:pos="184"/>
        </w:tabs>
        <w:ind w:left="184" w:hanging="420"/>
      </w:pPr>
    </w:lvl>
    <w:lvl w:ilvl="3" w:tentative="0">
      <w:start w:val="1"/>
      <w:numFmt w:val="decimal"/>
      <w:lvlText w:val="%4."/>
      <w:lvlJc w:val="left"/>
      <w:pPr>
        <w:tabs>
          <w:tab w:val="left" w:pos="604"/>
        </w:tabs>
        <w:ind w:left="604" w:hanging="420"/>
      </w:pPr>
    </w:lvl>
    <w:lvl w:ilvl="4" w:tentative="0">
      <w:start w:val="1"/>
      <w:numFmt w:val="lowerLetter"/>
      <w:lvlText w:val="%5)"/>
      <w:lvlJc w:val="left"/>
      <w:pPr>
        <w:tabs>
          <w:tab w:val="left" w:pos="1024"/>
        </w:tabs>
        <w:ind w:left="1024" w:hanging="420"/>
      </w:pPr>
    </w:lvl>
    <w:lvl w:ilvl="5" w:tentative="0">
      <w:start w:val="1"/>
      <w:numFmt w:val="lowerRoman"/>
      <w:lvlText w:val="%6."/>
      <w:lvlJc w:val="right"/>
      <w:pPr>
        <w:tabs>
          <w:tab w:val="left" w:pos="1444"/>
        </w:tabs>
        <w:ind w:left="1444" w:hanging="420"/>
      </w:pPr>
    </w:lvl>
    <w:lvl w:ilvl="6" w:tentative="0">
      <w:start w:val="1"/>
      <w:numFmt w:val="decimal"/>
      <w:lvlText w:val="%7."/>
      <w:lvlJc w:val="left"/>
      <w:pPr>
        <w:tabs>
          <w:tab w:val="left" w:pos="1864"/>
        </w:tabs>
        <w:ind w:left="1864" w:hanging="420"/>
      </w:pPr>
    </w:lvl>
    <w:lvl w:ilvl="7" w:tentative="0">
      <w:start w:val="1"/>
      <w:numFmt w:val="lowerLetter"/>
      <w:lvlText w:val="%8)"/>
      <w:lvlJc w:val="left"/>
      <w:pPr>
        <w:tabs>
          <w:tab w:val="left" w:pos="2284"/>
        </w:tabs>
        <w:ind w:left="2284" w:hanging="420"/>
      </w:pPr>
    </w:lvl>
    <w:lvl w:ilvl="8" w:tentative="0">
      <w:start w:val="1"/>
      <w:numFmt w:val="lowerRoman"/>
      <w:lvlText w:val="%9."/>
      <w:lvlJc w:val="right"/>
      <w:pPr>
        <w:tabs>
          <w:tab w:val="left" w:pos="2704"/>
        </w:tabs>
        <w:ind w:left="2704" w:hanging="420"/>
      </w:pPr>
    </w:lvl>
  </w:abstractNum>
  <w:num w:numId="1">
    <w:abstractNumId w:val="7"/>
  </w:num>
  <w:num w:numId="2">
    <w:abstractNumId w:val="17"/>
  </w:num>
  <w:num w:numId="3">
    <w:abstractNumId w:val="23"/>
  </w:num>
  <w:num w:numId="4">
    <w:abstractNumId w:val="21"/>
  </w:num>
  <w:num w:numId="5">
    <w:abstractNumId w:val="15"/>
  </w:num>
  <w:num w:numId="6">
    <w:abstractNumId w:val="16"/>
  </w:num>
  <w:num w:numId="7">
    <w:abstractNumId w:val="2"/>
  </w:num>
  <w:num w:numId="8">
    <w:abstractNumId w:val="20"/>
  </w:num>
  <w:num w:numId="9">
    <w:abstractNumId w:val="12"/>
  </w:num>
  <w:num w:numId="10">
    <w:abstractNumId w:val="10"/>
  </w:num>
  <w:num w:numId="11">
    <w:abstractNumId w:val="8"/>
  </w:num>
  <w:num w:numId="12">
    <w:abstractNumId w:val="5"/>
  </w:num>
  <w:num w:numId="13">
    <w:abstractNumId w:val="6"/>
  </w:num>
  <w:num w:numId="14">
    <w:abstractNumId w:val="14"/>
  </w:num>
  <w:num w:numId="15">
    <w:abstractNumId w:val="18"/>
  </w:num>
  <w:num w:numId="16">
    <w:abstractNumId w:val="18"/>
    <w:lvlOverride w:ilvl="0">
      <w:lvl w:ilvl="0" w:tentative="1">
        <w:start w:val="1"/>
        <w:numFmt w:val="decimal"/>
        <w:lvlText w:val="%1．"/>
        <w:lvlJc w:val="left"/>
        <w:pPr>
          <w:ind w:left="0" w:firstLine="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7">
    <w:abstractNumId w:val="3"/>
  </w:num>
  <w:num w:numId="18">
    <w:abstractNumId w:val="4"/>
  </w:num>
  <w:num w:numId="19">
    <w:abstractNumId w:val="9"/>
  </w:num>
  <w:num w:numId="20">
    <w:abstractNumId w:val="19"/>
  </w:num>
  <w:num w:numId="21">
    <w:abstractNumId w:val="11"/>
  </w:num>
  <w:num w:numId="22">
    <w:abstractNumId w:val="22"/>
  </w:num>
  <w:num w:numId="23">
    <w:abstractNumId w:val="1"/>
  </w:num>
  <w:num w:numId="24">
    <w:abstractNumId w:val="0"/>
  </w:num>
  <w:num w:numId="25">
    <w:abstractNumId w:val="13"/>
  </w:num>
  <w:num w:numId="26">
    <w:abstractNumId w:val="24"/>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14E09"/>
    <w:rsid w:val="0003738B"/>
    <w:rsid w:val="00045D3E"/>
    <w:rsid w:val="000551D9"/>
    <w:rsid w:val="00056146"/>
    <w:rsid w:val="00064DD3"/>
    <w:rsid w:val="00065EB7"/>
    <w:rsid w:val="000737D3"/>
    <w:rsid w:val="0008360F"/>
    <w:rsid w:val="00083747"/>
    <w:rsid w:val="00085726"/>
    <w:rsid w:val="00087B04"/>
    <w:rsid w:val="00095D82"/>
    <w:rsid w:val="000A3064"/>
    <w:rsid w:val="000C4544"/>
    <w:rsid w:val="000E3DFB"/>
    <w:rsid w:val="000E43D6"/>
    <w:rsid w:val="000F37EF"/>
    <w:rsid w:val="001061DD"/>
    <w:rsid w:val="00114BAD"/>
    <w:rsid w:val="00131BF1"/>
    <w:rsid w:val="00137614"/>
    <w:rsid w:val="00140309"/>
    <w:rsid w:val="001441B4"/>
    <w:rsid w:val="00160552"/>
    <w:rsid w:val="0017159F"/>
    <w:rsid w:val="0018074A"/>
    <w:rsid w:val="00186D3E"/>
    <w:rsid w:val="001924C3"/>
    <w:rsid w:val="001A61B7"/>
    <w:rsid w:val="001D683B"/>
    <w:rsid w:val="001E0B2B"/>
    <w:rsid w:val="001E3017"/>
    <w:rsid w:val="001E32FB"/>
    <w:rsid w:val="001E4353"/>
    <w:rsid w:val="001F347E"/>
    <w:rsid w:val="001F6F19"/>
    <w:rsid w:val="0020392E"/>
    <w:rsid w:val="00207932"/>
    <w:rsid w:val="002146FC"/>
    <w:rsid w:val="00232EFF"/>
    <w:rsid w:val="00236C1D"/>
    <w:rsid w:val="002372D6"/>
    <w:rsid w:val="00241E36"/>
    <w:rsid w:val="00247C3E"/>
    <w:rsid w:val="002527FA"/>
    <w:rsid w:val="00252A6A"/>
    <w:rsid w:val="0025632E"/>
    <w:rsid w:val="002619B1"/>
    <w:rsid w:val="00262347"/>
    <w:rsid w:val="00262BE0"/>
    <w:rsid w:val="00277E53"/>
    <w:rsid w:val="002817E0"/>
    <w:rsid w:val="002900E3"/>
    <w:rsid w:val="00295060"/>
    <w:rsid w:val="002B05ED"/>
    <w:rsid w:val="002B1BF8"/>
    <w:rsid w:val="002D6028"/>
    <w:rsid w:val="002F36AB"/>
    <w:rsid w:val="00313F7D"/>
    <w:rsid w:val="00316AF8"/>
    <w:rsid w:val="0032049A"/>
    <w:rsid w:val="00321BC2"/>
    <w:rsid w:val="00335F42"/>
    <w:rsid w:val="00342214"/>
    <w:rsid w:val="0034520A"/>
    <w:rsid w:val="00360FCA"/>
    <w:rsid w:val="00364D0A"/>
    <w:rsid w:val="00366170"/>
    <w:rsid w:val="00371D76"/>
    <w:rsid w:val="00374567"/>
    <w:rsid w:val="003820C3"/>
    <w:rsid w:val="00396DB8"/>
    <w:rsid w:val="003A2386"/>
    <w:rsid w:val="003A322B"/>
    <w:rsid w:val="003C6002"/>
    <w:rsid w:val="003D05C1"/>
    <w:rsid w:val="003D5A29"/>
    <w:rsid w:val="003E083E"/>
    <w:rsid w:val="003E27B4"/>
    <w:rsid w:val="003E5808"/>
    <w:rsid w:val="003E5E1D"/>
    <w:rsid w:val="003F5E9D"/>
    <w:rsid w:val="0040383C"/>
    <w:rsid w:val="00411D74"/>
    <w:rsid w:val="00415F67"/>
    <w:rsid w:val="004235E8"/>
    <w:rsid w:val="004334F4"/>
    <w:rsid w:val="0044185F"/>
    <w:rsid w:val="00443AA4"/>
    <w:rsid w:val="004518CD"/>
    <w:rsid w:val="004707D2"/>
    <w:rsid w:val="00474CA3"/>
    <w:rsid w:val="00475C8B"/>
    <w:rsid w:val="004829E0"/>
    <w:rsid w:val="004850C8"/>
    <w:rsid w:val="00491226"/>
    <w:rsid w:val="0049490D"/>
    <w:rsid w:val="00495F3C"/>
    <w:rsid w:val="004A04EB"/>
    <w:rsid w:val="004A0DC3"/>
    <w:rsid w:val="004A22D6"/>
    <w:rsid w:val="004A2ACD"/>
    <w:rsid w:val="004A2CE9"/>
    <w:rsid w:val="004B6376"/>
    <w:rsid w:val="004C3DA7"/>
    <w:rsid w:val="004C5D0B"/>
    <w:rsid w:val="004D1487"/>
    <w:rsid w:val="004D37AA"/>
    <w:rsid w:val="004D555A"/>
    <w:rsid w:val="00506A9D"/>
    <w:rsid w:val="005121DA"/>
    <w:rsid w:val="0051336B"/>
    <w:rsid w:val="00526AEA"/>
    <w:rsid w:val="00526E79"/>
    <w:rsid w:val="00544F22"/>
    <w:rsid w:val="00561105"/>
    <w:rsid w:val="00561941"/>
    <w:rsid w:val="00565FE1"/>
    <w:rsid w:val="00574319"/>
    <w:rsid w:val="005823CB"/>
    <w:rsid w:val="00585F08"/>
    <w:rsid w:val="00586086"/>
    <w:rsid w:val="00591259"/>
    <w:rsid w:val="005B5B3F"/>
    <w:rsid w:val="005B605C"/>
    <w:rsid w:val="005D34A9"/>
    <w:rsid w:val="005D367D"/>
    <w:rsid w:val="005D6375"/>
    <w:rsid w:val="005E1082"/>
    <w:rsid w:val="005F217C"/>
    <w:rsid w:val="005F7326"/>
    <w:rsid w:val="00601AD1"/>
    <w:rsid w:val="006025A8"/>
    <w:rsid w:val="00611697"/>
    <w:rsid w:val="00617A53"/>
    <w:rsid w:val="00625062"/>
    <w:rsid w:val="00625908"/>
    <w:rsid w:val="0063239D"/>
    <w:rsid w:val="00636262"/>
    <w:rsid w:val="006530A7"/>
    <w:rsid w:val="00654837"/>
    <w:rsid w:val="0065503A"/>
    <w:rsid w:val="006571A8"/>
    <w:rsid w:val="00666B3C"/>
    <w:rsid w:val="00677451"/>
    <w:rsid w:val="00693FA9"/>
    <w:rsid w:val="006940AA"/>
    <w:rsid w:val="006A266F"/>
    <w:rsid w:val="006B23E4"/>
    <w:rsid w:val="006B2FB4"/>
    <w:rsid w:val="006B3ED2"/>
    <w:rsid w:val="006B6794"/>
    <w:rsid w:val="006B78EC"/>
    <w:rsid w:val="006B7CD8"/>
    <w:rsid w:val="006C1233"/>
    <w:rsid w:val="006C71C4"/>
    <w:rsid w:val="006D09E3"/>
    <w:rsid w:val="006D1EEC"/>
    <w:rsid w:val="00704E88"/>
    <w:rsid w:val="0070590A"/>
    <w:rsid w:val="00714090"/>
    <w:rsid w:val="007162B0"/>
    <w:rsid w:val="00721312"/>
    <w:rsid w:val="0072633B"/>
    <w:rsid w:val="0072694C"/>
    <w:rsid w:val="00735F40"/>
    <w:rsid w:val="00741A7A"/>
    <w:rsid w:val="007476BB"/>
    <w:rsid w:val="00752007"/>
    <w:rsid w:val="007534C4"/>
    <w:rsid w:val="007702EA"/>
    <w:rsid w:val="00776E4E"/>
    <w:rsid w:val="007A60B9"/>
    <w:rsid w:val="007A66B3"/>
    <w:rsid w:val="007B1718"/>
    <w:rsid w:val="007C40FE"/>
    <w:rsid w:val="007C7092"/>
    <w:rsid w:val="007D584E"/>
    <w:rsid w:val="007D7625"/>
    <w:rsid w:val="007F0D8C"/>
    <w:rsid w:val="007F22B8"/>
    <w:rsid w:val="007F4009"/>
    <w:rsid w:val="007F7783"/>
    <w:rsid w:val="0080385E"/>
    <w:rsid w:val="00816A9D"/>
    <w:rsid w:val="00822B8B"/>
    <w:rsid w:val="00823B9C"/>
    <w:rsid w:val="00843D54"/>
    <w:rsid w:val="0084483C"/>
    <w:rsid w:val="00853C47"/>
    <w:rsid w:val="008610B6"/>
    <w:rsid w:val="008617DF"/>
    <w:rsid w:val="00863599"/>
    <w:rsid w:val="008733E9"/>
    <w:rsid w:val="00886D0F"/>
    <w:rsid w:val="008A6811"/>
    <w:rsid w:val="008D0FB9"/>
    <w:rsid w:val="008D38C0"/>
    <w:rsid w:val="008D50F6"/>
    <w:rsid w:val="008D7AEA"/>
    <w:rsid w:val="008E5DEF"/>
    <w:rsid w:val="008E5E14"/>
    <w:rsid w:val="008E79BF"/>
    <w:rsid w:val="008F30F7"/>
    <w:rsid w:val="009038F3"/>
    <w:rsid w:val="00915967"/>
    <w:rsid w:val="00917091"/>
    <w:rsid w:val="009248EA"/>
    <w:rsid w:val="00927497"/>
    <w:rsid w:val="00933589"/>
    <w:rsid w:val="0093478B"/>
    <w:rsid w:val="00940050"/>
    <w:rsid w:val="00945580"/>
    <w:rsid w:val="0096479E"/>
    <w:rsid w:val="0099061A"/>
    <w:rsid w:val="0099609D"/>
    <w:rsid w:val="00997395"/>
    <w:rsid w:val="009A238B"/>
    <w:rsid w:val="009A64DD"/>
    <w:rsid w:val="009B21A4"/>
    <w:rsid w:val="009B3CD8"/>
    <w:rsid w:val="009C11AE"/>
    <w:rsid w:val="009C71EA"/>
    <w:rsid w:val="009C7F73"/>
    <w:rsid w:val="009D0E39"/>
    <w:rsid w:val="009F5CA5"/>
    <w:rsid w:val="009F7753"/>
    <w:rsid w:val="00A00A77"/>
    <w:rsid w:val="00A120E6"/>
    <w:rsid w:val="00A13670"/>
    <w:rsid w:val="00A16FB9"/>
    <w:rsid w:val="00A17289"/>
    <w:rsid w:val="00A32F58"/>
    <w:rsid w:val="00A3717C"/>
    <w:rsid w:val="00A414FE"/>
    <w:rsid w:val="00A56990"/>
    <w:rsid w:val="00A56A96"/>
    <w:rsid w:val="00A741EB"/>
    <w:rsid w:val="00A74351"/>
    <w:rsid w:val="00A75E43"/>
    <w:rsid w:val="00A87695"/>
    <w:rsid w:val="00A93879"/>
    <w:rsid w:val="00AB6C4E"/>
    <w:rsid w:val="00AC5878"/>
    <w:rsid w:val="00AD6478"/>
    <w:rsid w:val="00AE4E55"/>
    <w:rsid w:val="00AE514B"/>
    <w:rsid w:val="00AF43D4"/>
    <w:rsid w:val="00B307CE"/>
    <w:rsid w:val="00B3584E"/>
    <w:rsid w:val="00B359EA"/>
    <w:rsid w:val="00B40B66"/>
    <w:rsid w:val="00B51936"/>
    <w:rsid w:val="00B60ED0"/>
    <w:rsid w:val="00B72C99"/>
    <w:rsid w:val="00B83A95"/>
    <w:rsid w:val="00B9425A"/>
    <w:rsid w:val="00BA198C"/>
    <w:rsid w:val="00BA32B5"/>
    <w:rsid w:val="00BB6144"/>
    <w:rsid w:val="00BE007F"/>
    <w:rsid w:val="00C0002B"/>
    <w:rsid w:val="00C046DF"/>
    <w:rsid w:val="00C05695"/>
    <w:rsid w:val="00C12B71"/>
    <w:rsid w:val="00C13290"/>
    <w:rsid w:val="00C14B70"/>
    <w:rsid w:val="00C2234F"/>
    <w:rsid w:val="00C42522"/>
    <w:rsid w:val="00C60079"/>
    <w:rsid w:val="00C60BF7"/>
    <w:rsid w:val="00C858B9"/>
    <w:rsid w:val="00C90977"/>
    <w:rsid w:val="00C95670"/>
    <w:rsid w:val="00CA2DBF"/>
    <w:rsid w:val="00CA461B"/>
    <w:rsid w:val="00CA5FD1"/>
    <w:rsid w:val="00CA70A0"/>
    <w:rsid w:val="00CA7F56"/>
    <w:rsid w:val="00CB188D"/>
    <w:rsid w:val="00CB37C9"/>
    <w:rsid w:val="00CC229E"/>
    <w:rsid w:val="00CC2C6F"/>
    <w:rsid w:val="00CD147B"/>
    <w:rsid w:val="00CD220E"/>
    <w:rsid w:val="00CD6859"/>
    <w:rsid w:val="00CE3744"/>
    <w:rsid w:val="00CE7FF5"/>
    <w:rsid w:val="00CF24AA"/>
    <w:rsid w:val="00D07C47"/>
    <w:rsid w:val="00D22D82"/>
    <w:rsid w:val="00D33DF6"/>
    <w:rsid w:val="00D340D2"/>
    <w:rsid w:val="00D361C2"/>
    <w:rsid w:val="00D479A2"/>
    <w:rsid w:val="00D55D24"/>
    <w:rsid w:val="00D74034"/>
    <w:rsid w:val="00D94D18"/>
    <w:rsid w:val="00D9613A"/>
    <w:rsid w:val="00DB32F6"/>
    <w:rsid w:val="00DC13B5"/>
    <w:rsid w:val="00DD78E6"/>
    <w:rsid w:val="00DD7AD7"/>
    <w:rsid w:val="00DE29A4"/>
    <w:rsid w:val="00DE7006"/>
    <w:rsid w:val="00DF39C1"/>
    <w:rsid w:val="00E119A6"/>
    <w:rsid w:val="00E3021E"/>
    <w:rsid w:val="00E36D81"/>
    <w:rsid w:val="00E51A49"/>
    <w:rsid w:val="00E608D3"/>
    <w:rsid w:val="00E85403"/>
    <w:rsid w:val="00E93509"/>
    <w:rsid w:val="00E93A35"/>
    <w:rsid w:val="00E93EB3"/>
    <w:rsid w:val="00E97CBE"/>
    <w:rsid w:val="00EA7467"/>
    <w:rsid w:val="00EC3D1C"/>
    <w:rsid w:val="00EC6846"/>
    <w:rsid w:val="00ED0D8B"/>
    <w:rsid w:val="00ED7885"/>
    <w:rsid w:val="00EE2207"/>
    <w:rsid w:val="00EE65F4"/>
    <w:rsid w:val="00EF3F71"/>
    <w:rsid w:val="00F07488"/>
    <w:rsid w:val="00F23400"/>
    <w:rsid w:val="00F25743"/>
    <w:rsid w:val="00F34478"/>
    <w:rsid w:val="00F51591"/>
    <w:rsid w:val="00F52AD2"/>
    <w:rsid w:val="00F56B6D"/>
    <w:rsid w:val="00F6103A"/>
    <w:rsid w:val="00F617EA"/>
    <w:rsid w:val="00F6186E"/>
    <w:rsid w:val="00F667A7"/>
    <w:rsid w:val="00F748C5"/>
    <w:rsid w:val="00F74D83"/>
    <w:rsid w:val="00F818EB"/>
    <w:rsid w:val="00F83C10"/>
    <w:rsid w:val="00F86DBA"/>
    <w:rsid w:val="00F92399"/>
    <w:rsid w:val="00FB7572"/>
    <w:rsid w:val="00FC0884"/>
    <w:rsid w:val="00FE2CEE"/>
    <w:rsid w:val="00FF09A6"/>
    <w:rsid w:val="01507D34"/>
    <w:rsid w:val="022F2C26"/>
    <w:rsid w:val="037110C3"/>
    <w:rsid w:val="0A0143B8"/>
    <w:rsid w:val="0AC51838"/>
    <w:rsid w:val="0B502490"/>
    <w:rsid w:val="0EE21D8D"/>
    <w:rsid w:val="0F002514"/>
    <w:rsid w:val="103A6550"/>
    <w:rsid w:val="103D25B1"/>
    <w:rsid w:val="11FE2376"/>
    <w:rsid w:val="13BB125D"/>
    <w:rsid w:val="187C6339"/>
    <w:rsid w:val="1CA86413"/>
    <w:rsid w:val="1E9853EF"/>
    <w:rsid w:val="22C36759"/>
    <w:rsid w:val="26EA7C71"/>
    <w:rsid w:val="272574DE"/>
    <w:rsid w:val="2733280C"/>
    <w:rsid w:val="281D6311"/>
    <w:rsid w:val="291134EF"/>
    <w:rsid w:val="2E7632C6"/>
    <w:rsid w:val="303F1775"/>
    <w:rsid w:val="331C0D3B"/>
    <w:rsid w:val="35621154"/>
    <w:rsid w:val="3820082C"/>
    <w:rsid w:val="3A1B169D"/>
    <w:rsid w:val="3A5C060D"/>
    <w:rsid w:val="3D235686"/>
    <w:rsid w:val="3D904D52"/>
    <w:rsid w:val="43914BBA"/>
    <w:rsid w:val="45E31FA0"/>
    <w:rsid w:val="49C20111"/>
    <w:rsid w:val="4A264C7E"/>
    <w:rsid w:val="4A885218"/>
    <w:rsid w:val="4D9664D8"/>
    <w:rsid w:val="4E896D65"/>
    <w:rsid w:val="4F2C5674"/>
    <w:rsid w:val="51CA5F3D"/>
    <w:rsid w:val="532A7270"/>
    <w:rsid w:val="541B4188"/>
    <w:rsid w:val="56975024"/>
    <w:rsid w:val="57074735"/>
    <w:rsid w:val="57D1482F"/>
    <w:rsid w:val="5CE05D65"/>
    <w:rsid w:val="5D8C7615"/>
    <w:rsid w:val="61AE0FAA"/>
    <w:rsid w:val="63F56A0D"/>
    <w:rsid w:val="69746CC5"/>
    <w:rsid w:val="7330175C"/>
    <w:rsid w:val="73807E8E"/>
    <w:rsid w:val="742C30C1"/>
    <w:rsid w:val="75870A31"/>
    <w:rsid w:val="7613773F"/>
    <w:rsid w:val="79926D9A"/>
    <w:rsid w:val="7C7370EF"/>
    <w:rsid w:val="7E2B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30"/>
    <w:unhideWhenUsed/>
    <w:qFormat/>
    <w:uiPriority w:val="9"/>
    <w:pPr>
      <w:keepNext/>
      <w:keepLines/>
      <w:spacing w:line="560" w:lineRule="exact"/>
      <w:outlineLvl w:val="2"/>
    </w:pPr>
    <w:rPr>
      <w:rFonts w:eastAsia="仿宋"/>
      <w:b/>
      <w:bCs/>
      <w:sz w:val="32"/>
      <w:szCs w:val="32"/>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unhideWhenUsed/>
    <w:qFormat/>
    <w:uiPriority w:val="99"/>
    <w:pPr>
      <w:jc w:val="left"/>
    </w:pPr>
  </w:style>
  <w:style w:type="paragraph" w:styleId="7">
    <w:name w:val="Body Text"/>
    <w:basedOn w:val="1"/>
    <w:link w:val="39"/>
    <w:semiHidden/>
    <w:unhideWhenUsed/>
    <w:qFormat/>
    <w:uiPriority w:val="99"/>
    <w:pPr>
      <w:spacing w:after="120"/>
    </w:pPr>
  </w:style>
  <w:style w:type="paragraph" w:styleId="8">
    <w:name w:val="Body Text Indent"/>
    <w:basedOn w:val="1"/>
    <w:link w:val="38"/>
    <w:unhideWhenUsed/>
    <w:qFormat/>
    <w:uiPriority w:val="99"/>
    <w:pPr>
      <w:spacing w:after="120"/>
      <w:ind w:left="420" w:leftChars="200"/>
    </w:pPr>
    <w:rPr>
      <w:rFonts w:ascii="Times New Roman" w:hAnsi="Times New Roman" w:eastAsia="宋体" w:cs="Times New Roman"/>
      <w:szCs w:val="20"/>
    </w:rPr>
  </w:style>
  <w:style w:type="paragraph" w:styleId="9">
    <w:name w:val="toc 3"/>
    <w:basedOn w:val="1"/>
    <w:next w:val="1"/>
    <w:unhideWhenUsed/>
    <w:qFormat/>
    <w:uiPriority w:val="39"/>
    <w:pPr>
      <w:tabs>
        <w:tab w:val="right" w:leader="dot" w:pos="8296"/>
      </w:tabs>
      <w:spacing w:before="100" w:after="100" w:line="300" w:lineRule="exact"/>
      <w:ind w:left="840" w:leftChars="400"/>
    </w:pPr>
    <w:rPr>
      <w:rFonts w:asciiTheme="minorEastAsia" w:hAnsiTheme="minorEastAsia"/>
      <w:sz w:val="24"/>
      <w:szCs w:val="24"/>
    </w:rPr>
  </w:style>
  <w:style w:type="paragraph" w:styleId="10">
    <w:name w:val="Date"/>
    <w:basedOn w:val="1"/>
    <w:next w:val="1"/>
    <w:link w:val="37"/>
    <w:unhideWhenUsed/>
    <w:qFormat/>
    <w:uiPriority w:val="0"/>
    <w:pPr>
      <w:ind w:left="100" w:leftChars="2500"/>
    </w:pPr>
    <w:rPr>
      <w:rFonts w:ascii="Times New Roman" w:hAnsi="Times New Roman" w:eastAsia="宋体" w:cs="Times New Roman"/>
      <w:szCs w:val="20"/>
    </w:rPr>
  </w:style>
  <w:style w:type="paragraph" w:styleId="11">
    <w:name w:val="Balloon Text"/>
    <w:basedOn w:val="1"/>
    <w:link w:val="28"/>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2"/>
    <w:qFormat/>
    <w:uiPriority w:val="11"/>
    <w:pPr>
      <w:spacing w:before="240" w:after="60" w:line="312" w:lineRule="auto"/>
      <w:jc w:val="center"/>
      <w:outlineLvl w:val="1"/>
    </w:pPr>
    <w:rPr>
      <w:rFonts w:ascii="Cambria" w:hAnsi="Cambria" w:eastAsia="宋体" w:cs="黑体"/>
      <w:b/>
      <w:bCs/>
      <w:kern w:val="28"/>
      <w:sz w:val="32"/>
      <w:szCs w:val="32"/>
    </w:rPr>
  </w:style>
  <w:style w:type="paragraph" w:styleId="15">
    <w:name w:val="toc 2"/>
    <w:basedOn w:val="1"/>
    <w:next w:val="1"/>
    <w:unhideWhenUsed/>
    <w:qFormat/>
    <w:uiPriority w:val="39"/>
    <w:pPr>
      <w:tabs>
        <w:tab w:val="right" w:leader="dot" w:pos="8296"/>
      </w:tabs>
      <w:spacing w:before="100" w:after="100" w:line="300" w:lineRule="exact"/>
      <w:ind w:left="420" w:leftChars="200"/>
    </w:pPr>
    <w:rPr>
      <w:rFonts w:asciiTheme="minorEastAsia" w:hAnsiTheme="minorEastAsia"/>
      <w:b/>
      <w:sz w:val="24"/>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6"/>
    <w:next w:val="6"/>
    <w:link w:val="27"/>
    <w:semiHidden/>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批注文字 Char"/>
    <w:basedOn w:val="20"/>
    <w:link w:val="6"/>
    <w:qFormat/>
    <w:uiPriority w:val="99"/>
  </w:style>
  <w:style w:type="character" w:customStyle="1" w:styleId="27">
    <w:name w:val="批注主题 Char"/>
    <w:basedOn w:val="26"/>
    <w:link w:val="17"/>
    <w:semiHidden/>
    <w:qFormat/>
    <w:uiPriority w:val="99"/>
    <w:rPr>
      <w:b/>
      <w:bCs/>
    </w:rPr>
  </w:style>
  <w:style w:type="character" w:customStyle="1" w:styleId="28">
    <w:name w:val="批注框文本 Char"/>
    <w:basedOn w:val="20"/>
    <w:link w:val="11"/>
    <w:semiHidden/>
    <w:qFormat/>
    <w:uiPriority w:val="99"/>
    <w:rPr>
      <w:sz w:val="18"/>
      <w:szCs w:val="18"/>
    </w:rPr>
  </w:style>
  <w:style w:type="character" w:customStyle="1" w:styleId="29">
    <w:name w:val="标题 2 Char"/>
    <w:basedOn w:val="20"/>
    <w:link w:val="3"/>
    <w:qFormat/>
    <w:uiPriority w:val="9"/>
    <w:rPr>
      <w:rFonts w:eastAsia="黑体" w:asciiTheme="majorHAnsi" w:hAnsiTheme="majorHAnsi" w:cstheme="majorBidi"/>
      <w:bCs/>
      <w:sz w:val="32"/>
      <w:szCs w:val="32"/>
    </w:rPr>
  </w:style>
  <w:style w:type="character" w:customStyle="1" w:styleId="30">
    <w:name w:val="标题 3 Char"/>
    <w:basedOn w:val="20"/>
    <w:link w:val="4"/>
    <w:qFormat/>
    <w:uiPriority w:val="9"/>
    <w:rPr>
      <w:rFonts w:eastAsia="仿宋"/>
      <w:b/>
      <w:bCs/>
      <w:sz w:val="32"/>
      <w:szCs w:val="32"/>
    </w:rPr>
  </w:style>
  <w:style w:type="character" w:customStyle="1" w:styleId="31">
    <w:name w:val="标题 1 Char"/>
    <w:basedOn w:val="20"/>
    <w:link w:val="2"/>
    <w:qFormat/>
    <w:uiPriority w:val="9"/>
    <w:rPr>
      <w:b/>
      <w:bCs/>
      <w:kern w:val="44"/>
      <w:sz w:val="44"/>
      <w:szCs w:val="44"/>
    </w:rPr>
  </w:style>
  <w:style w:type="character" w:customStyle="1" w:styleId="32">
    <w:name w:val="副标题 Char"/>
    <w:basedOn w:val="20"/>
    <w:link w:val="14"/>
    <w:qFormat/>
    <w:uiPriority w:val="11"/>
    <w:rPr>
      <w:rFonts w:ascii="Cambria" w:hAnsi="Cambria" w:eastAsia="宋体" w:cs="黑体"/>
      <w:b/>
      <w:bCs/>
      <w:kern w:val="28"/>
      <w:sz w:val="32"/>
      <w:szCs w:val="32"/>
    </w:rPr>
  </w:style>
  <w:style w:type="paragraph" w:customStyle="1" w:styleId="33">
    <w:name w:val="正文内容"/>
    <w:basedOn w:val="1"/>
    <w:link w:val="34"/>
    <w:qFormat/>
    <w:uiPriority w:val="0"/>
    <w:pPr>
      <w:spacing w:line="360" w:lineRule="auto"/>
    </w:pPr>
    <w:rPr>
      <w:rFonts w:ascii="宋体" w:hAnsi="宋体" w:eastAsia="宋体" w:cs="宋体"/>
      <w:sz w:val="24"/>
      <w:szCs w:val="20"/>
    </w:rPr>
  </w:style>
  <w:style w:type="character" w:customStyle="1" w:styleId="34">
    <w:name w:val="正文内容 Char"/>
    <w:link w:val="33"/>
    <w:qFormat/>
    <w:uiPriority w:val="0"/>
    <w:rPr>
      <w:rFonts w:ascii="宋体" w:hAnsi="宋体" w:eastAsia="宋体" w:cs="宋体"/>
      <w:sz w:val="24"/>
      <w:szCs w:val="20"/>
    </w:rPr>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character" w:customStyle="1" w:styleId="36">
    <w:name w:val="标题 4 Char"/>
    <w:basedOn w:val="20"/>
    <w:link w:val="5"/>
    <w:qFormat/>
    <w:uiPriority w:val="0"/>
    <w:rPr>
      <w:rFonts w:asciiTheme="majorHAnsi" w:hAnsiTheme="majorHAnsi" w:eastAsiaTheme="majorEastAsia" w:cstheme="majorBidi"/>
      <w:b/>
      <w:bCs/>
      <w:sz w:val="28"/>
      <w:szCs w:val="28"/>
    </w:rPr>
  </w:style>
  <w:style w:type="character" w:customStyle="1" w:styleId="37">
    <w:name w:val="日期 Char"/>
    <w:basedOn w:val="20"/>
    <w:link w:val="10"/>
    <w:qFormat/>
    <w:uiPriority w:val="0"/>
    <w:rPr>
      <w:rFonts w:ascii="Times New Roman" w:hAnsi="Times New Roman" w:eastAsia="宋体" w:cs="Times New Roman"/>
      <w:szCs w:val="20"/>
    </w:rPr>
  </w:style>
  <w:style w:type="character" w:customStyle="1" w:styleId="38">
    <w:name w:val="正文文本缩进 Char"/>
    <w:basedOn w:val="20"/>
    <w:link w:val="8"/>
    <w:qFormat/>
    <w:uiPriority w:val="99"/>
    <w:rPr>
      <w:rFonts w:ascii="Times New Roman" w:hAnsi="Times New Roman" w:eastAsia="宋体" w:cs="Times New Roman"/>
      <w:szCs w:val="20"/>
    </w:rPr>
  </w:style>
  <w:style w:type="character" w:customStyle="1" w:styleId="39">
    <w:name w:val="正文文本 Char"/>
    <w:basedOn w:val="20"/>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E751-C673-4090-B037-BA1308A576A4}">
  <ds:schemaRefs/>
</ds:datastoreItem>
</file>

<file path=docProps/app.xml><?xml version="1.0" encoding="utf-8"?>
<Properties xmlns="http://schemas.openxmlformats.org/officeDocument/2006/extended-properties" xmlns:vt="http://schemas.openxmlformats.org/officeDocument/2006/docPropsVTypes">
  <Template>Normal</Template>
  <Pages>60</Pages>
  <Words>5713</Words>
  <Characters>32569</Characters>
  <Lines>271</Lines>
  <Paragraphs>76</Paragraphs>
  <TotalTime>33</TotalTime>
  <ScaleCrop>false</ScaleCrop>
  <LinksUpToDate>false</LinksUpToDate>
  <CharactersWithSpaces>38206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2020-10-15T01:53:00Z</dcterms:created>
  <dc:creator>张畅[zhangchang]</dc:creator>
  <cp:lastModifiedBy>xxb09</cp:lastModifiedBy>
  <cp:lastPrinted>2020-10-15T08:19:00Z</cp:lastPrinted>
  <dcterms:modified xsi:type="dcterms:W3CDTF">2023-09-07T07:46:43Z</dcterms:modified>
  <cp:revision>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6203A263E467455DABB67F7C5BA346EF</vt:lpwstr>
  </property>
</Properties>
</file>