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rPr>
      </w:pPr>
      <w:bookmarkStart w:id="0" w:name="_Toc132810322"/>
      <w:bookmarkStart w:id="1" w:name="_Toc41551542"/>
      <w:bookmarkStart w:id="2" w:name="_Toc54726738"/>
      <w:r>
        <w:rPr>
          <w:rFonts w:hint="eastAsia" w:ascii="仿宋" w:hAnsi="仿宋"/>
        </w:rPr>
        <w:t>一、IPO发行上市申请文件</w:t>
      </w:r>
      <w:bookmarkEnd w:id="0"/>
    </w:p>
    <w:p>
      <w:pPr>
        <w:spacing w:line="560" w:lineRule="exact"/>
        <w:ind w:firstLine="640" w:firstLineChars="200"/>
        <w:rPr>
          <w:rFonts w:ascii="仿宋" w:hAnsi="仿宋" w:eastAsia="仿宋"/>
          <w:b/>
        </w:rPr>
      </w:pPr>
      <w:r>
        <w:rPr>
          <w:rFonts w:ascii="仿宋" w:hAnsi="仿宋" w:eastAsia="仿宋"/>
          <w:sz w:val="32"/>
          <w:szCs w:val="32"/>
        </w:rPr>
        <w:t>1.</w:t>
      </w:r>
      <w:r>
        <w:rPr>
          <w:rFonts w:hint="eastAsia" w:ascii="仿宋" w:hAnsi="仿宋" w:eastAsia="仿宋"/>
          <w:sz w:val="32"/>
          <w:szCs w:val="32"/>
        </w:rPr>
        <w:t>发行与承销方案相关文件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spacing w:line="264" w:lineRule="auto"/>
              <w:jc w:val="center"/>
              <w:rPr>
                <w:rFonts w:ascii="仿宋" w:hAnsi="仿宋" w:eastAsia="仿宋"/>
                <w:b/>
                <w:sz w:val="24"/>
                <w:szCs w:val="24"/>
              </w:rPr>
            </w:pPr>
            <w:r>
              <w:rPr>
                <w:rFonts w:hint="eastAsia" w:ascii="仿宋" w:hAnsi="仿宋" w:eastAsia="仿宋"/>
                <w:b/>
                <w:sz w:val="24"/>
                <w:szCs w:val="24"/>
              </w:rPr>
              <w:t>序号</w:t>
            </w:r>
          </w:p>
        </w:tc>
        <w:tc>
          <w:tcPr>
            <w:tcW w:w="5103" w:type="dxa"/>
            <w:vAlign w:val="center"/>
          </w:tcPr>
          <w:p>
            <w:pPr>
              <w:spacing w:line="264" w:lineRule="auto"/>
              <w:jc w:val="center"/>
              <w:rPr>
                <w:rFonts w:ascii="仿宋" w:hAnsi="仿宋" w:eastAsia="仿宋"/>
                <w:b/>
                <w:sz w:val="24"/>
                <w:szCs w:val="24"/>
              </w:rPr>
            </w:pPr>
            <w:r>
              <w:rPr>
                <w:rFonts w:hint="eastAsia" w:ascii="仿宋" w:hAnsi="仿宋" w:eastAsia="仿宋"/>
                <w:b/>
                <w:sz w:val="24"/>
                <w:szCs w:val="24"/>
              </w:rPr>
              <w:t>需报送的文件名称</w:t>
            </w:r>
          </w:p>
        </w:tc>
        <w:tc>
          <w:tcPr>
            <w:tcW w:w="2602" w:type="dxa"/>
            <w:vAlign w:val="center"/>
          </w:tcPr>
          <w:p>
            <w:pPr>
              <w:spacing w:line="264" w:lineRule="auto"/>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spacing w:line="264" w:lineRule="auto"/>
              <w:jc w:val="center"/>
              <w:rPr>
                <w:rFonts w:ascii="仿宋" w:hAnsi="仿宋" w:eastAsia="仿宋"/>
                <w:sz w:val="24"/>
                <w:szCs w:val="24"/>
              </w:rPr>
            </w:pPr>
            <w:r>
              <w:rPr>
                <w:rFonts w:ascii="仿宋" w:hAnsi="仿宋" w:eastAsia="仿宋"/>
                <w:sz w:val="24"/>
                <w:szCs w:val="24"/>
              </w:rPr>
              <w:t>1</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发行与承销方案</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spacing w:line="264" w:lineRule="auto"/>
              <w:jc w:val="center"/>
              <w:rPr>
                <w:rFonts w:ascii="仿宋" w:hAnsi="仿宋" w:eastAsia="仿宋"/>
                <w:sz w:val="24"/>
                <w:szCs w:val="24"/>
              </w:rPr>
            </w:pPr>
            <w:r>
              <w:rPr>
                <w:rFonts w:ascii="仿宋" w:hAnsi="仿宋" w:eastAsia="仿宋"/>
                <w:sz w:val="24"/>
                <w:szCs w:val="24"/>
              </w:rPr>
              <w:t>2</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初步询价及推介公告</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询价发行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3</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投资价值研究报告</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询价发行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4</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证监会予以注册的决定</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5</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战略配售方案（如有）</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6</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主承销商对参与战略配售的投资者选取标准、配售资格及是否存在禁止性情形进行核查的专项核查报告，发行人、参与战略配售的投资者就核查事项出具的承诺函，律师事务所出具的法律意见书（如有）</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7</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高管和核心员工参与战略配售的，设立专项资产管理计划的合同、专项资产管理计划完成基金业协会备案的证明文件（如有）</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8</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超额配售选择权实施方案（如有），方案中应写明使用超额配售股票募集的资金买入股票的账户</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9</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关于延期交付的相关协议等（如有）</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17" w:type="dxa"/>
            <w:vAlign w:val="center"/>
          </w:tcPr>
          <w:p>
            <w:pPr>
              <w:spacing w:line="264" w:lineRule="auto"/>
              <w:jc w:val="center"/>
              <w:rPr>
                <w:rFonts w:ascii="仿宋" w:hAnsi="仿宋" w:eastAsia="仿宋"/>
                <w:sz w:val="24"/>
                <w:szCs w:val="24"/>
              </w:rPr>
            </w:pPr>
            <w:r>
              <w:rPr>
                <w:rFonts w:ascii="仿宋" w:hAnsi="仿宋" w:eastAsia="仿宋"/>
                <w:sz w:val="24"/>
                <w:szCs w:val="24"/>
              </w:rPr>
              <w:t>10</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一致性承诺函</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17"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11</w:t>
            </w:r>
          </w:p>
        </w:tc>
        <w:tc>
          <w:tcPr>
            <w:tcW w:w="5103" w:type="dxa"/>
            <w:vAlign w:val="center"/>
          </w:tcPr>
          <w:p>
            <w:pPr>
              <w:spacing w:line="264" w:lineRule="auto"/>
              <w:jc w:val="left"/>
              <w:rPr>
                <w:rFonts w:ascii="仿宋" w:hAnsi="仿宋" w:eastAsia="仿宋"/>
                <w:sz w:val="24"/>
                <w:szCs w:val="24"/>
              </w:rPr>
            </w:pPr>
            <w:r>
              <w:rPr>
                <w:rFonts w:hint="eastAsia" w:ascii="仿宋" w:hAnsi="仿宋" w:eastAsia="仿宋"/>
                <w:sz w:val="24"/>
                <w:szCs w:val="24"/>
              </w:rPr>
              <w:t>本所要求的其他文件</w:t>
            </w:r>
          </w:p>
        </w:tc>
        <w:tc>
          <w:tcPr>
            <w:tcW w:w="2602" w:type="dxa"/>
            <w:vAlign w:val="center"/>
          </w:tcPr>
          <w:p>
            <w:pPr>
              <w:spacing w:line="264" w:lineRule="auto"/>
              <w:jc w:val="center"/>
              <w:rPr>
                <w:rFonts w:ascii="仿宋" w:hAnsi="仿宋" w:eastAsia="仿宋"/>
                <w:sz w:val="24"/>
                <w:szCs w:val="24"/>
              </w:rPr>
            </w:pPr>
            <w:r>
              <w:rPr>
                <w:rFonts w:hint="eastAsia" w:ascii="仿宋" w:hAnsi="仿宋" w:eastAsia="仿宋"/>
                <w:sz w:val="24"/>
                <w:szCs w:val="24"/>
              </w:rPr>
              <w:t>-</w:t>
            </w:r>
          </w:p>
        </w:tc>
      </w:tr>
    </w:tbl>
    <w:p>
      <w:pPr>
        <w:adjustRightInd w:val="0"/>
        <w:snapToGrid w:val="0"/>
        <w:ind w:firstLine="480" w:firstLineChars="200"/>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1：上述文件如在当日13:00后提交的，当日不纳入《</w:t>
      </w:r>
      <w:r>
        <w:rPr>
          <w:rFonts w:hint="eastAsia" w:ascii="仿宋" w:hAnsi="仿宋" w:eastAsia="仿宋"/>
          <w:sz w:val="24"/>
          <w:szCs w:val="24"/>
        </w:rPr>
        <w:t>深圳证券交易所首次公开发行证券发行与承销业务实施细则</w:t>
      </w:r>
      <w:r>
        <w:rPr>
          <w:rFonts w:ascii="仿宋" w:hAnsi="仿宋" w:eastAsia="仿宋"/>
          <w:sz w:val="24"/>
          <w:szCs w:val="24"/>
        </w:rPr>
        <w:t>》第七条规定的5个工作日内。</w:t>
      </w:r>
    </w:p>
    <w:p>
      <w:pPr>
        <w:adjustRightInd w:val="0"/>
        <w:snapToGrid w:val="0"/>
        <w:ind w:firstLine="480" w:firstLineChars="200"/>
        <w:rPr>
          <w:rFonts w:ascii="仿宋" w:hAnsi="仿宋" w:eastAsia="仿宋"/>
          <w:sz w:val="24"/>
          <w:szCs w:val="24"/>
        </w:rPr>
      </w:pPr>
      <w:r>
        <w:rPr>
          <w:rFonts w:hint="eastAsia" w:ascii="仿宋" w:hAnsi="仿宋" w:eastAsia="仿宋"/>
          <w:sz w:val="24"/>
          <w:szCs w:val="24"/>
        </w:rPr>
        <w:t>注2：一致性承诺内容应当包括：①网下发行电子平台上传的投资价值研究报告和填报的网下发行参数设置与</w:t>
      </w:r>
      <w:bookmarkStart w:id="4" w:name="_GoBack"/>
      <w:bookmarkEnd w:id="4"/>
      <w:r>
        <w:rPr>
          <w:rFonts w:hint="eastAsia" w:ascii="仿宋" w:hAnsi="仿宋" w:eastAsia="仿宋"/>
          <w:sz w:val="24"/>
          <w:szCs w:val="24"/>
        </w:rPr>
        <w:t>发行与承销方案相关内容一致（适用于询价发行）；②报送申请文件中的发行申报文件与在本所上市审核中心最后定稿的文件一致；③报送的书面文件与电子文件内容一致；④对外披露的公告与发行与承销方案内容及经本所审核的公告一致；⑤刊登的《招股意向书》（或者《招股说明书》）内容与注册稿内容一致（如有差异，应当明确差异内容及原因）；⑥关于信息披露费用的相关承诺等。</w:t>
      </w:r>
    </w:p>
    <w:p>
      <w:pPr>
        <w:adjustRightInd w:val="0"/>
        <w:snapToGrid w:val="0"/>
        <w:ind w:firstLine="480" w:firstLineChars="200"/>
        <w:rPr>
          <w:rFonts w:ascii="仿宋" w:hAnsi="仿宋" w:eastAsia="仿宋"/>
        </w:rPr>
      </w:pPr>
      <w:r>
        <w:rPr>
          <w:rFonts w:hint="eastAsia" w:ascii="仿宋" w:hAnsi="仿宋" w:eastAsia="仿宋"/>
          <w:sz w:val="24"/>
          <w:szCs w:val="24"/>
        </w:rPr>
        <w:t>注</w:t>
      </w:r>
      <w:r>
        <w:rPr>
          <w:rFonts w:ascii="仿宋" w:hAnsi="仿宋" w:eastAsia="仿宋"/>
          <w:sz w:val="24"/>
          <w:szCs w:val="24"/>
        </w:rPr>
        <w:t>3：方案备案时需同步提交承销商经办</w:t>
      </w:r>
      <w:r>
        <w:rPr>
          <w:rFonts w:hint="eastAsia" w:ascii="仿宋" w:hAnsi="仿宋" w:eastAsia="仿宋"/>
          <w:sz w:val="24"/>
          <w:szCs w:val="24"/>
        </w:rPr>
        <w:t>人员、复核人员关于自查关注要点核对确认无误并签字的扫描件。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IPO</w:t>
      </w:r>
      <w:r>
        <w:rPr>
          <w:rFonts w:hint="eastAsia" w:ascii="仿宋" w:hAnsi="仿宋" w:eastAsia="仿宋"/>
          <w:sz w:val="32"/>
          <w:szCs w:val="32"/>
        </w:rPr>
        <w:t>证券简称及证券代码申请相关文件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tabs>
                <w:tab w:val="left" w:pos="772"/>
                <w:tab w:val="center" w:pos="1464"/>
              </w:tabs>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证券简称及证券代码申请书</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参考格式见本所《股票发行与承销业务指南第2号——首发及转板上市业务办理》“五、部分申请文件参考格式”部分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预计发行时间表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不存在影响启动发行重大事项的承诺函</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后续需报送纸质版原件，邮寄至相应的公司管理部门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行业分类情况表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bl>
    <w:p>
      <w:pPr>
        <w:spacing w:line="560" w:lineRule="exact"/>
        <w:ind w:firstLine="640" w:firstLineChars="200"/>
        <w:rPr>
          <w:rFonts w:ascii="仿宋" w:hAnsi="仿宋" w:eastAsia="仿宋"/>
          <w:sz w:val="32"/>
          <w:szCs w:val="32"/>
        </w:rPr>
      </w:pPr>
      <w:r>
        <w:rPr>
          <w:rFonts w:ascii="仿宋" w:hAnsi="仿宋" w:eastAsia="仿宋"/>
          <w:sz w:val="32"/>
          <w:szCs w:val="32"/>
        </w:rPr>
        <w:t>3.IPO</w:t>
      </w:r>
      <w:r>
        <w:rPr>
          <w:rFonts w:hint="eastAsia" w:ascii="仿宋" w:hAnsi="仿宋" w:eastAsia="仿宋"/>
          <w:sz w:val="32"/>
          <w:szCs w:val="32"/>
        </w:rPr>
        <w:t>上市申请文件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上市申请书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申请上市的董事会、股东大会决议</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发行人营业执照复印件及本次股票发行完成后三个月内办理完成工商变更登记的承诺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发行人公司章程（草案）</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依法经会计师事务所审计的发行人最近三年的财务会计报告</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拟聘任或已聘任的董事会秘书及证券事务代表的资料。发行人已聘任董事会秘书和证券事务代表的，在提供以下材料的同时应提供董事会聘任书；发行人拟聘任董事会秘书和证券事务代表的，应同时提供包括被推荐人符合《深圳证券交易所股票上市规则》/《深圳证券交易所创业板股票上市规则》任职资格的说明、董事会推荐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6-1</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个人简历、学历证明</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6-2</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联系方式，至少应包括办公电话、住宅电话、移动电话、传真、通信地址及专用电子邮件信箱地址，董事会秘书应当保证本所可以随时与其联系</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6-3</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董事会秘书资格证书（如有）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需报送的承诺与说明</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需报送纸质版原件，邮寄至相应的公司管理部门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7-1</w:t>
            </w:r>
          </w:p>
        </w:tc>
        <w:tc>
          <w:tcPr>
            <w:tcW w:w="4678" w:type="dxa"/>
            <w:vAlign w:val="center"/>
          </w:tcPr>
          <w:p>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控股股东、实际控制人的承诺书，内容为自发行人股票上市之日起三十六个月内，不转让或者委托他人管理其直接或间接持有的发行人股份，也不由发行人回购其直接或间接持有的股份；其他股东就所持股份作出的锁定承诺</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①如控股股东、实际控制人或者相关股东为法人，需法定代表人签字；</w:t>
            </w:r>
          </w:p>
          <w:p>
            <w:pPr>
              <w:jc w:val="left"/>
              <w:rPr>
                <w:rFonts w:hint="eastAsia" w:ascii="仿宋" w:hAnsi="仿宋" w:eastAsia="仿宋"/>
                <w:b/>
                <w:sz w:val="24"/>
                <w:szCs w:val="24"/>
                <w:lang w:val="en-US" w:eastAsia="zh-CN"/>
              </w:rPr>
            </w:pPr>
            <w:r>
              <w:rPr>
                <w:rFonts w:hint="eastAsia" w:ascii="仿宋" w:hAnsi="仿宋" w:eastAsia="仿宋"/>
                <w:b w:val="0"/>
                <w:bCs/>
                <w:sz w:val="24"/>
                <w:szCs w:val="24"/>
              </w:rPr>
              <w:t>②对于创业板，承诺主体还应当包括实际控制人的一致行动人（如有）</w:t>
            </w:r>
            <w:r>
              <w:rPr>
                <w:rFonts w:hint="eastAsia" w:ascii="仿宋" w:hAnsi="仿宋" w:eastAsia="仿宋"/>
                <w:b w:val="0"/>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7-2</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控股股东、持有发行人股份的董事和高级管理人员承诺书，内容为所持股票在锁定期满后两年内减持的，其减持价格不低于发行价；发行人上市后6个月内如公司股票连续20个交易日的收盘价均低于发行价，或者上市后</w:t>
            </w:r>
            <w:r>
              <w:rPr>
                <w:rFonts w:ascii="仿宋" w:hAnsi="仿宋" w:eastAsia="仿宋"/>
                <w:color w:val="000000" w:themeColor="text1"/>
                <w:sz w:val="24"/>
                <w:szCs w:val="24"/>
                <w14:textFill>
                  <w14:solidFill>
                    <w14:schemeClr w14:val="tx1"/>
                  </w14:solidFill>
                </w14:textFill>
              </w:rPr>
              <w:t>6个月期末</w:t>
            </w:r>
            <w:r>
              <w:rPr>
                <w:rFonts w:hint="eastAsia" w:ascii="仿宋" w:hAnsi="仿宋" w:eastAsia="仿宋"/>
                <w:color w:val="000000" w:themeColor="text1"/>
                <w:sz w:val="24"/>
                <w:szCs w:val="24"/>
                <w14:textFill>
                  <w14:solidFill>
                    <w14:schemeClr w14:val="tx1"/>
                  </w14:solidFill>
                </w14:textFill>
              </w:rPr>
              <w:t>收盘价低于发行价，持有公司股票的锁定期限自动延长至少6个月</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7-3</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发行人及其控股股东、实际控制人承诺书，内容为发行人存在欺诈发行的，发行人及其控股股东、实际控制人将按规定购回已上市的股份</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7-4</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控股股东、实际控制人、董事、监事、高级管理人员等相关责任主体的承诺书，内容为因发行人招股说明书及其他信息披露资料有虚假记载、误导性陈述或者重大遗漏，致使投资者在证券交易中遭受损失的，将依法赔偿投资者损失</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7-5</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保荐人、会计师事务所等证券服务机构承诺书，内容为因其为发行人首次公开发行制作、出具的文件有虚假记载、误导性陈述或者重大遗漏，给投资者造成损失的，将依法赔偿投资者损失</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7-6</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红筹企业及其控股股东、实际控制人、董事、监事、高级管理人员等信息披露义务人承诺书，内容为因发行人在境内发行股票并在本所上市发生的纠纷适用中国法律，并由中国境内有管辖权的人民法院管辖</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7-7</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发行人及其控股股东、实际控制人、董事、监事、高级管理人员等责任主体作出公开承诺事项的，应同时提出未能履行承诺时的约束措施说明</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7-8</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发行人董事、监事和高级管理人员持有股份情况及《董事（监事、高级管理人员）声明与承诺书》</w:t>
            </w:r>
          </w:p>
        </w:tc>
        <w:tc>
          <w:tcPr>
            <w:tcW w:w="3027" w:type="dxa"/>
            <w:vMerge w:val="restart"/>
            <w:vAlign w:val="center"/>
          </w:tcPr>
          <w:p>
            <w:pPr>
              <w:rPr>
                <w:rFonts w:ascii="仿宋" w:hAnsi="仿宋" w:eastAsia="仿宋"/>
                <w:sz w:val="24"/>
                <w:szCs w:val="24"/>
              </w:rPr>
            </w:pPr>
            <w:r>
              <w:rPr>
                <w:rFonts w:hint="eastAsia" w:ascii="仿宋" w:hAnsi="仿宋" w:eastAsia="仿宋"/>
                <w:sz w:val="24"/>
                <w:szCs w:val="24"/>
              </w:rPr>
              <w:t>①声明与承诺书签订须经律师见证；请注意声明中关于持股情况的项目需填写直接和间接持股股份情况</w:t>
            </w:r>
          </w:p>
          <w:p>
            <w:pPr>
              <w:rPr>
                <w:rFonts w:ascii="仿宋" w:hAnsi="仿宋" w:eastAsia="仿宋"/>
                <w:sz w:val="24"/>
                <w:szCs w:val="24"/>
              </w:rPr>
            </w:pPr>
            <w:r>
              <w:rPr>
                <w:rFonts w:hint="eastAsia" w:ascii="仿宋" w:hAnsi="仿宋" w:eastAsia="仿宋"/>
                <w:sz w:val="24"/>
                <w:szCs w:val="24"/>
              </w:rPr>
              <w:t>②模板详见本所《上市公司自律监管指引第1</w:t>
            </w:r>
            <w:r>
              <w:rPr>
                <w:rFonts w:ascii="仿宋" w:hAnsi="仿宋" w:eastAsia="仿宋"/>
                <w:sz w:val="24"/>
                <w:szCs w:val="24"/>
              </w:rPr>
              <w:t>号——</w:t>
            </w:r>
            <w:r>
              <w:rPr>
                <w:rFonts w:hint="eastAsia" w:ascii="仿宋" w:hAnsi="仿宋" w:eastAsia="仿宋"/>
                <w:sz w:val="24"/>
                <w:szCs w:val="24"/>
              </w:rPr>
              <w:t>主板</w:t>
            </w:r>
            <w:r>
              <w:rPr>
                <w:rFonts w:ascii="仿宋" w:hAnsi="仿宋" w:eastAsia="仿宋"/>
                <w:sz w:val="24"/>
                <w:szCs w:val="24"/>
              </w:rPr>
              <w:t>上市公司规范运作</w:t>
            </w:r>
            <w:r>
              <w:rPr>
                <w:rFonts w:hint="eastAsia" w:ascii="仿宋" w:hAnsi="仿宋" w:eastAsia="仿宋"/>
                <w:sz w:val="24"/>
                <w:szCs w:val="24"/>
              </w:rPr>
              <w:t>》《上市公司自律监管指引第</w:t>
            </w:r>
            <w:r>
              <w:rPr>
                <w:rFonts w:ascii="仿宋" w:hAnsi="仿宋" w:eastAsia="仿宋"/>
                <w:sz w:val="24"/>
                <w:szCs w:val="24"/>
              </w:rPr>
              <w:t>2号——创业板上市公司规范运作</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7-9</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《控股股东、实际控制人声明及承诺书》</w:t>
            </w:r>
          </w:p>
        </w:tc>
        <w:tc>
          <w:tcPr>
            <w:tcW w:w="302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7-10</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其他承诺事项</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发行人及其控股股东、公司董事及高级管理人员关于稳定公司股价的措施和承诺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发行人公开发行前持股5%以上股东的持股意向及减持意向说明</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保荐人对保荐代表人的专项授权委托书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发行人全部股票已经中国结算深圳分公司登记的证明文件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会计师事务所出具的验资报告</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13</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保荐承销协议</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律师事务所出具的关于股票发行过程合规性的专项法律意见书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15</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股票发行后至上市前，按规定新增的财务资料和有关重大事项的说明文件（如适用）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16</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发行人及其董事、监事、高级管理人员保证向本所提交的上市申请文件内容真实、准确、完整，不存在虚假记载、误导性陈述或重大遗漏的承诺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17</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涉及国家或国有法人持有公开发行前股份的，需提供国有资产监督管理部门的批复文件（如适用）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18</w:t>
            </w:r>
          </w:p>
        </w:tc>
        <w:tc>
          <w:tcPr>
            <w:tcW w:w="4678" w:type="dxa"/>
            <w:vAlign w:val="center"/>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保荐人关于发行人独立董事资格证书核查说明。如独立董事上市前无任职资格证书，公司应当出具承诺书，承诺上市后六个月内现任独立董事取得资格证书，或者改聘其他具有任职资格证书的独立董事</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19</w:t>
            </w:r>
          </w:p>
        </w:tc>
        <w:tc>
          <w:tcPr>
            <w:tcW w:w="4678" w:type="dxa"/>
            <w:vAlign w:val="center"/>
          </w:tcPr>
          <w:p>
            <w:pPr>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bl>
    <w:p>
      <w:pPr>
        <w:spacing w:line="560" w:lineRule="exact"/>
        <w:ind w:firstLine="640" w:firstLineChars="200"/>
        <w:rPr>
          <w:rFonts w:ascii="仿宋" w:hAnsi="仿宋" w:eastAsia="仿宋"/>
          <w:sz w:val="32"/>
          <w:szCs w:val="32"/>
        </w:rPr>
      </w:pPr>
      <w:r>
        <w:rPr>
          <w:rFonts w:hint="eastAsia" w:ascii="仿宋" w:hAnsi="仿宋" w:eastAsia="仿宋"/>
          <w:sz w:val="32"/>
          <w:szCs w:val="32"/>
        </w:rPr>
        <w:t>4.承销总结相关文件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承销总结报告</w:t>
            </w:r>
          </w:p>
        </w:tc>
        <w:tc>
          <w:tcPr>
            <w:tcW w:w="3027" w:type="dxa"/>
            <w:vAlign w:val="center"/>
          </w:tcPr>
          <w:p>
            <w:pPr>
              <w:rPr>
                <w:rFonts w:ascii="仿宋" w:hAnsi="仿宋" w:eastAsia="仿宋"/>
                <w:sz w:val="24"/>
                <w:szCs w:val="24"/>
              </w:rPr>
            </w:pPr>
            <w:r>
              <w:rPr>
                <w:rFonts w:hint="eastAsia" w:ascii="仿宋" w:hAnsi="仿宋" w:eastAsia="仿宋"/>
                <w:sz w:val="24"/>
                <w:szCs w:val="24"/>
              </w:rPr>
              <w:t>主承销商需在承销总结报告中对“用于本次发行的信息披露费用”的列支及披露情况进行核查，并发表合规性意见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参与战略配售的投资者缴款验资报告（如有）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承销团协议（如有）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参与战略配售的投资者认股协议（如有）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新股发行数据统计表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募集资金验资报告</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7</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关于股票发行过程合规性的专项法律意见书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bl>
    <w:p>
      <w:pPr>
        <w:pStyle w:val="4"/>
      </w:pPr>
      <w:bookmarkStart w:id="3" w:name="_Toc132810323"/>
      <w:r>
        <w:rPr>
          <w:rFonts w:hint="eastAsia"/>
        </w:rPr>
        <w:t>二、转板公司上市申请文件</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1.转板公司证券简称及证券代码申请相关文件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证券简称及证券代码申请书</w:t>
            </w:r>
          </w:p>
        </w:tc>
        <w:tc>
          <w:tcPr>
            <w:tcW w:w="3027" w:type="dxa"/>
            <w:vAlign w:val="center"/>
          </w:tcPr>
          <w:p>
            <w:pPr>
              <w:rPr>
                <w:rFonts w:ascii="仿宋" w:hAnsi="仿宋" w:eastAsia="仿宋"/>
                <w:sz w:val="24"/>
                <w:szCs w:val="24"/>
              </w:rPr>
            </w:pPr>
            <w:r>
              <w:rPr>
                <w:rFonts w:hint="eastAsia" w:ascii="仿宋" w:hAnsi="仿宋" w:eastAsia="仿宋"/>
                <w:sz w:val="24"/>
                <w:szCs w:val="24"/>
              </w:rPr>
              <w:t>参考格式见本所《股票发行与承销业务指南第2号——首发及转板上市业务办理》“五、部分申请文件参考格式”部分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ascii="仿宋" w:hAnsi="仿宋" w:eastAsia="仿宋"/>
                <w:sz w:val="24"/>
                <w:szCs w:val="24"/>
              </w:rPr>
              <w:t>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预计时间表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一致性承诺函</w:t>
            </w:r>
          </w:p>
        </w:tc>
        <w:tc>
          <w:tcPr>
            <w:tcW w:w="3027" w:type="dxa"/>
            <w:vAlign w:val="center"/>
          </w:tcPr>
          <w:p>
            <w:pPr>
              <w:jc w:val="both"/>
              <w:rPr>
                <w:rFonts w:ascii="仿宋" w:hAnsi="仿宋" w:eastAsia="仿宋"/>
                <w:sz w:val="24"/>
                <w:szCs w:val="24"/>
              </w:rPr>
            </w:pPr>
            <w:r>
              <w:rPr>
                <w:rFonts w:hint="eastAsia" w:ascii="仿宋" w:hAnsi="仿宋" w:eastAsia="仿宋"/>
                <w:sz w:val="24"/>
                <w:szCs w:val="24"/>
              </w:rPr>
              <w:t>承诺内容包括但不限于：报送申请文件与向本所上市审核中心报送最终稿文件一致，以及向本所报送的公告与对外披露的公告一致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不存在影响在创业板上市重大事项的承诺函</w:t>
            </w:r>
          </w:p>
        </w:tc>
        <w:tc>
          <w:tcPr>
            <w:tcW w:w="3027" w:type="dxa"/>
            <w:vAlign w:val="center"/>
          </w:tcPr>
          <w:p>
            <w:pPr>
              <w:jc w:val="both"/>
              <w:rPr>
                <w:rFonts w:ascii="仿宋" w:hAnsi="仿宋" w:eastAsia="仿宋"/>
                <w:sz w:val="24"/>
                <w:szCs w:val="24"/>
              </w:rPr>
            </w:pPr>
            <w:r>
              <w:rPr>
                <w:rFonts w:hint="eastAsia" w:ascii="仿宋" w:hAnsi="仿宋" w:eastAsia="仿宋"/>
                <w:sz w:val="24"/>
                <w:szCs w:val="24"/>
              </w:rPr>
              <w:t>①承诺内容包括但不限于：保荐人自本所上市审核委员会作出同意转板的决定之日至承诺函签署日期间，不存在影响本次转板和对投资者作出投资决策有重大影响的应予披露的事项；</w:t>
            </w:r>
          </w:p>
          <w:p>
            <w:pPr>
              <w:jc w:val="both"/>
              <w:rPr>
                <w:rFonts w:ascii="仿宋" w:hAnsi="仿宋" w:eastAsia="仿宋"/>
                <w:sz w:val="24"/>
                <w:szCs w:val="24"/>
              </w:rPr>
            </w:pPr>
            <w:r>
              <w:rPr>
                <w:rFonts w:hint="eastAsia" w:ascii="仿宋" w:hAnsi="仿宋" w:eastAsia="仿宋"/>
                <w:sz w:val="24"/>
                <w:szCs w:val="24"/>
              </w:rPr>
              <w:t>②需报送纸质版原件，邮寄至本所创业板公司管理部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行业分类情况表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在北交所终止上市的相关证明材料</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bl>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转板公司上市申请文件</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817"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4678" w:type="dxa"/>
            <w:vAlign w:val="center"/>
          </w:tcPr>
          <w:p>
            <w:pPr>
              <w:jc w:val="center"/>
              <w:rPr>
                <w:rFonts w:ascii="仿宋" w:hAnsi="仿宋" w:eastAsia="仿宋"/>
                <w:b/>
                <w:sz w:val="24"/>
                <w:szCs w:val="24"/>
              </w:rPr>
            </w:pPr>
            <w:r>
              <w:rPr>
                <w:rFonts w:hint="eastAsia" w:ascii="仿宋" w:hAnsi="仿宋" w:eastAsia="仿宋"/>
                <w:b/>
                <w:sz w:val="24"/>
                <w:szCs w:val="24"/>
              </w:rPr>
              <w:t>需报送的文件名称</w:t>
            </w:r>
          </w:p>
        </w:tc>
        <w:tc>
          <w:tcPr>
            <w:tcW w:w="3027"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上市申请书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股票基本情况表</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请通过保荐业务专区“发行上市—</w:t>
            </w:r>
            <w:r>
              <w:rPr>
                <w:rFonts w:ascii="仿宋" w:hAnsi="仿宋" w:eastAsia="仿宋"/>
                <w:sz w:val="24"/>
                <w:szCs w:val="24"/>
              </w:rPr>
              <w:t>首发上市数据填报</w:t>
            </w:r>
            <w:r>
              <w:rPr>
                <w:rFonts w:hint="eastAsia" w:ascii="仿宋" w:hAnsi="仿宋" w:eastAsia="仿宋"/>
                <w:sz w:val="24"/>
                <w:szCs w:val="24"/>
              </w:rPr>
              <w:t>”栏目填报和导出电子表格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申请上市的董事会、股东大会决议</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公司营业执照复印件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公司章程（草案）</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依法经会计师事务所审计的公司最近三年的财务会计报告</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w:t>
            </w:r>
          </w:p>
        </w:tc>
        <w:tc>
          <w:tcPr>
            <w:tcW w:w="4678" w:type="dxa"/>
            <w:vAlign w:val="center"/>
          </w:tcPr>
          <w:p>
            <w:pPr>
              <w:jc w:val="both"/>
              <w:rPr>
                <w:rFonts w:ascii="仿宋" w:hAnsi="仿宋" w:eastAsia="仿宋"/>
                <w:sz w:val="24"/>
                <w:szCs w:val="24"/>
              </w:rPr>
            </w:pPr>
            <w:r>
              <w:rPr>
                <w:rFonts w:hint="eastAsia" w:ascii="仿宋" w:hAnsi="仿宋" w:eastAsia="仿宋"/>
                <w:sz w:val="24"/>
                <w:szCs w:val="24"/>
              </w:rPr>
              <w:t>公司拟聘任或已聘任的董事会秘书及证券事务代表的资料。公司已聘任董事会秘书和证券事务代表的，在提供以下材料的同时应提供董事会聘任书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个人简历、学历证明</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联系方式，至少应包括办公电话、住宅电话、移动电话、传真、通信地址及专用电子邮件信箱地址，董事会秘书应当保证本所可以随时与其联系</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7-3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董事会秘书资格证书（如有）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需报送的承诺与说明</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需报送纸质版原件，邮寄至本所创业板公司管理部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8-1</w:t>
            </w:r>
          </w:p>
        </w:tc>
        <w:tc>
          <w:tcPr>
            <w:tcW w:w="4678" w:type="dxa"/>
            <w:vAlign w:val="center"/>
          </w:tcPr>
          <w:p>
            <w:pPr>
              <w:rPr>
                <w:rFonts w:ascii="仿宋" w:hAnsi="仿宋" w:eastAsia="仿宋"/>
                <w:sz w:val="24"/>
                <w:szCs w:val="24"/>
              </w:rPr>
            </w:pPr>
            <w:r>
              <w:rPr>
                <w:rFonts w:hint="eastAsia" w:ascii="仿宋" w:hAnsi="仿宋" w:eastAsia="仿宋"/>
                <w:sz w:val="24"/>
                <w:szCs w:val="24"/>
              </w:rPr>
              <w:t>根据中国证监会有关规定、《深圳证券交易所创业板股票上市规则》《深圳证券交易所关于北京证券交易所上市公司向创业板转板办法（试行）》《深圳证券交易所创业板发行上市审核业务指引第3号——全国中小企业股份转让系统挂牌公司向创业板转板上市报告书内容与格式》等相关规定，本次上市前股东所持股份的限售安排、自愿锁定股份、延长锁定期限以及股东持股及减持意向等承诺</w:t>
            </w:r>
          </w:p>
        </w:tc>
        <w:tc>
          <w:tcPr>
            <w:tcW w:w="3027" w:type="dxa"/>
            <w:vAlign w:val="center"/>
          </w:tcPr>
          <w:p>
            <w:pPr>
              <w:jc w:val="left"/>
              <w:rPr>
                <w:rFonts w:ascii="仿宋" w:hAnsi="仿宋" w:eastAsia="仿宋"/>
                <w:sz w:val="24"/>
                <w:szCs w:val="24"/>
              </w:rPr>
            </w:pPr>
            <w:r>
              <w:rPr>
                <w:rFonts w:hint="eastAsia" w:ascii="仿宋" w:hAnsi="仿宋" w:eastAsia="仿宋"/>
                <w:sz w:val="24"/>
                <w:szCs w:val="24"/>
              </w:rPr>
              <w:t>如相关股东为法人，需法定代表人签字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8-2</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稳定股价的措施和承诺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8-3</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股份回购和股份买回的措施和承诺（如有）</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8-4</w:t>
            </w:r>
          </w:p>
        </w:tc>
        <w:tc>
          <w:tcPr>
            <w:tcW w:w="4678" w:type="dxa"/>
            <w:vAlign w:val="center"/>
          </w:tcPr>
          <w:p>
            <w:pPr>
              <w:jc w:val="both"/>
              <w:rPr>
                <w:rFonts w:ascii="仿宋" w:hAnsi="仿宋" w:eastAsia="仿宋"/>
                <w:sz w:val="24"/>
                <w:szCs w:val="24"/>
              </w:rPr>
            </w:pPr>
            <w:r>
              <w:rPr>
                <w:rFonts w:hint="eastAsia" w:ascii="仿宋" w:hAnsi="仿宋" w:eastAsia="仿宋"/>
                <w:sz w:val="24"/>
                <w:szCs w:val="24"/>
              </w:rPr>
              <w:t>对欺诈发行上市的股份回购和股份买回承诺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依法承担赔偿责任的承诺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8-6</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公司董事、监事和高级管理人员持有股份情况及《董事（监事、高级管理人员）声明与承诺书》</w:t>
            </w:r>
          </w:p>
        </w:tc>
        <w:tc>
          <w:tcPr>
            <w:tcW w:w="3027" w:type="dxa"/>
            <w:vMerge w:val="restart"/>
            <w:vAlign w:val="center"/>
          </w:tcPr>
          <w:p>
            <w:pPr>
              <w:jc w:val="left"/>
              <w:rPr>
                <w:rFonts w:ascii="仿宋" w:hAnsi="仿宋" w:eastAsia="仿宋"/>
                <w:sz w:val="24"/>
                <w:szCs w:val="24"/>
              </w:rPr>
            </w:pPr>
            <w:r>
              <w:rPr>
                <w:rFonts w:hint="eastAsia" w:ascii="仿宋" w:hAnsi="仿宋" w:eastAsia="仿宋"/>
                <w:sz w:val="24"/>
                <w:szCs w:val="24"/>
              </w:rPr>
              <w:t>①声明与承诺书签订须经律师见证；请注意声明中关于持股情况的项目需填写直接和间接持股股份情况</w:t>
            </w:r>
          </w:p>
          <w:p>
            <w:pPr>
              <w:jc w:val="center"/>
              <w:rPr>
                <w:rFonts w:ascii="仿宋" w:hAnsi="仿宋" w:eastAsia="仿宋"/>
                <w:sz w:val="24"/>
                <w:szCs w:val="24"/>
              </w:rPr>
            </w:pPr>
            <w:r>
              <w:rPr>
                <w:rFonts w:hint="eastAsia" w:ascii="仿宋" w:hAnsi="仿宋" w:eastAsia="仿宋"/>
                <w:sz w:val="24"/>
                <w:szCs w:val="24"/>
              </w:rPr>
              <w:t>②模板详见本所《上市公司自律监管指引第2号——创业板上市公司规范运作》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8-7</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《控股股东、实际控制人声明及承诺书》</w:t>
            </w:r>
          </w:p>
        </w:tc>
        <w:tc>
          <w:tcPr>
            <w:tcW w:w="3027"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8-8</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其他承诺事项</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9</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保荐人对保荐代表人的专项授权委托书</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10</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公司全部股票已经中国结算深圳分公司登记的证明文件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11</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保荐协议</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12</w:t>
            </w:r>
          </w:p>
        </w:tc>
        <w:tc>
          <w:tcPr>
            <w:tcW w:w="4678" w:type="dxa"/>
            <w:vAlign w:val="center"/>
          </w:tcPr>
          <w:p>
            <w:pPr>
              <w:jc w:val="both"/>
              <w:rPr>
                <w:rFonts w:ascii="仿宋" w:hAnsi="仿宋" w:eastAsia="仿宋"/>
                <w:sz w:val="24"/>
                <w:szCs w:val="24"/>
              </w:rPr>
            </w:pPr>
            <w:r>
              <w:rPr>
                <w:rFonts w:hint="eastAsia" w:ascii="仿宋" w:hAnsi="仿宋" w:eastAsia="仿宋"/>
                <w:sz w:val="24"/>
                <w:szCs w:val="24"/>
              </w:rPr>
              <w:t>取得本所同意转板决定日至上市前，公司按规定新增的财务资料和有关重大事项的说明文件（如适用）</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13</w:t>
            </w:r>
          </w:p>
        </w:tc>
        <w:tc>
          <w:tcPr>
            <w:tcW w:w="4678" w:type="dxa"/>
            <w:vAlign w:val="center"/>
          </w:tcPr>
          <w:p>
            <w:pPr>
              <w:jc w:val="both"/>
              <w:rPr>
                <w:rFonts w:ascii="仿宋" w:hAnsi="仿宋" w:eastAsia="仿宋"/>
                <w:sz w:val="24"/>
                <w:szCs w:val="24"/>
              </w:rPr>
            </w:pPr>
            <w:r>
              <w:rPr>
                <w:rFonts w:hint="eastAsia" w:ascii="仿宋" w:hAnsi="仿宋" w:eastAsia="仿宋"/>
                <w:sz w:val="24"/>
                <w:szCs w:val="24"/>
              </w:rPr>
              <w:t>公司及其董事、监事、高级管理人员保证向本所提交的上市申请文件内容真实、准确、完整，不存在虚假记载、误导性陈述或重大遗漏的承诺</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14</w:t>
            </w:r>
          </w:p>
        </w:tc>
        <w:tc>
          <w:tcPr>
            <w:tcW w:w="4678" w:type="dxa"/>
            <w:vAlign w:val="center"/>
          </w:tcPr>
          <w:p>
            <w:pPr>
              <w:jc w:val="both"/>
              <w:rPr>
                <w:rFonts w:ascii="仿宋" w:hAnsi="仿宋" w:eastAsia="仿宋"/>
                <w:sz w:val="24"/>
                <w:szCs w:val="24"/>
              </w:rPr>
            </w:pPr>
            <w:r>
              <w:rPr>
                <w:rFonts w:hint="eastAsia" w:ascii="仿宋" w:hAnsi="仿宋" w:eastAsia="仿宋"/>
                <w:sz w:val="24"/>
                <w:szCs w:val="24"/>
              </w:rPr>
              <w:t>保荐人关于公司独立董事资格证书核查说明。如独立董事上市前无任职资格证书，公司应当出具承诺书，承诺上市后六个月内现任独立董事取得资格证书，或者改聘其他具有任职资格证书的独立董事</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17" w:type="dxa"/>
            <w:vAlign w:val="center"/>
          </w:tcPr>
          <w:p>
            <w:pPr>
              <w:jc w:val="center"/>
              <w:rPr>
                <w:rFonts w:ascii="仿宋" w:hAnsi="仿宋" w:eastAsia="仿宋"/>
                <w:sz w:val="24"/>
                <w:szCs w:val="24"/>
              </w:rPr>
            </w:pPr>
            <w:r>
              <w:rPr>
                <w:rFonts w:hint="eastAsia" w:ascii="仿宋" w:hAnsi="仿宋" w:eastAsia="仿宋"/>
                <w:sz w:val="24"/>
                <w:szCs w:val="24"/>
              </w:rPr>
              <w:t>15</w:t>
            </w:r>
          </w:p>
        </w:tc>
        <w:tc>
          <w:tcPr>
            <w:tcW w:w="4678" w:type="dxa"/>
            <w:vAlign w:val="center"/>
          </w:tcPr>
          <w:p>
            <w:pPr>
              <w:jc w:val="left"/>
              <w:rPr>
                <w:rFonts w:ascii="仿宋" w:hAnsi="仿宋" w:eastAsia="仿宋"/>
                <w:sz w:val="24"/>
                <w:szCs w:val="24"/>
              </w:rPr>
            </w:pPr>
            <w:r>
              <w:rPr>
                <w:rFonts w:hint="eastAsia" w:ascii="仿宋" w:hAnsi="仿宋" w:eastAsia="仿宋"/>
                <w:sz w:val="24"/>
                <w:szCs w:val="24"/>
              </w:rPr>
              <w:t>本所要求的其他文件</w:t>
            </w:r>
          </w:p>
        </w:tc>
        <w:tc>
          <w:tcPr>
            <w:tcW w:w="3027" w:type="dxa"/>
            <w:vAlign w:val="center"/>
          </w:tcPr>
          <w:p>
            <w:pPr>
              <w:jc w:val="center"/>
              <w:rPr>
                <w:rFonts w:ascii="仿宋" w:hAnsi="仿宋" w:eastAsia="仿宋"/>
                <w:sz w:val="24"/>
                <w:szCs w:val="24"/>
              </w:rPr>
            </w:pPr>
            <w:r>
              <w:rPr>
                <w:rFonts w:hint="eastAsia" w:ascii="仿宋" w:hAnsi="仿宋" w:eastAsia="仿宋"/>
                <w:sz w:val="24"/>
                <w:szCs w:val="24"/>
              </w:rPr>
              <w:t>-</w:t>
            </w:r>
          </w:p>
        </w:tc>
      </w:tr>
    </w:tbl>
    <w:p>
      <w:pPr>
        <w:ind w:firstLine="420" w:firstLineChars="200"/>
      </w:pPr>
    </w:p>
    <w:bookmarkEnd w:id="1"/>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341898"/>
      <w:docPartObj>
        <w:docPartGallery w:val="autotext"/>
      </w:docPartObj>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3738B"/>
    <w:rsid w:val="000531D2"/>
    <w:rsid w:val="000551D9"/>
    <w:rsid w:val="000737D3"/>
    <w:rsid w:val="00085726"/>
    <w:rsid w:val="00095D82"/>
    <w:rsid w:val="00097239"/>
    <w:rsid w:val="000E3DFB"/>
    <w:rsid w:val="000F37EF"/>
    <w:rsid w:val="00114BAD"/>
    <w:rsid w:val="001441B4"/>
    <w:rsid w:val="0018074A"/>
    <w:rsid w:val="001D683B"/>
    <w:rsid w:val="001E32FB"/>
    <w:rsid w:val="001F5233"/>
    <w:rsid w:val="0020392E"/>
    <w:rsid w:val="00207932"/>
    <w:rsid w:val="002146FC"/>
    <w:rsid w:val="00236C1D"/>
    <w:rsid w:val="00247C3E"/>
    <w:rsid w:val="00252A6A"/>
    <w:rsid w:val="0025632E"/>
    <w:rsid w:val="00262347"/>
    <w:rsid w:val="00295060"/>
    <w:rsid w:val="002B05ED"/>
    <w:rsid w:val="002D6028"/>
    <w:rsid w:val="00316AF8"/>
    <w:rsid w:val="00321BC2"/>
    <w:rsid w:val="0034520A"/>
    <w:rsid w:val="00360FCA"/>
    <w:rsid w:val="00374567"/>
    <w:rsid w:val="003A322B"/>
    <w:rsid w:val="003D05C1"/>
    <w:rsid w:val="003E083E"/>
    <w:rsid w:val="003E27B4"/>
    <w:rsid w:val="00411D74"/>
    <w:rsid w:val="004334F4"/>
    <w:rsid w:val="0044185F"/>
    <w:rsid w:val="004707D2"/>
    <w:rsid w:val="00490BAF"/>
    <w:rsid w:val="00495F3C"/>
    <w:rsid w:val="004A0C71"/>
    <w:rsid w:val="004A2ACD"/>
    <w:rsid w:val="004A2CE9"/>
    <w:rsid w:val="004B6376"/>
    <w:rsid w:val="004F77B8"/>
    <w:rsid w:val="00506A9D"/>
    <w:rsid w:val="00526AEA"/>
    <w:rsid w:val="00526E79"/>
    <w:rsid w:val="005823CB"/>
    <w:rsid w:val="00585F08"/>
    <w:rsid w:val="005B605C"/>
    <w:rsid w:val="005F7326"/>
    <w:rsid w:val="00617A53"/>
    <w:rsid w:val="0063239D"/>
    <w:rsid w:val="00636262"/>
    <w:rsid w:val="0065503A"/>
    <w:rsid w:val="006571A8"/>
    <w:rsid w:val="006A266F"/>
    <w:rsid w:val="006B2FB4"/>
    <w:rsid w:val="006B6794"/>
    <w:rsid w:val="00714090"/>
    <w:rsid w:val="007162B0"/>
    <w:rsid w:val="00721312"/>
    <w:rsid w:val="0072633B"/>
    <w:rsid w:val="0072694C"/>
    <w:rsid w:val="00741A7A"/>
    <w:rsid w:val="007A60B9"/>
    <w:rsid w:val="007C40FE"/>
    <w:rsid w:val="007F2124"/>
    <w:rsid w:val="007F22B8"/>
    <w:rsid w:val="00822B8B"/>
    <w:rsid w:val="008421B7"/>
    <w:rsid w:val="008610B6"/>
    <w:rsid w:val="008A6811"/>
    <w:rsid w:val="008D0FB9"/>
    <w:rsid w:val="008D7AEA"/>
    <w:rsid w:val="008E5DEF"/>
    <w:rsid w:val="008E79BF"/>
    <w:rsid w:val="00915967"/>
    <w:rsid w:val="00917091"/>
    <w:rsid w:val="00927497"/>
    <w:rsid w:val="00940050"/>
    <w:rsid w:val="009A238B"/>
    <w:rsid w:val="009A64DD"/>
    <w:rsid w:val="009C11AE"/>
    <w:rsid w:val="009C7F73"/>
    <w:rsid w:val="009F5CA5"/>
    <w:rsid w:val="00A120E6"/>
    <w:rsid w:val="00A17289"/>
    <w:rsid w:val="00A32F58"/>
    <w:rsid w:val="00A3717C"/>
    <w:rsid w:val="00A52940"/>
    <w:rsid w:val="00A56990"/>
    <w:rsid w:val="00A74351"/>
    <w:rsid w:val="00A75E43"/>
    <w:rsid w:val="00AD6478"/>
    <w:rsid w:val="00AE4E55"/>
    <w:rsid w:val="00B548BD"/>
    <w:rsid w:val="00B60ED0"/>
    <w:rsid w:val="00BA32B5"/>
    <w:rsid w:val="00BE007F"/>
    <w:rsid w:val="00C12B71"/>
    <w:rsid w:val="00C2234F"/>
    <w:rsid w:val="00C858B9"/>
    <w:rsid w:val="00C95670"/>
    <w:rsid w:val="00CA70A0"/>
    <w:rsid w:val="00CA7F56"/>
    <w:rsid w:val="00CC229E"/>
    <w:rsid w:val="00CD147B"/>
    <w:rsid w:val="00CD6859"/>
    <w:rsid w:val="00CF24AA"/>
    <w:rsid w:val="00D16E74"/>
    <w:rsid w:val="00D22D82"/>
    <w:rsid w:val="00D33DF6"/>
    <w:rsid w:val="00D479A2"/>
    <w:rsid w:val="00D55D24"/>
    <w:rsid w:val="00DB1349"/>
    <w:rsid w:val="00DC13B5"/>
    <w:rsid w:val="00DE7006"/>
    <w:rsid w:val="00E93509"/>
    <w:rsid w:val="00E97CBE"/>
    <w:rsid w:val="00EB724A"/>
    <w:rsid w:val="00EE65F4"/>
    <w:rsid w:val="00EF3F71"/>
    <w:rsid w:val="00F23400"/>
    <w:rsid w:val="00F52AD2"/>
    <w:rsid w:val="00F56B6D"/>
    <w:rsid w:val="00F748C5"/>
    <w:rsid w:val="00F818EB"/>
    <w:rsid w:val="08247350"/>
    <w:rsid w:val="0B5D7314"/>
    <w:rsid w:val="162A73AD"/>
    <w:rsid w:val="1FE06725"/>
    <w:rsid w:val="22AF210F"/>
    <w:rsid w:val="24BE71DF"/>
    <w:rsid w:val="35925C72"/>
    <w:rsid w:val="3E075FF4"/>
    <w:rsid w:val="46F337F6"/>
    <w:rsid w:val="6BEF6EEC"/>
    <w:rsid w:val="71D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5"/>
    <w:unhideWhenUsed/>
    <w:qFormat/>
    <w:uiPriority w:val="9"/>
    <w:pPr>
      <w:keepNext/>
      <w:keepLines/>
      <w:spacing w:line="560" w:lineRule="exact"/>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toc 3"/>
    <w:basedOn w:val="1"/>
    <w:next w:val="1"/>
    <w:unhideWhenUsed/>
    <w:qFormat/>
    <w:uiPriority w:val="39"/>
    <w:pPr>
      <w:tabs>
        <w:tab w:val="right" w:leader="dot" w:pos="8296"/>
      </w:tabs>
      <w:spacing w:before="100" w:after="100" w:line="300" w:lineRule="exact"/>
      <w:ind w:left="840" w:leftChars="400"/>
    </w:pPr>
    <w:rPr>
      <w:rFonts w:asciiTheme="minorEastAsia" w:hAnsiTheme="minorEastAsia"/>
      <w:sz w:val="24"/>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11"/>
    <w:pPr>
      <w:spacing w:before="240" w:after="60" w:line="312" w:lineRule="auto"/>
      <w:jc w:val="center"/>
      <w:outlineLvl w:val="1"/>
    </w:pPr>
    <w:rPr>
      <w:rFonts w:ascii="Cambria" w:hAnsi="Cambria" w:eastAsia="宋体" w:cs="黑体"/>
      <w:b/>
      <w:bCs/>
      <w:kern w:val="28"/>
      <w:sz w:val="32"/>
      <w:szCs w:val="32"/>
    </w:rPr>
  </w:style>
  <w:style w:type="paragraph" w:styleId="11">
    <w:name w:val="toc 2"/>
    <w:basedOn w:val="1"/>
    <w:next w:val="1"/>
    <w:unhideWhenUsed/>
    <w:qFormat/>
    <w:uiPriority w:val="39"/>
    <w:pPr>
      <w:tabs>
        <w:tab w:val="right" w:leader="dot" w:pos="8296"/>
      </w:tabs>
      <w:spacing w:before="100" w:after="100" w:line="300" w:lineRule="exact"/>
      <w:ind w:left="420" w:leftChars="200"/>
    </w:pPr>
    <w:rPr>
      <w:rFonts w:asciiTheme="minorEastAsia" w:hAnsiTheme="minorEastAsia"/>
      <w:b/>
      <w:sz w:val="24"/>
      <w:szCs w:val="24"/>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2"/>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9"/>
    <w:qFormat/>
    <w:uiPriority w:val="99"/>
    <w:rPr>
      <w:sz w:val="18"/>
      <w:szCs w:val="18"/>
    </w:rPr>
  </w:style>
  <w:style w:type="character" w:customStyle="1" w:styleId="20">
    <w:name w:val="页脚 Char"/>
    <w:basedOn w:val="16"/>
    <w:link w:val="8"/>
    <w:qFormat/>
    <w:uiPriority w:val="99"/>
    <w:rPr>
      <w:sz w:val="18"/>
      <w:szCs w:val="18"/>
    </w:rPr>
  </w:style>
  <w:style w:type="character" w:customStyle="1" w:styleId="21">
    <w:name w:val="批注文字 Char"/>
    <w:basedOn w:val="16"/>
    <w:link w:val="5"/>
    <w:qFormat/>
    <w:uiPriority w:val="99"/>
  </w:style>
  <w:style w:type="character" w:customStyle="1" w:styleId="22">
    <w:name w:val="批注主题 Char"/>
    <w:basedOn w:val="21"/>
    <w:link w:val="13"/>
    <w:semiHidden/>
    <w:qFormat/>
    <w:uiPriority w:val="99"/>
    <w:rPr>
      <w:b/>
      <w:bCs/>
    </w:rPr>
  </w:style>
  <w:style w:type="character" w:customStyle="1" w:styleId="23">
    <w:name w:val="批注框文本 Char"/>
    <w:basedOn w:val="16"/>
    <w:link w:val="7"/>
    <w:semiHidden/>
    <w:qFormat/>
    <w:uiPriority w:val="99"/>
    <w:rPr>
      <w:sz w:val="18"/>
      <w:szCs w:val="18"/>
    </w:rPr>
  </w:style>
  <w:style w:type="character" w:customStyle="1" w:styleId="24">
    <w:name w:val="标题 2 Char"/>
    <w:basedOn w:val="16"/>
    <w:link w:val="3"/>
    <w:qFormat/>
    <w:uiPriority w:val="9"/>
    <w:rPr>
      <w:rFonts w:eastAsia="黑体" w:asciiTheme="majorHAnsi" w:hAnsiTheme="majorHAnsi" w:cstheme="majorBidi"/>
      <w:bCs/>
      <w:sz w:val="32"/>
      <w:szCs w:val="32"/>
    </w:rPr>
  </w:style>
  <w:style w:type="character" w:customStyle="1" w:styleId="25">
    <w:name w:val="标题 3 Char"/>
    <w:basedOn w:val="16"/>
    <w:link w:val="4"/>
    <w:qFormat/>
    <w:uiPriority w:val="9"/>
    <w:rPr>
      <w:rFonts w:eastAsia="仿宋"/>
      <w:b/>
      <w:bCs/>
      <w:sz w:val="32"/>
      <w:szCs w:val="32"/>
    </w:rPr>
  </w:style>
  <w:style w:type="character" w:customStyle="1" w:styleId="26">
    <w:name w:val="标题 1 Char"/>
    <w:basedOn w:val="16"/>
    <w:link w:val="2"/>
    <w:qFormat/>
    <w:uiPriority w:val="9"/>
    <w:rPr>
      <w:b/>
      <w:bCs/>
      <w:kern w:val="44"/>
      <w:sz w:val="44"/>
      <w:szCs w:val="44"/>
    </w:rPr>
  </w:style>
  <w:style w:type="character" w:customStyle="1" w:styleId="27">
    <w:name w:val="副标题 Char"/>
    <w:basedOn w:val="16"/>
    <w:link w:val="10"/>
    <w:qFormat/>
    <w:uiPriority w:val="11"/>
    <w:rPr>
      <w:rFonts w:ascii="Cambria" w:hAnsi="Cambria" w:eastAsia="宋体" w:cs="黑体"/>
      <w:b/>
      <w:bCs/>
      <w:kern w:val="28"/>
      <w:sz w:val="32"/>
      <w:szCs w:val="32"/>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87DF-E244-4612-9835-B164A99965AD}">
  <ds:schemaRefs/>
</ds:datastoreItem>
</file>

<file path=docProps/app.xml><?xml version="1.0" encoding="utf-8"?>
<Properties xmlns="http://schemas.openxmlformats.org/officeDocument/2006/extended-properties" xmlns:vt="http://schemas.openxmlformats.org/officeDocument/2006/docPropsVTypes">
  <Template>Normal</Template>
  <Pages>7</Pages>
  <Words>675</Words>
  <Characters>3850</Characters>
  <Lines>32</Lines>
  <Paragraphs>9</Paragraphs>
  <TotalTime>26</TotalTime>
  <ScaleCrop>false</ScaleCrop>
  <LinksUpToDate>false</LinksUpToDate>
  <CharactersWithSpaces>4516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2020-10-15T01:53:00Z</dcterms:created>
  <dc:creator>张畅[zhangchang]</dc:creator>
  <cp:lastModifiedBy>姚一凡</cp:lastModifiedBy>
  <cp:lastPrinted>2020-10-15T08:19:00Z</cp:lastPrinted>
  <dcterms:modified xsi:type="dcterms:W3CDTF">2023-09-07T06:47:17Z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F3503CAB114840379EE2EB086D271977</vt:lpwstr>
  </property>
</Properties>
</file>