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仿宋" w:eastAsia="方正小标宋简体"/>
          <w:sz w:val="44"/>
          <w:szCs w:val="44"/>
        </w:rPr>
      </w:pPr>
    </w:p>
    <w:p>
      <w:pPr>
        <w:spacing w:line="56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上市公司发行股份购买资产申请</w:t>
      </w:r>
    </w:p>
    <w:p>
      <w:pPr>
        <w:spacing w:line="560" w:lineRule="exact"/>
        <w:jc w:val="center"/>
        <w:rPr>
          <w:rFonts w:ascii="黑体" w:hAnsi="黑体" w:eastAsia="黑体"/>
          <w:sz w:val="32"/>
          <w:szCs w:val="32"/>
        </w:rPr>
      </w:pPr>
    </w:p>
    <w:p>
      <w:pPr>
        <w:spacing w:line="300" w:lineRule="exact"/>
        <w:jc w:val="center"/>
        <w:rPr>
          <w:rFonts w:ascii="黑体" w:hAnsi="黑体" w:eastAsia="黑体"/>
          <w:sz w:val="32"/>
          <w:szCs w:val="32"/>
        </w:rPr>
      </w:pPr>
      <w:r>
        <w:rPr>
          <w:rFonts w:hint="eastAsia" w:ascii="黑体" w:hAnsi="黑体" w:eastAsia="黑体"/>
          <w:sz w:val="32"/>
          <w:szCs w:val="32"/>
        </w:rPr>
        <w:t>目录</w:t>
      </w:r>
    </w:p>
    <w:p>
      <w:pPr>
        <w:spacing w:line="300" w:lineRule="exact"/>
        <w:jc w:val="center"/>
        <w:rPr>
          <w:rFonts w:ascii="黑体" w:hAnsi="黑体" w:eastAsia="黑体"/>
          <w:sz w:val="32"/>
          <w:szCs w:val="32"/>
        </w:rPr>
      </w:pP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_Toc11274 </w:instrText>
      </w:r>
      <w:r>
        <w:rPr>
          <w:rFonts w:hint="eastAsia" w:ascii="仿宋" w:hAnsi="仿宋" w:eastAsia="仿宋" w:cs="仿宋"/>
          <w:sz w:val="28"/>
          <w:szCs w:val="28"/>
        </w:rP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_Toc11274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_Toc28060 </w:instrText>
      </w:r>
      <w:r>
        <w:rPr>
          <w:rFonts w:hint="eastAsia" w:ascii="仿宋" w:hAnsi="仿宋" w:eastAsia="仿宋" w:cs="仿宋"/>
          <w:sz w:val="28"/>
          <w:szCs w:val="28"/>
        </w:rP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_Toc28060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_Toc14729 </w:instrText>
      </w:r>
      <w:r>
        <w:rPr>
          <w:rFonts w:hint="eastAsia" w:ascii="仿宋" w:hAnsi="仿宋" w:eastAsia="仿宋" w:cs="仿宋"/>
          <w:sz w:val="28"/>
          <w:szCs w:val="28"/>
        </w:rP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_Toc14729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_Toc11269 </w:instrText>
      </w:r>
      <w:r>
        <w:rPr>
          <w:rFonts w:hint="eastAsia" w:ascii="仿宋" w:hAnsi="仿宋" w:eastAsia="仿宋" w:cs="仿宋"/>
          <w:sz w:val="28"/>
          <w:szCs w:val="28"/>
        </w:rP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_Toc11269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_Toc31032 </w:instrText>
      </w:r>
      <w:r>
        <w:rPr>
          <w:rFonts w:hint="eastAsia" w:ascii="仿宋" w:hAnsi="仿宋" w:eastAsia="仿宋" w:cs="仿宋"/>
          <w:sz w:val="28"/>
          <w:szCs w:val="28"/>
        </w:rPr>
        <w:fldChar w:fldCharType="separate"/>
      </w:r>
      <w:r>
        <w:rPr>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_Toc31032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outlineLvl w:val="9"/>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_Toc27994 </w:instrText>
      </w:r>
      <w:r>
        <w:rPr>
          <w:rFonts w:hint="eastAsia" w:ascii="仿宋" w:hAnsi="仿宋" w:eastAsia="仿宋" w:cs="仿宋"/>
          <w:sz w:val="28"/>
          <w:szCs w:val="28"/>
        </w:rPr>
        <w:fldChar w:fldCharType="separate"/>
      </w:r>
      <w:r>
        <w:rPr>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_Toc27994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_Toc18238 </w:instrText>
      </w:r>
      <w:r>
        <w:rPr>
          <w:rFonts w:hint="eastAsia" w:ascii="仿宋" w:hAnsi="仿宋" w:eastAsia="仿宋" w:cs="仿宋"/>
          <w:sz w:val="28"/>
          <w:szCs w:val="28"/>
        </w:rPr>
        <w:fldChar w:fldCharType="separate"/>
      </w:r>
      <w:r>
        <w:rPr>
          <w:rFonts w:hint="eastAsia" w:ascii="仿宋" w:hAnsi="仿宋" w:eastAsia="仿宋" w:cs="仿宋"/>
          <w:sz w:val="28"/>
          <w:szCs w:val="28"/>
        </w:rPr>
        <w:t>七、办理情形及条件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_Toc18238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_Toc24204 </w:instrText>
      </w:r>
      <w:r>
        <w:rPr>
          <w:rFonts w:hint="eastAsia" w:ascii="仿宋" w:hAnsi="仿宋" w:eastAsia="仿宋" w:cs="仿宋"/>
          <w:sz w:val="28"/>
          <w:szCs w:val="28"/>
        </w:rPr>
        <w:fldChar w:fldCharType="separate"/>
      </w:r>
      <w:r>
        <w:rPr>
          <w:rFonts w:hint="eastAsia" w:ascii="仿宋" w:hAnsi="仿宋" w:eastAsia="仿宋" w:cs="仿宋"/>
          <w:sz w:val="28"/>
          <w:szCs w:val="28"/>
        </w:rPr>
        <w:t>八、不予受理情形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_Toc24204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_Toc12700 </w:instrText>
      </w:r>
      <w:r>
        <w:rPr>
          <w:rFonts w:hint="eastAsia" w:ascii="仿宋" w:hAnsi="仿宋" w:eastAsia="仿宋" w:cs="仿宋"/>
          <w:sz w:val="28"/>
          <w:szCs w:val="28"/>
        </w:rPr>
        <w:fldChar w:fldCharType="separate"/>
      </w:r>
      <w:r>
        <w:rPr>
          <w:rFonts w:hint="eastAsia" w:ascii="仿宋" w:hAnsi="仿宋" w:eastAsia="仿宋" w:cs="仿宋"/>
          <w:sz w:val="28"/>
          <w:szCs w:val="28"/>
        </w:rPr>
        <w:t>九、申请材料清单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_Toc12700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_Toc15668 </w:instrText>
      </w:r>
      <w:r>
        <w:rPr>
          <w:rFonts w:hint="eastAsia" w:ascii="仿宋" w:hAnsi="仿宋" w:eastAsia="仿宋" w:cs="仿宋"/>
          <w:sz w:val="28"/>
          <w:szCs w:val="28"/>
        </w:rPr>
        <w:fldChar w:fldCharType="separate"/>
      </w:r>
      <w:r>
        <w:rPr>
          <w:rFonts w:hint="eastAsia" w:ascii="仿宋" w:hAnsi="仿宋" w:eastAsia="仿宋" w:cs="仿宋"/>
          <w:sz w:val="28"/>
          <w:szCs w:val="28"/>
        </w:rPr>
        <w:t>十、申请接收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_Toc15668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_Toc19351 </w:instrText>
      </w:r>
      <w:r>
        <w:rPr>
          <w:rFonts w:hint="eastAsia" w:ascii="仿宋" w:hAnsi="仿宋" w:eastAsia="仿宋" w:cs="仿宋"/>
          <w:sz w:val="28"/>
          <w:szCs w:val="28"/>
        </w:rPr>
        <w:fldChar w:fldCharType="separate"/>
      </w:r>
      <w:r>
        <w:rPr>
          <w:rFonts w:hint="eastAsia" w:ascii="仿宋" w:hAnsi="仿宋" w:eastAsia="仿宋" w:cs="仿宋"/>
          <w:sz w:val="28"/>
          <w:szCs w:val="28"/>
        </w:rPr>
        <w:t>十一、办理流程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_Toc19351 \h </w:instrText>
      </w:r>
      <w:r>
        <w:rPr>
          <w:rFonts w:hint="eastAsia" w:ascii="仿宋" w:hAnsi="仿宋" w:eastAsia="仿宋" w:cs="仿宋"/>
          <w:sz w:val="28"/>
          <w:szCs w:val="28"/>
        </w:rPr>
        <w:fldChar w:fldCharType="separate"/>
      </w:r>
      <w:r>
        <w:rPr>
          <w:rFonts w:hint="eastAsia" w:ascii="仿宋" w:hAnsi="仿宋" w:eastAsia="仿宋" w:cs="仿宋"/>
          <w:sz w:val="28"/>
          <w:szCs w:val="28"/>
        </w:rPr>
        <w:t>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_Toc11887 </w:instrText>
      </w:r>
      <w:r>
        <w:rPr>
          <w:rFonts w:hint="eastAsia" w:ascii="仿宋" w:hAnsi="仿宋" w:eastAsia="仿宋" w:cs="仿宋"/>
          <w:sz w:val="28"/>
          <w:szCs w:val="28"/>
        </w:rPr>
        <w:fldChar w:fldCharType="separate"/>
      </w:r>
      <w:r>
        <w:rPr>
          <w:rFonts w:hint="eastAsia" w:ascii="仿宋" w:hAnsi="仿宋" w:eastAsia="仿宋" w:cs="仿宋"/>
          <w:sz w:val="28"/>
          <w:szCs w:val="28"/>
        </w:rPr>
        <w:t>十二、办理结果及送达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_Toc11887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_Toc13435 </w:instrText>
      </w:r>
      <w:r>
        <w:rPr>
          <w:rFonts w:hint="eastAsia" w:ascii="仿宋" w:hAnsi="仿宋" w:eastAsia="仿宋" w:cs="仿宋"/>
          <w:sz w:val="28"/>
          <w:szCs w:val="28"/>
        </w:rPr>
        <w:fldChar w:fldCharType="separate"/>
      </w:r>
      <w:r>
        <w:rPr>
          <w:rFonts w:hint="eastAsia" w:ascii="仿宋" w:hAnsi="仿宋" w:eastAsia="仿宋" w:cs="仿宋"/>
          <w:sz w:val="28"/>
          <w:szCs w:val="28"/>
        </w:rPr>
        <w:t>十三、咨询途径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_Toc13435 \h </w:instrText>
      </w:r>
      <w:r>
        <w:rPr>
          <w:rFonts w:hint="eastAsia" w:ascii="仿宋" w:hAnsi="仿宋" w:eastAsia="仿宋" w:cs="仿宋"/>
          <w:sz w:val="28"/>
          <w:szCs w:val="28"/>
        </w:rPr>
        <w:fldChar w:fldCharType="separate"/>
      </w:r>
      <w:r>
        <w:rPr>
          <w:rFonts w:hint="eastAsia" w:ascii="仿宋" w:hAnsi="仿宋" w:eastAsia="仿宋" w:cs="仿宋"/>
          <w:sz w:val="28"/>
          <w:szCs w:val="28"/>
        </w:rPr>
        <w:t>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pageBreakBefore w:val="0"/>
        <w:widowControl w:val="0"/>
        <w:tabs>
          <w:tab w:val="right" w:leader="dot" w:pos="8306"/>
        </w:tabs>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_Toc27041 </w:instrText>
      </w:r>
      <w:r>
        <w:rPr>
          <w:rFonts w:hint="eastAsia" w:ascii="仿宋" w:hAnsi="仿宋" w:eastAsia="仿宋" w:cs="仿宋"/>
          <w:sz w:val="28"/>
          <w:szCs w:val="28"/>
        </w:rPr>
        <w:fldChar w:fldCharType="separate"/>
      </w:r>
      <w:r>
        <w:rPr>
          <w:rFonts w:hint="eastAsia" w:ascii="仿宋" w:hAnsi="仿宋" w:eastAsia="仿宋" w:cs="仿宋"/>
          <w:sz w:val="28"/>
          <w:szCs w:val="28"/>
        </w:rPr>
        <w:t>十四、办理地点和时间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_Toc27041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sz w:val="24"/>
        </w:rPr>
      </w:pPr>
      <w:r>
        <w:rPr>
          <w:rFonts w:hint="eastAsia" w:ascii="仿宋" w:hAnsi="仿宋" w:eastAsia="仿宋" w:cs="仿宋"/>
          <w:sz w:val="28"/>
          <w:szCs w:val="28"/>
        </w:rPr>
        <w:fldChar w:fldCharType="end"/>
      </w:r>
      <w:bookmarkStart w:id="0" w:name="_Toc53666991"/>
    </w:p>
    <w:p>
      <w:pPr>
        <w:pStyle w:val="3"/>
        <w:spacing w:line="300" w:lineRule="exact"/>
        <w:rPr>
          <w:rFonts w:asciiTheme="minorEastAsia" w:hAnsiTheme="minorEastAsia"/>
          <w:sz w:val="24"/>
        </w:rPr>
      </w:pPr>
    </w:p>
    <w:p>
      <w:pPr>
        <w:rPr>
          <w:rFonts w:asciiTheme="minorEastAsia" w:hAnsiTheme="minorEastAsia"/>
          <w:sz w:val="24"/>
        </w:rPr>
      </w:pPr>
      <w:r>
        <w:rPr>
          <w:rFonts w:asciiTheme="minorEastAsia" w:hAnsiTheme="minorEastAsia"/>
          <w:sz w:val="24"/>
        </w:rPr>
        <w:br w:type="page"/>
      </w:r>
    </w:p>
    <w:p>
      <w:pPr>
        <w:pStyle w:val="3"/>
        <w:ind w:firstLine="640" w:firstLineChars="200"/>
      </w:pPr>
      <w:bookmarkStart w:id="1" w:name="_Toc11274"/>
      <w:r>
        <w:rPr>
          <w:rFonts w:hint="eastAsia"/>
        </w:rPr>
        <w:t>一、事项名称</w:t>
      </w:r>
      <w:bookmarkEnd w:id="0"/>
      <w:bookmarkEnd w:id="1"/>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上市公司发行股份购买资产申请</w:t>
      </w:r>
    </w:p>
    <w:p>
      <w:pPr>
        <w:spacing w:line="560" w:lineRule="exact"/>
        <w:ind w:firstLine="640" w:firstLineChars="200"/>
        <w:rPr>
          <w:rFonts w:ascii="仿宋" w:hAnsi="仿宋" w:eastAsia="仿宋"/>
          <w:sz w:val="32"/>
          <w:szCs w:val="32"/>
        </w:rPr>
      </w:pPr>
    </w:p>
    <w:p>
      <w:pPr>
        <w:pStyle w:val="3"/>
        <w:ind w:firstLine="640" w:firstLineChars="200"/>
      </w:pPr>
      <w:bookmarkStart w:id="2" w:name="_Toc53666992"/>
      <w:bookmarkStart w:id="3" w:name="_Toc28060"/>
      <w:r>
        <w:rPr>
          <w:rFonts w:hint="eastAsia"/>
        </w:rPr>
        <w:t>二、规则依据</w:t>
      </w:r>
      <w:bookmarkEnd w:id="2"/>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《上市公司重大资产重组管理办法》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《上市公司证券发行注册管理办法》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《证券发行上市保荐业务管理办法》</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《上市公司并购重组财务顾问业务管理办法》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《优先股试点管理办法》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《公开发行证券的公司信息披露内容与格式准则第26 号——上市公司重大资产重组》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《深圳证券交易所上市公司重大资产重组审核规则》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《深圳证券交易所上市审核委员会和并购重组审核委员会管理办法》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《深圳证券交易所行业咨询专家库工作规则》</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《深圳证券交易所股票发行上市审核业务指引第1号——申请文件受理》</w:t>
      </w:r>
    </w:p>
    <w:p>
      <w:pPr>
        <w:spacing w:line="560" w:lineRule="exact"/>
        <w:ind w:firstLine="640" w:firstLineChars="200"/>
        <w:rPr>
          <w:rFonts w:ascii="仿宋" w:hAnsi="仿宋" w:eastAsia="仿宋"/>
          <w:sz w:val="32"/>
          <w:szCs w:val="32"/>
        </w:rPr>
      </w:pPr>
    </w:p>
    <w:p>
      <w:pPr>
        <w:pStyle w:val="3"/>
        <w:ind w:firstLine="640" w:firstLineChars="200"/>
      </w:pPr>
      <w:bookmarkStart w:id="4" w:name="_Toc53666993"/>
      <w:bookmarkStart w:id="5" w:name="_Toc14729"/>
      <w:r>
        <w:rPr>
          <w:rFonts w:hint="eastAsia"/>
        </w:rPr>
        <w:t>三、受理部门</w:t>
      </w:r>
      <w:bookmarkEnd w:id="4"/>
      <w:bookmarkEnd w:id="5"/>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深圳证券交易所上市审核中心</w:t>
      </w:r>
    </w:p>
    <w:p>
      <w:pPr>
        <w:spacing w:line="560" w:lineRule="exact"/>
        <w:ind w:firstLine="640" w:firstLineChars="200"/>
        <w:rPr>
          <w:rFonts w:ascii="仿宋" w:hAnsi="仿宋" w:eastAsia="仿宋"/>
          <w:sz w:val="32"/>
          <w:szCs w:val="32"/>
        </w:rPr>
      </w:pPr>
    </w:p>
    <w:p>
      <w:pPr>
        <w:pStyle w:val="3"/>
        <w:ind w:firstLine="640" w:firstLineChars="200"/>
      </w:pPr>
      <w:bookmarkStart w:id="6" w:name="_Toc11269"/>
      <w:bookmarkStart w:id="7" w:name="_Toc53666994"/>
      <w:r>
        <w:rPr>
          <w:rFonts w:hint="eastAsia"/>
        </w:rPr>
        <w:t>四、办理部门</w:t>
      </w:r>
      <w:bookmarkEnd w:id="6"/>
      <w:bookmarkEnd w:id="7"/>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深圳证券交易所上市审核中心</w:t>
      </w:r>
    </w:p>
    <w:p>
      <w:pPr>
        <w:spacing w:line="560" w:lineRule="exact"/>
        <w:ind w:firstLine="640" w:firstLineChars="200"/>
        <w:rPr>
          <w:rFonts w:ascii="黑体" w:hAnsi="黑体" w:eastAsia="黑体"/>
          <w:sz w:val="32"/>
          <w:szCs w:val="32"/>
        </w:rPr>
      </w:pPr>
    </w:p>
    <w:p>
      <w:pPr>
        <w:pStyle w:val="3"/>
        <w:ind w:firstLine="640" w:firstLineChars="200"/>
      </w:pPr>
      <w:bookmarkStart w:id="8" w:name="_Toc31032"/>
      <w:bookmarkStart w:id="9" w:name="_Toc53666995"/>
      <w:r>
        <w:rPr>
          <w:rFonts w:hint="eastAsia"/>
        </w:rPr>
        <w:t>五、收费标准及依据</w:t>
      </w:r>
      <w:bookmarkEnd w:id="8"/>
      <w:bookmarkEnd w:id="9"/>
    </w:p>
    <w:p>
      <w:pPr>
        <w:spacing w:line="560" w:lineRule="exact"/>
        <w:ind w:firstLine="640" w:firstLineChars="200"/>
        <w:rPr>
          <w:rFonts w:ascii="仿宋" w:hAnsi="仿宋" w:eastAsia="仿宋"/>
          <w:sz w:val="32"/>
          <w:szCs w:val="32"/>
        </w:rPr>
      </w:pPr>
      <w:r>
        <w:rPr>
          <w:rFonts w:hint="eastAsia" w:ascii="仿宋" w:hAnsi="仿宋" w:eastAsia="仿宋"/>
          <w:sz w:val="32"/>
          <w:szCs w:val="32"/>
        </w:rPr>
        <w:t>不收费</w:t>
      </w:r>
    </w:p>
    <w:p>
      <w:pPr>
        <w:spacing w:line="560" w:lineRule="exact"/>
        <w:ind w:firstLine="640" w:firstLineChars="200"/>
        <w:rPr>
          <w:rFonts w:ascii="仿宋" w:hAnsi="仿宋" w:eastAsia="仿宋"/>
          <w:sz w:val="32"/>
          <w:szCs w:val="32"/>
        </w:rPr>
      </w:pPr>
    </w:p>
    <w:p>
      <w:pPr>
        <w:pStyle w:val="3"/>
        <w:ind w:firstLine="640" w:firstLineChars="200"/>
      </w:pPr>
      <w:bookmarkStart w:id="10" w:name="_Toc53666998"/>
      <w:bookmarkStart w:id="11" w:name="_Toc27994"/>
      <w:r>
        <w:rPr>
          <w:rFonts w:hint="eastAsia"/>
        </w:rPr>
        <w:t>六、办理时限</w:t>
      </w:r>
      <w:bookmarkEnd w:id="10"/>
      <w:bookmarkEnd w:id="11"/>
    </w:p>
    <w:p>
      <w:pPr>
        <w:pStyle w:val="4"/>
        <w:ind w:firstLine="643" w:firstLineChars="200"/>
      </w:pPr>
      <w:bookmarkStart w:id="12" w:name="_Toc24753"/>
      <w:r>
        <w:rPr>
          <w:rFonts w:hint="eastAsia"/>
        </w:rPr>
        <w:t>（一）受理时限</w:t>
      </w:r>
      <w:bookmarkEnd w:id="12"/>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收到申请文件后五个工作日内，对文件进行核对，作出是否受理的决定。申请文件与中国证监会及本所规定的文件目录不相符、文档名称与文档内容不相符、文档格式不符合本所要求、签章不完整或者不清晰、文档无法打开或者存在本所认定的其他不齐备情形的，上市公司应当予以补正，补正时限最长不超过三十个工作日。上市公司在三十个工作日内提交补正申请文件确有困难的，可以提交延期补正的书面申请，并说明理由；经本所认可的，可适当延期。</w:t>
      </w:r>
    </w:p>
    <w:p>
      <w:pPr>
        <w:pStyle w:val="4"/>
        <w:ind w:firstLine="643" w:firstLineChars="200"/>
        <w:rPr>
          <w:rFonts w:ascii="仿宋" w:hAnsi="仿宋"/>
        </w:rPr>
      </w:pPr>
      <w:bookmarkStart w:id="13" w:name="_Toc11944"/>
      <w:r>
        <w:rPr>
          <w:rFonts w:hint="eastAsia" w:ascii="仿宋" w:hAnsi="仿宋"/>
        </w:rPr>
        <w:t>（二）审核时限</w:t>
      </w:r>
      <w:bookmarkEnd w:id="13"/>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申请发行股份购买资产不构成重组上市的，本所自受理申请文件之日起两个月内出具本次交易符合重组条件和信息披露要求的审核意见，或者作出终止审核的决定，本所审核和中国证监会注册的时间总计不超过三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申请发行股份购买资产构成重组上市的，本所自受理申请文件之日起在规定的时限内出具本次交易符合重组条件和信息披露要求的审核意见，或者作出终止审核的决定，本所审核和中国证监会注册的时间总计不超过三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按规定应当扣除的时间不计算在前述审核时限内。</w:t>
      </w:r>
    </w:p>
    <w:p>
      <w:pPr>
        <w:pStyle w:val="3"/>
        <w:ind w:firstLine="640" w:firstLineChars="200"/>
      </w:pPr>
      <w:bookmarkStart w:id="14" w:name="_Toc53666999"/>
      <w:bookmarkStart w:id="15" w:name="_Toc18238"/>
      <w:r>
        <w:rPr>
          <w:rFonts w:hint="eastAsia"/>
        </w:rPr>
        <w:t>七、办理情形及条件</w:t>
      </w:r>
      <w:bookmarkEnd w:id="14"/>
      <w:bookmarkEnd w:id="15"/>
    </w:p>
    <w:p>
      <w:pPr>
        <w:pStyle w:val="4"/>
        <w:ind w:firstLine="643" w:firstLineChars="200"/>
        <w:rPr>
          <w:rFonts w:ascii="仿宋" w:hAnsi="仿宋"/>
        </w:rPr>
      </w:pPr>
      <w:bookmarkStart w:id="16" w:name="_Toc18105"/>
      <w:bookmarkStart w:id="17" w:name="_Toc53667000"/>
      <w:r>
        <w:rPr>
          <w:rFonts w:hint="eastAsia" w:ascii="仿宋" w:hAnsi="仿宋"/>
        </w:rPr>
        <w:t>（一）上市公司发行股份（含可转换为股票的公司债券、优先股等证券）购买资产</w:t>
      </w:r>
      <w:bookmarkEnd w:id="16"/>
      <w:bookmarkEnd w:id="17"/>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1. 办理情形</w:t>
      </w:r>
    </w:p>
    <w:p>
      <w:pPr>
        <w:adjustRightInd w:val="0"/>
        <w:snapToGrid w:val="0"/>
        <w:spacing w:line="560" w:lineRule="exact"/>
        <w:ind w:firstLine="640" w:firstLineChars="200"/>
        <w:rPr>
          <w:rFonts w:ascii="仿宋" w:hAnsi="仿宋"/>
          <w:sz w:val="32"/>
        </w:rPr>
      </w:pPr>
      <w:r>
        <w:rPr>
          <w:rFonts w:hint="eastAsia" w:ascii="仿宋" w:hAnsi="仿宋" w:eastAsia="仿宋"/>
          <w:sz w:val="32"/>
          <w:szCs w:val="32"/>
        </w:rPr>
        <w:t>上市公司发行股份购买资产应当符合《上市公司重大资产重组管理办法》（以下简称《重组办法》）《深圳证券交易所上市公司重大资产重组审核规则》（以下简称《重组审核规则》）等法律法规的规定。除发行股份购买资产以外，上市公司还可以发行优先股、可转换为股票的公司债券、定向权证、存托凭证等用于购买资产。</w:t>
      </w:r>
    </w:p>
    <w:p>
      <w:pPr>
        <w:numPr>
          <w:ilvl w:val="0"/>
          <w:numId w:val="1"/>
        </w:num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办理条件</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bCs w:val="0"/>
          <w:sz w:val="32"/>
          <w:szCs w:val="32"/>
          <w:lang w:eastAsia="zh-CN"/>
        </w:rPr>
        <w:t>根据</w:t>
      </w:r>
      <w:r>
        <w:rPr>
          <w:rFonts w:hint="eastAsia" w:ascii="仿宋" w:hAnsi="仿宋" w:eastAsia="仿宋"/>
          <w:b/>
          <w:bCs w:val="0"/>
          <w:sz w:val="32"/>
          <w:szCs w:val="32"/>
        </w:rPr>
        <w:t>《重组办法》</w:t>
      </w:r>
      <w:r>
        <w:rPr>
          <w:rFonts w:hint="eastAsia" w:ascii="仿宋" w:hAnsi="仿宋" w:eastAsia="仿宋"/>
          <w:b/>
          <w:bCs w:val="0"/>
          <w:sz w:val="32"/>
          <w:szCs w:val="32"/>
          <w:lang w:eastAsia="zh-CN"/>
        </w:rPr>
        <w:t>第四十三条，</w:t>
      </w:r>
      <w:r>
        <w:rPr>
          <w:rFonts w:hint="eastAsia" w:ascii="仿宋" w:hAnsi="仿宋" w:eastAsia="仿宋"/>
          <w:sz w:val="32"/>
          <w:szCs w:val="32"/>
        </w:rPr>
        <w:t>上市公司发行股份购买资产，应当符合下列规定：</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充分说明并披露本次交易有利于提高上市公司资产质量、改善财务状况和增强持续经营能力，有利于上市公司减少关联交易、避免同业竞争、增强独立性；</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上市公司最近一年及一期财务会计报告被会计师事务所出具无保留意见审计报告；被出具保留意见、否定意见或者无法表示意见的审计报告的，须经会计师事务所专项核查确认，该保留意见、否定意见或者无法表示意见所涉及事项的重大影响已经消除或者将通过本次交易予以消除；</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上市公司及其现任董事、高级管理人员不存在因涉嫌犯罪正被司法机关立案侦查或涉嫌违法违规正被中国证监会立案调查的情形。但是，涉嫌犯罪或违法违规的行为已经终止满三年，交易方案有助于消除该行为可能造成的不良后果，且不影响对相关行为人追究责任的除外；</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充分说明并披露上市公司发行股份所购买的资产为权属清晰的经营性资产，并能在约定期限内办理完毕权属转移手续；</w:t>
      </w:r>
    </w:p>
    <w:p>
      <w:pPr>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中国证监会规定的其他条件。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为促进行业的整合、转型升级，在其控制权不发生变更的情况下，可以向控股股东、实际控制人或者其控制的关联人之外的特定对象发行股份购买资产。所购买资产与现有主营业务没有显著协同效应的，应当充分说明并披露本次交易后的经营发展战略和业务管理模式，以及业务转型升级可能面临的风险和应对措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特定对象以现金或者资产认购上市公司发行的股份后，上市公司用同一次发行所募集的资金向该特定对象购买资产的，视同上市公司发行股份购买资产。</w:t>
      </w:r>
    </w:p>
    <w:p>
      <w:pPr>
        <w:spacing w:line="560" w:lineRule="exact"/>
        <w:ind w:firstLine="643" w:firstLineChars="200"/>
        <w:rPr>
          <w:rFonts w:ascii="仿宋" w:hAnsi="仿宋" w:eastAsia="仿宋"/>
          <w:sz w:val="32"/>
          <w:szCs w:val="32"/>
        </w:rPr>
      </w:pPr>
      <w:r>
        <w:rPr>
          <w:rFonts w:hint="eastAsia" w:ascii="仿宋" w:hAnsi="仿宋" w:eastAsia="仿宋"/>
          <w:b/>
          <w:bCs w:val="0"/>
          <w:sz w:val="32"/>
          <w:szCs w:val="32"/>
          <w:lang w:eastAsia="zh-CN"/>
        </w:rPr>
        <w:t>根据</w:t>
      </w:r>
      <w:r>
        <w:rPr>
          <w:rFonts w:hint="eastAsia" w:ascii="仿宋" w:hAnsi="仿宋" w:eastAsia="仿宋"/>
          <w:b/>
          <w:bCs w:val="0"/>
          <w:sz w:val="32"/>
          <w:szCs w:val="32"/>
        </w:rPr>
        <w:t>《重组办法》</w:t>
      </w:r>
      <w:r>
        <w:rPr>
          <w:rFonts w:hint="eastAsia" w:ascii="仿宋" w:hAnsi="仿宋" w:eastAsia="仿宋"/>
          <w:b/>
          <w:bCs w:val="0"/>
          <w:sz w:val="32"/>
          <w:szCs w:val="32"/>
          <w:lang w:eastAsia="zh-CN"/>
        </w:rPr>
        <w:t>第</w:t>
      </w:r>
      <w:r>
        <w:rPr>
          <w:rFonts w:hint="eastAsia" w:ascii="仿宋" w:hAnsi="仿宋" w:eastAsia="仿宋"/>
          <w:b/>
          <w:bCs/>
          <w:sz w:val="32"/>
          <w:szCs w:val="32"/>
        </w:rPr>
        <w:t>四十五条</w:t>
      </w:r>
      <w:r>
        <w:rPr>
          <w:rFonts w:hint="eastAsia" w:ascii="仿宋" w:hAnsi="仿宋" w:eastAsia="仿宋"/>
          <w:b/>
          <w:bCs/>
          <w:sz w:val="32"/>
          <w:szCs w:val="32"/>
          <w:lang w:eastAsia="zh-CN"/>
        </w:rPr>
        <w:t>，</w:t>
      </w:r>
      <w:r>
        <w:rPr>
          <w:rFonts w:hint="eastAsia" w:ascii="仿宋" w:hAnsi="仿宋" w:eastAsia="仿宋"/>
          <w:sz w:val="32"/>
          <w:szCs w:val="32"/>
        </w:rPr>
        <w:t>上市公司发行股份的价格不得低于市场参考价的百分之八十。市场参考价为本次发行股份购买资产的董事会决议公告日前二十个交易日、六十个交易日或者一百二十个交易日的公司股票交易均价之一。本次发行股份购买资产的董事会决议应当说明市场参考价的选择依据。</w:t>
      </w:r>
    </w:p>
    <w:p>
      <w:pPr>
        <w:spacing w:line="560" w:lineRule="exact"/>
        <w:ind w:firstLine="643" w:firstLineChars="200"/>
        <w:rPr>
          <w:rFonts w:ascii="仿宋" w:hAnsi="仿宋" w:eastAsia="仿宋"/>
          <w:sz w:val="32"/>
          <w:szCs w:val="32"/>
        </w:rPr>
      </w:pPr>
      <w:r>
        <w:rPr>
          <w:rFonts w:hint="eastAsia" w:ascii="仿宋" w:hAnsi="仿宋" w:eastAsia="仿宋"/>
          <w:b/>
          <w:sz w:val="32"/>
          <w:szCs w:val="32"/>
          <w:lang w:eastAsia="zh-CN"/>
        </w:rPr>
        <w:t>根据</w:t>
      </w:r>
      <w:r>
        <w:rPr>
          <w:rFonts w:hint="eastAsia" w:ascii="仿宋" w:hAnsi="仿宋" w:eastAsia="仿宋"/>
          <w:b/>
          <w:sz w:val="32"/>
          <w:szCs w:val="32"/>
        </w:rPr>
        <w:t>《重组审核规则》</w:t>
      </w:r>
      <w:r>
        <w:rPr>
          <w:rFonts w:hint="eastAsia" w:ascii="仿宋" w:hAnsi="仿宋" w:eastAsia="仿宋"/>
          <w:b/>
          <w:sz w:val="32"/>
          <w:szCs w:val="32"/>
          <w:lang w:eastAsia="zh-CN"/>
        </w:rPr>
        <w:t>第</w:t>
      </w:r>
      <w:r>
        <w:rPr>
          <w:rFonts w:hint="eastAsia" w:ascii="仿宋" w:hAnsi="仿宋" w:eastAsia="仿宋"/>
          <w:b/>
          <w:sz w:val="32"/>
          <w:szCs w:val="32"/>
          <w:lang w:val="en-US" w:eastAsia="zh-CN"/>
        </w:rPr>
        <w:t>八条，</w:t>
      </w:r>
      <w:r>
        <w:rPr>
          <w:rFonts w:hint="eastAsia" w:ascii="仿宋" w:hAnsi="仿宋" w:eastAsia="仿宋"/>
          <w:sz w:val="32"/>
          <w:szCs w:val="32"/>
        </w:rPr>
        <w:t>创业板上市公司实施重大资产重组的，拟购买资产所属行业应当符合创业板定位，或者与上市公司处于同行业或者上下游。</w:t>
      </w:r>
    </w:p>
    <w:p>
      <w:pPr>
        <w:spacing w:line="560" w:lineRule="exact"/>
        <w:ind w:firstLine="643" w:firstLineChars="200"/>
        <w:rPr>
          <w:rFonts w:ascii="仿宋" w:hAnsi="仿宋"/>
          <w:sz w:val="32"/>
        </w:rPr>
      </w:pPr>
      <w:r>
        <w:rPr>
          <w:rFonts w:hint="eastAsia" w:ascii="仿宋" w:hAnsi="仿宋" w:eastAsia="仿宋"/>
          <w:b/>
          <w:bCs w:val="0"/>
          <w:sz w:val="32"/>
          <w:szCs w:val="32"/>
          <w:lang w:eastAsia="zh-CN"/>
        </w:rPr>
        <w:t>根据</w:t>
      </w:r>
      <w:r>
        <w:rPr>
          <w:rFonts w:hint="eastAsia" w:ascii="仿宋" w:hAnsi="仿宋" w:eastAsia="仿宋"/>
          <w:b/>
          <w:bCs w:val="0"/>
          <w:sz w:val="32"/>
          <w:szCs w:val="32"/>
        </w:rPr>
        <w:t>《重组审核规则》第九条</w:t>
      </w:r>
      <w:r>
        <w:rPr>
          <w:rFonts w:hint="eastAsia" w:ascii="仿宋" w:hAnsi="仿宋" w:eastAsia="仿宋"/>
          <w:b/>
          <w:bCs w:val="0"/>
          <w:sz w:val="32"/>
          <w:szCs w:val="32"/>
          <w:lang w:eastAsia="zh-CN"/>
        </w:rPr>
        <w:t>，</w:t>
      </w:r>
      <w:r>
        <w:rPr>
          <w:rFonts w:hint="eastAsia" w:ascii="仿宋" w:hAnsi="仿宋" w:eastAsia="仿宋"/>
          <w:sz w:val="32"/>
          <w:szCs w:val="32"/>
        </w:rPr>
        <w:t>上市公司向特定对象发行可转换为股票的公司债券购买资产的，应当符合《重组办法》及中国证监会关于发行可转换为股票的公司债券购买资产的规定，并可以与特定对象约定转股期、利率及付息方式、赎回、回售、转股价格向下或者向上修正等条款，但转股期起始日距离本次发行结束之日不得少于六个月。</w:t>
      </w:r>
    </w:p>
    <w:p>
      <w:pPr>
        <w:pStyle w:val="4"/>
        <w:ind w:firstLine="643" w:firstLineChars="200"/>
        <w:rPr>
          <w:rFonts w:ascii="仿宋" w:hAnsi="仿宋"/>
        </w:rPr>
      </w:pPr>
      <w:bookmarkStart w:id="18" w:name="_Toc14983"/>
      <w:r>
        <w:rPr>
          <w:rFonts w:hint="eastAsia" w:ascii="仿宋" w:hAnsi="仿宋"/>
        </w:rPr>
        <w:t>（二）发行股份购买资产构成重组上市</w:t>
      </w:r>
      <w:bookmarkEnd w:id="18"/>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1. 办理情形</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lang w:eastAsia="zh-CN"/>
        </w:rPr>
        <w:t>根据</w:t>
      </w:r>
      <w:r>
        <w:rPr>
          <w:rFonts w:hint="eastAsia" w:ascii="仿宋" w:hAnsi="仿宋" w:eastAsia="仿宋"/>
          <w:b/>
          <w:sz w:val="32"/>
          <w:szCs w:val="32"/>
        </w:rPr>
        <w:t>《重组办法》</w:t>
      </w:r>
      <w:r>
        <w:rPr>
          <w:rFonts w:hint="eastAsia" w:ascii="仿宋" w:hAnsi="仿宋" w:eastAsia="仿宋"/>
          <w:b/>
          <w:sz w:val="32"/>
          <w:szCs w:val="32"/>
          <w:lang w:eastAsia="zh-CN"/>
        </w:rPr>
        <w:t>第十三条，</w:t>
      </w:r>
      <w:r>
        <w:rPr>
          <w:rFonts w:hint="eastAsia" w:ascii="仿宋" w:hAnsi="仿宋" w:eastAsia="仿宋"/>
          <w:sz w:val="32"/>
          <w:szCs w:val="32"/>
        </w:rPr>
        <w:t>上市公司自控制权发生变更之日起三十六个月内，向收购人及其关联人购买资产，导致上市公司发生以下根本变化情形之一的，构成</w:t>
      </w:r>
      <w:r>
        <w:rPr>
          <w:rFonts w:hint="eastAsia" w:ascii="仿宋" w:hAnsi="仿宋" w:eastAsia="仿宋"/>
          <w:sz w:val="32"/>
          <w:szCs w:val="32"/>
          <w:lang w:eastAsia="zh-CN"/>
        </w:rPr>
        <w:t>重组上市</w:t>
      </w:r>
      <w:r>
        <w:rPr>
          <w:rFonts w:hint="eastAsia" w:ascii="仿宋" w:hAnsi="仿宋" w:eastAsia="仿宋"/>
          <w:sz w:val="32"/>
          <w:szCs w:val="32"/>
        </w:rPr>
        <w:t>，涉及发行股份的，应当向本所提出申请，报经中国证监会注册：</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购买的资产总额占上市公司控制权发生变更的前一个会计年度经审计的合并财务会计报告期末资产总额的比例达到百分之一百以上；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购买的资产在最近一个会计年度所产生的营业收入占上市公司控制权发生变更的前一个会计年度经审计的合并财务会计报告营业收入的比例达到百分之一百以上；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购买的资产净额占上市公司控制权发生变更的前一个会计年度经审计的合并财务会计报告期末净资产额的比例达到百分之一百以上；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为购买资产发行的股份占上市公司首次向收购人及其关联人购买资产的董事会决议前一个交易日的股份的比例达到百分之一百以上；</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上市公司向收购人及其关联人购买资产虽未达到第（一）至第（四）项标准，但可能导致上市公司主营业务发生根本变化；</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中国证监会认定的可能导致上市公司发生根本变化的其他情形。</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2. 办理条件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上市公司发行股份购买资产构成重组上市的，应当符合《重组办法》《重组审核规则》等法律法规的规定。具体而言，除符合一般的发行股份购买资产的条件外，还应当符合</w:t>
      </w:r>
      <w:r>
        <w:rPr>
          <w:rFonts w:hint="eastAsia" w:ascii="仿宋" w:hAnsi="仿宋" w:eastAsia="仿宋"/>
          <w:sz w:val="32"/>
          <w:szCs w:val="32"/>
          <w:lang w:eastAsia="zh-CN"/>
        </w:rPr>
        <w:t>以下规定</w:t>
      </w:r>
      <w:r>
        <w:rPr>
          <w:rFonts w:hint="eastAsia" w:ascii="仿宋" w:hAnsi="仿宋" w:eastAsia="仿宋"/>
          <w:sz w:val="32"/>
          <w:szCs w:val="32"/>
        </w:rPr>
        <w:t>：</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lang w:eastAsia="zh-CN"/>
        </w:rPr>
        <w:t>根据</w:t>
      </w:r>
      <w:r>
        <w:rPr>
          <w:rFonts w:hint="eastAsia" w:ascii="仿宋" w:hAnsi="仿宋" w:eastAsia="仿宋"/>
          <w:b/>
          <w:sz w:val="32"/>
          <w:szCs w:val="32"/>
        </w:rPr>
        <w:t>《重组办法》</w:t>
      </w:r>
      <w:r>
        <w:rPr>
          <w:rFonts w:hint="eastAsia" w:ascii="仿宋" w:hAnsi="仿宋" w:eastAsia="仿宋"/>
          <w:b/>
          <w:sz w:val="32"/>
          <w:szCs w:val="32"/>
          <w:lang w:eastAsia="zh-CN"/>
        </w:rPr>
        <w:t>第十三条，</w:t>
      </w:r>
      <w:r>
        <w:rPr>
          <w:rFonts w:hint="eastAsia" w:ascii="仿宋" w:hAnsi="仿宋" w:eastAsia="仿宋"/>
          <w:sz w:val="32"/>
          <w:szCs w:val="32"/>
        </w:rPr>
        <w:t>上市公司</w:t>
      </w:r>
      <w:r>
        <w:rPr>
          <w:rFonts w:hint="eastAsia" w:ascii="仿宋" w:hAnsi="仿宋" w:eastAsia="仿宋"/>
          <w:sz w:val="32"/>
          <w:szCs w:val="32"/>
          <w:lang w:eastAsia="zh-CN"/>
        </w:rPr>
        <w:t>发行股份购买资产构成重组上市的</w:t>
      </w:r>
      <w:r>
        <w:rPr>
          <w:rFonts w:hint="eastAsia" w:ascii="仿宋" w:hAnsi="仿宋" w:eastAsia="仿宋"/>
          <w:sz w:val="32"/>
          <w:szCs w:val="32"/>
        </w:rPr>
        <w:t>，应当符合下列规定：</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符合</w:t>
      </w:r>
      <w:r>
        <w:rPr>
          <w:rFonts w:hint="eastAsia" w:ascii="仿宋" w:hAnsi="仿宋" w:eastAsia="仿宋"/>
          <w:b w:val="0"/>
          <w:bCs/>
          <w:sz w:val="32"/>
          <w:szCs w:val="32"/>
        </w:rPr>
        <w:t>《重组办法》</w:t>
      </w:r>
      <w:r>
        <w:rPr>
          <w:rFonts w:hint="eastAsia" w:ascii="仿宋" w:hAnsi="仿宋" w:eastAsia="仿宋"/>
          <w:sz w:val="32"/>
          <w:szCs w:val="32"/>
        </w:rPr>
        <w:t>第十一条、第四十三条规定的要求；</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上市公司购买的资产对应的经营实体应当是股份有限公司或者有限责任公司，且符合《首次公开发行股票注册管理办法》规定的其他发行条件、相关板块定位，以及证券交易所规定的具体条件；</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上市公司及其最近三年内的控股股东、实际控制人不存在因涉嫌犯罪正被司法机关立案侦查或涉嫌违法违规正被中国证监会立案调查的情形。但是，涉嫌犯罪或违法违规的行为已经终止满三年，交易方案能够消除该行为可能造成的不良后果，且不影响对相关行为人追究责任的除外；</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rPr>
        <w:t>上市公司及其控股股东、实际控制人最近十二个月内未受到证券交易所公开谴责，不存在其他重大失信行为；</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本次重大资产重组不存在中国证监会认定的可能损害投资者合法权益，或者违背公开、公平、公正原则的其他情形。</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上市公司自控制权发生变更之日起，向收购人及其关联人购买的资产属于金融、创业投资等特定行业的，由中国证监会另行规定。</w:t>
      </w:r>
    </w:p>
    <w:p>
      <w:pPr>
        <w:adjustRightInd w:val="0"/>
        <w:snapToGrid w:val="0"/>
        <w:spacing w:line="560" w:lineRule="exact"/>
        <w:ind w:firstLine="643" w:firstLineChars="200"/>
        <w:rPr>
          <w:rFonts w:ascii="仿宋" w:hAnsi="仿宋" w:eastAsia="仿宋"/>
          <w:sz w:val="32"/>
          <w:szCs w:val="32"/>
        </w:rPr>
      </w:pPr>
      <w:r>
        <w:rPr>
          <w:rFonts w:hint="eastAsia" w:ascii="仿宋" w:hAnsi="仿宋" w:eastAsia="仿宋"/>
          <w:b/>
          <w:sz w:val="32"/>
          <w:szCs w:val="32"/>
          <w:lang w:eastAsia="zh-CN"/>
        </w:rPr>
        <w:t>根据</w:t>
      </w:r>
      <w:r>
        <w:rPr>
          <w:rFonts w:hint="eastAsia" w:ascii="仿宋" w:hAnsi="仿宋" w:eastAsia="仿宋"/>
          <w:b/>
          <w:sz w:val="32"/>
          <w:szCs w:val="32"/>
        </w:rPr>
        <w:t>《重组审核规则》第十条</w:t>
      </w:r>
      <w:r>
        <w:rPr>
          <w:rFonts w:hint="eastAsia" w:ascii="仿宋" w:hAnsi="仿宋" w:eastAsia="仿宋"/>
          <w:b/>
          <w:sz w:val="32"/>
          <w:szCs w:val="32"/>
          <w:lang w:eastAsia="zh-CN"/>
        </w:rPr>
        <w:t>，</w:t>
      </w:r>
      <w:r>
        <w:rPr>
          <w:rFonts w:hint="eastAsia" w:ascii="仿宋" w:hAnsi="仿宋" w:eastAsia="仿宋"/>
          <w:sz w:val="32"/>
          <w:szCs w:val="32"/>
        </w:rPr>
        <w:t>上市公司实施重组上市的，标的资产对应的经营实体应当是符合《首次公开发行股票注册管理办法》规定的相应发行条件、相关板块定位的股份有限公司或者有限责任公司。</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主板上市公司实施重组上市的，标的资产应当符合下列条件：最近三年净利润均为正，且最近三年净利润累计不低于人民币1.5亿元，最近一年净利润不低于人民币6000万元，最近三年经营活动产生的现金流量净额累计不低于人民币1亿元或者营业收入累计不低于人民币10亿元。</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创业板上市公司实施重组上市的，标的资产应当符合下列条件之一：</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最近两年净利润均为正，且累计净利润不低于人民币5000万元；</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最近一年净利润为正且营业收入不低于人民币1亿元；</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最近一年营业收入不低于人民币3亿元，且最近三年经营活动产生的现金流量净额累计不低于人民币1亿元。</w:t>
      </w:r>
    </w:p>
    <w:p>
      <w:pPr>
        <w:adjustRightInd w:val="0"/>
        <w:snapToGrid w:val="0"/>
        <w:spacing w:line="560" w:lineRule="exact"/>
        <w:ind w:firstLine="643" w:firstLineChars="200"/>
        <w:rPr>
          <w:rFonts w:hint="eastAsia" w:ascii="仿宋" w:hAnsi="仿宋" w:eastAsia="仿宋"/>
          <w:sz w:val="32"/>
          <w:szCs w:val="32"/>
        </w:rPr>
      </w:pPr>
      <w:r>
        <w:rPr>
          <w:rFonts w:hint="eastAsia" w:ascii="仿宋" w:hAnsi="仿宋" w:eastAsia="仿宋"/>
          <w:b/>
          <w:sz w:val="32"/>
          <w:szCs w:val="32"/>
          <w:lang w:eastAsia="zh-CN"/>
        </w:rPr>
        <w:t>根据</w:t>
      </w:r>
      <w:r>
        <w:rPr>
          <w:rFonts w:hint="eastAsia" w:ascii="仿宋" w:hAnsi="仿宋" w:eastAsia="仿宋"/>
          <w:b/>
          <w:sz w:val="32"/>
          <w:szCs w:val="32"/>
        </w:rPr>
        <w:t>《重组审核规则》第十一条</w:t>
      </w:r>
      <w:r>
        <w:rPr>
          <w:rFonts w:hint="eastAsia" w:ascii="仿宋" w:hAnsi="仿宋" w:eastAsia="仿宋"/>
          <w:b/>
          <w:sz w:val="32"/>
          <w:szCs w:val="32"/>
          <w:lang w:eastAsia="zh-CN"/>
        </w:rPr>
        <w:t>，</w:t>
      </w:r>
      <w:r>
        <w:rPr>
          <w:rFonts w:hint="eastAsia" w:ascii="仿宋" w:hAnsi="仿宋" w:eastAsia="仿宋"/>
          <w:sz w:val="32"/>
          <w:szCs w:val="32"/>
        </w:rPr>
        <w:t>上市公司重组上市标的资产对应的经营实体存在表决权差异安排的，除符合《首次公开发行股票注册管理办法》规定的相应发行条件、相关板块定位外，其表决权安排等应当符合《</w:t>
      </w:r>
      <w:r>
        <w:rPr>
          <w:rFonts w:hint="eastAsia" w:ascii="仿宋" w:hAnsi="仿宋" w:eastAsia="仿宋"/>
          <w:sz w:val="32"/>
          <w:szCs w:val="32"/>
          <w:lang w:eastAsia="zh-CN"/>
        </w:rPr>
        <w:t>深圳证券交易所股票</w:t>
      </w:r>
      <w:r>
        <w:rPr>
          <w:rFonts w:hint="eastAsia" w:ascii="仿宋" w:hAnsi="仿宋" w:eastAsia="仿宋"/>
          <w:sz w:val="32"/>
          <w:szCs w:val="32"/>
        </w:rPr>
        <w:t>上市规则》</w:t>
      </w:r>
      <w:bookmarkStart w:id="45" w:name="_GoBack"/>
      <w:bookmarkEnd w:id="45"/>
      <w:r>
        <w:rPr>
          <w:rFonts w:hint="eastAsia" w:ascii="仿宋" w:hAnsi="仿宋" w:eastAsia="仿宋"/>
          <w:sz w:val="32"/>
          <w:szCs w:val="32"/>
        </w:rPr>
        <w:t>等规则的规定。</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主板上市公司重组上市标的资产对应的经营实体存在表决权差异安排的，应当符合下列条件：最近一年营业收入不低于人民币10亿元，最近三年净利润均为正且累计不低于人民币1.5亿元，最近一年净利润不低于人民币6000万元。 </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创业板上市公司重组上市标的资产对应的经营实体存在表决权差异安排的，应当符合下列条件之一：</w:t>
      </w:r>
    </w:p>
    <w:p>
      <w:pPr>
        <w:adjustRightInd w:val="0"/>
        <w:snapToGrid w:val="0"/>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最近一年营业收入不低于人民币5亿元，且最近两年净利润均为正且累计不低于人民币5000万元；</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rPr>
        <w:t>最近一年营业收入不低于人民币5亿元，且最近三年经营活动产生的现金流量净额累计不低于人民币1亿元。</w:t>
      </w:r>
    </w:p>
    <w:p>
      <w:pPr>
        <w:adjustRightInd w:val="0"/>
        <w:snapToGrid w:val="0"/>
        <w:spacing w:line="560" w:lineRule="exact"/>
        <w:ind w:firstLine="420" w:firstLineChars="200"/>
      </w:pPr>
    </w:p>
    <w:p>
      <w:pPr>
        <w:pStyle w:val="3"/>
        <w:ind w:firstLine="640" w:firstLineChars="200"/>
      </w:pPr>
      <w:bookmarkStart w:id="19" w:name="_Toc24204"/>
      <w:bookmarkStart w:id="20" w:name="_Toc53667002"/>
      <w:r>
        <w:rPr>
          <w:rFonts w:hint="eastAsia"/>
        </w:rPr>
        <w:t>八、不予受理情形</w:t>
      </w:r>
      <w:bookmarkEnd w:id="19"/>
      <w:bookmarkEnd w:id="20"/>
    </w:p>
    <w:p>
      <w:pPr>
        <w:spacing w:line="560" w:lineRule="exact"/>
        <w:ind w:firstLine="643" w:firstLineChars="200"/>
        <w:rPr>
          <w:rFonts w:ascii="仿宋" w:hAnsi="仿宋" w:eastAsia="仿宋"/>
          <w:sz w:val="32"/>
          <w:szCs w:val="32"/>
        </w:rPr>
      </w:pPr>
      <w:r>
        <w:rPr>
          <w:rFonts w:hint="eastAsia" w:ascii="仿宋" w:hAnsi="仿宋" w:eastAsia="仿宋"/>
          <w:b/>
          <w:sz w:val="32"/>
          <w:szCs w:val="32"/>
        </w:rPr>
        <w:t>根据《重组审核规则》第三十一条规定，</w:t>
      </w:r>
      <w:r>
        <w:rPr>
          <w:rFonts w:hint="eastAsia" w:ascii="仿宋" w:hAnsi="仿宋" w:eastAsia="仿宋"/>
          <w:sz w:val="32"/>
          <w:szCs w:val="32"/>
        </w:rPr>
        <w:t>存在下列情形之一的，本所不予受理申请文件：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（一）重大资产重组报告书、独立财务顾问报告、法律意见书、财务报告、审计报告及资产评估报告或者估值报告等申请文件不齐备且未按要求补正；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上市公司及其控股股东、实际控制人、董事、监事、高级管理人员，独立财务顾问、证券服务机构及其相关人员因证券违法违规被中国证监会采取认定为不适当人选、限制业务活动、证券市场禁入，被证券交易所、国务院批准的其他全国性证券交易场所采取一定期限内不接受其出具的相关文件、公开认定不适合担任上市公司董事、监事、高级管理人员，或者被证券业协会采取认定不适合从事相关业务等相关措施，尚未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（三）本次交易涉嫌内幕交易被中国证监会立案调查或者被司法机关立案侦查，尚未结案，但中国证监会另有规定的除外；</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（四）法律、行政法规及中国证监会规定的其他情形。</w:t>
      </w:r>
    </w:p>
    <w:p>
      <w:pPr>
        <w:spacing w:line="560" w:lineRule="exact"/>
        <w:ind w:firstLine="640" w:firstLineChars="200"/>
        <w:rPr>
          <w:rFonts w:ascii="仿宋" w:hAnsi="仿宋" w:eastAsia="仿宋"/>
          <w:sz w:val="32"/>
          <w:szCs w:val="32"/>
        </w:rPr>
      </w:pPr>
    </w:p>
    <w:p>
      <w:pPr>
        <w:pStyle w:val="3"/>
        <w:ind w:firstLine="640" w:firstLineChars="200"/>
      </w:pPr>
      <w:bookmarkStart w:id="21" w:name="_Toc12700"/>
      <w:bookmarkStart w:id="22" w:name="_Toc53667003"/>
      <w:r>
        <w:rPr>
          <w:rFonts w:hint="eastAsia"/>
        </w:rPr>
        <w:t>九、申请材料清单</w:t>
      </w:r>
      <w:bookmarkEnd w:id="21"/>
      <w:bookmarkEnd w:id="22"/>
    </w:p>
    <w:p>
      <w:pPr>
        <w:pStyle w:val="4"/>
        <w:ind w:firstLine="643" w:firstLineChars="200"/>
        <w:rPr>
          <w:rFonts w:ascii="仿宋" w:hAnsi="仿宋"/>
        </w:rPr>
      </w:pPr>
      <w:bookmarkStart w:id="23" w:name="_Toc707"/>
      <w:r>
        <w:rPr>
          <w:rFonts w:hint="eastAsia" w:ascii="仿宋" w:hAnsi="仿宋"/>
        </w:rPr>
        <w:t>（一）上市公司发行股份（含可转换为股票的公司债券、优先股等证券）购买资产</w:t>
      </w:r>
      <w:bookmarkEnd w:id="23"/>
    </w:p>
    <w:p>
      <w:pPr>
        <w:spacing w:line="560" w:lineRule="exact"/>
        <w:ind w:firstLine="643" w:firstLineChars="200"/>
        <w:rPr>
          <w:rFonts w:ascii="仿宋" w:hAnsi="仿宋" w:eastAsia="仿宋"/>
          <w:b/>
          <w:sz w:val="32"/>
          <w:szCs w:val="32"/>
        </w:rPr>
      </w:pPr>
      <w:r>
        <w:rPr>
          <w:rFonts w:hint="eastAsia" w:ascii="仿宋" w:hAnsi="仿宋" w:eastAsia="仿宋" w:cs="仿宋"/>
          <w:b/>
          <w:sz w:val="32"/>
          <w:szCs w:val="32"/>
        </w:rPr>
        <w:t xml:space="preserve">1. </w:t>
      </w:r>
      <w:r>
        <w:rPr>
          <w:rFonts w:hint="eastAsia" w:ascii="仿宋" w:hAnsi="仿宋" w:eastAsia="仿宋" w:cs="仿宋"/>
          <w:b/>
          <w:sz w:val="32"/>
        </w:rPr>
        <w:t>重大资产重组</w:t>
      </w:r>
      <w:r>
        <w:rPr>
          <w:rFonts w:hint="eastAsia" w:ascii="仿宋" w:hAnsi="仿宋" w:eastAsia="仿宋" w:cs="仿宋"/>
          <w:b/>
          <w:sz w:val="32"/>
          <w:szCs w:val="32"/>
        </w:rPr>
        <w:t>基</w:t>
      </w:r>
      <w:r>
        <w:rPr>
          <w:rFonts w:hint="eastAsia" w:ascii="仿宋" w:hAnsi="仿宋" w:eastAsia="仿宋"/>
          <w:b/>
          <w:sz w:val="32"/>
          <w:szCs w:val="32"/>
        </w:rPr>
        <w:t>本信息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重大资产重组申请文件目录及交易各方和中介机构联系表（包含上市公司及其控股股东、实际控制人、董事、监事和高级管理人员，构成收购人的交易对方，以及独立财务顾问、律师事务所、会计师事务所、资产评估机构、估值机构等证券服务机构及其签字人员的名单，包括名称/姓名、组织机构代码、统一社会信用代码/公民身份证号码或其他身份信息、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1-2并购重组方案概况表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1-3关于电子文件与原始纸质文件一致的承诺函及律师事务所鉴证意见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1-4关于本次重大资产重组申请文件不适用内容的说明</w:t>
      </w:r>
    </w:p>
    <w:p>
      <w:pPr>
        <w:numPr>
          <w:ilvl w:val="0"/>
          <w:numId w:val="2"/>
        </w:numPr>
        <w:spacing w:line="560" w:lineRule="exact"/>
        <w:ind w:firstLine="643" w:firstLineChars="200"/>
        <w:rPr>
          <w:rFonts w:ascii="仿宋" w:hAnsi="仿宋" w:eastAsia="仿宋"/>
          <w:b/>
          <w:sz w:val="32"/>
          <w:szCs w:val="32"/>
        </w:rPr>
      </w:pPr>
      <w:r>
        <w:rPr>
          <w:rFonts w:hint="eastAsia" w:ascii="仿宋" w:hAnsi="仿宋" w:eastAsia="仿宋"/>
          <w:b/>
          <w:sz w:val="32"/>
          <w:szCs w:val="32"/>
        </w:rPr>
        <w:t>上市公司重大资产重组报告书及相关文件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2-1重大资产重组报告书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2-2重大资产重组的董事会决议和股东大会决议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2-3公告的其他相关信息披露文件</w:t>
      </w:r>
    </w:p>
    <w:p>
      <w:pPr>
        <w:numPr>
          <w:ilvl w:val="0"/>
          <w:numId w:val="2"/>
        </w:numPr>
        <w:spacing w:line="560" w:lineRule="exact"/>
        <w:ind w:firstLine="643" w:firstLineChars="200"/>
        <w:rPr>
          <w:rFonts w:ascii="仿宋" w:hAnsi="仿宋" w:eastAsia="仿宋"/>
          <w:b/>
          <w:sz w:val="32"/>
          <w:szCs w:val="32"/>
        </w:rPr>
      </w:pPr>
      <w:r>
        <w:rPr>
          <w:rFonts w:hint="eastAsia" w:ascii="仿宋" w:hAnsi="仿宋" w:eastAsia="仿宋"/>
          <w:b/>
          <w:sz w:val="32"/>
          <w:szCs w:val="32"/>
        </w:rPr>
        <w:t>独立财务顾问和律师事务所出具的文件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3-1独立财务顾问报告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3-2法律意见书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3-3关于本次交易符合中国证监会关于重大资产重组对板块定位的要求的独立财务顾问核查意见（如适用）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3-4关于本次交易适用快速审核通道的独立财务顾问核查意见（如适用）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3-5关于本次交易符合“小额快速”审核机制的独立财务顾问核查意见（如适用）</w:t>
      </w:r>
    </w:p>
    <w:p>
      <w:pPr>
        <w:numPr>
          <w:ilvl w:val="0"/>
          <w:numId w:val="2"/>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本次重大资产重组涉及的财务信息相关文件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4-1本次重大资产重组涉及的拟购买资产最近两年及一期的财务报告和审计报告（确实无法提供的，应当说明原因及相关资产的财务状况和经营成果）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4-2本次重大资产重组涉及的拟购买资产的评估报告及评估说明，或者估值报告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4-3本次重大资产重组涉及的拟出售资产最近两年及一期的财务报告和审计报告（确实无法提供的，应当说明原因及相关资产的财务状况和经营成果）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4-4本次重大资产重组涉及的拟出售资产的评估报告及评估说明，或者估值报告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4-5根据本次重大资产重组完成后的架构编制的上市公司最近一年及一期的备考财务报告及其审阅报告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4-6盈利预测报告和审核报告（如有）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4-7上市公司董事会、会计师事务所关于上市公司最近一年及一期的非无保留意见审计报告的补充意见（如有）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4-8交易对方最近一年的财务报告和审计报告（如有）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4-9独立财务顾问、会计师事务所对交易标的业绩真实性的专项核查意见</w:t>
      </w:r>
    </w:p>
    <w:p>
      <w:pPr>
        <w:numPr>
          <w:ilvl w:val="0"/>
          <w:numId w:val="2"/>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本次重大资产重组涉及的有关协议、合同、决议及承诺函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5-1重大资产重组的协议或合同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5-2涉及本次重大资产重组的其他重要协议或合同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5-3交易对方与上市公司就相关资产实际盈利数不足利润预测数的情况签订的补偿协议（如有）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5-4涉及本次重大资产重组的承诺函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5-5涉及本次重大资产重组的媒体说明会召开情况、对证券交易所问询函的回复等已披露信息</w:t>
      </w:r>
    </w:p>
    <w:p>
      <w:pPr>
        <w:numPr>
          <w:ilvl w:val="0"/>
          <w:numId w:val="2"/>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本次重大资产重组的其他文件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6-1有关部门对重大资产重组的审批、核准或备案文件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6-2债权人同意函（如有）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6-3拟购买资产的权属证书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6-4与拟购买资产生产经营有关的资质证书或批准文件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6-5内幕信息知情人名单，包括名称/姓名、职务、组织机构代码、统一社会信用代码/公民身份证号码等或其他身份信息等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-6上市公司及其董事、监事、高级管理人员，上市公司控股股东、实际控制人及其董事、监事、高级管理人员（或主要负责人），交易对方及其控股股东、实际控制人、董事、监事、高级管理人员（或主要负责人），相关证券服务机构和其他知悉本次重大资产重组内幕信息的单位和自然人以及上述相关人员的直系亲属在董事会就本次重组申请股票停牌前或首次作出决议前（孰早）六个月至重大资产重组报告书披露之前一日止，买卖该上市公司股票及其他相关证券情况的自查报告，并提供证券登记结算机构就前述单位及自然人二级市场交易情况出具的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6-7资产评估结果备案或核准文件（如有）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6-8-1独立财务顾问关于XX公司重大资产重组审核关注要点落实情况表及行业等相关事项核对表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6-8-2会计师事务所关于XX公司重大资产重组审核关注要点落实情况表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6-8-3律师事务所关于XX公司重大资产重组审核关注要点落实情况表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6-9中国证监会、证券交易所要求提供的其他文件</w:t>
      </w:r>
    </w:p>
    <w:p>
      <w:pPr>
        <w:pStyle w:val="4"/>
        <w:ind w:firstLine="643" w:firstLineChars="200"/>
        <w:rPr>
          <w:rFonts w:ascii="仿宋" w:hAnsi="仿宋"/>
        </w:rPr>
      </w:pPr>
      <w:bookmarkStart w:id="24" w:name="_Toc22844"/>
      <w:r>
        <w:rPr>
          <w:rFonts w:hint="eastAsia" w:ascii="仿宋" w:hAnsi="仿宋"/>
        </w:rPr>
        <w:t>（二）上市公司发行股份购买资产构成重组上市</w:t>
      </w:r>
      <w:bookmarkEnd w:id="24"/>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1. 重大资产重组基本信息</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-1重大资产重组申请文件目录及交易各方和中介机构联系表（包含上市公司及其控股股东、实际控制人、董事、监事和高级管理人员，构成收购人的交易对方，以及独立财务顾问、律师事务所、会计师事务所、资产评估机构、估值机构等证券服务机构及其签字人员的名单，包括名称/姓名、组织机构代码、统一社会信用代码/公民身份证号码或其他身份信息、联系方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1-2并购重组方案概况表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1-3关于电子文件与原始纸质文件一致的承诺函及律师事务所鉴证意见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1-4关于本次重大资产重组申请文件不适用内容的说明</w:t>
      </w:r>
    </w:p>
    <w:p>
      <w:pPr>
        <w:numPr>
          <w:ilvl w:val="0"/>
          <w:numId w:val="3"/>
        </w:numPr>
        <w:spacing w:line="560" w:lineRule="exact"/>
        <w:ind w:firstLine="643" w:firstLineChars="200"/>
        <w:rPr>
          <w:rFonts w:ascii="仿宋" w:hAnsi="仿宋" w:eastAsia="仿宋"/>
          <w:b/>
          <w:sz w:val="32"/>
          <w:szCs w:val="32"/>
        </w:rPr>
      </w:pPr>
      <w:r>
        <w:rPr>
          <w:rFonts w:hint="eastAsia" w:ascii="仿宋" w:hAnsi="仿宋" w:eastAsia="仿宋"/>
          <w:b/>
          <w:sz w:val="32"/>
          <w:szCs w:val="32"/>
        </w:rPr>
        <w:t>上市公司重大资产重组报告书及相关文件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2-1重大资产重组报告书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2-2重大资产重组的董事会决议和股东大会决议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2-3公告的其他相关信息披露文件</w:t>
      </w:r>
    </w:p>
    <w:p>
      <w:pPr>
        <w:numPr>
          <w:ilvl w:val="0"/>
          <w:numId w:val="3"/>
        </w:numPr>
        <w:spacing w:line="560" w:lineRule="exact"/>
        <w:ind w:firstLine="643" w:firstLineChars="200"/>
        <w:rPr>
          <w:rFonts w:ascii="仿宋" w:hAnsi="仿宋" w:eastAsia="仿宋"/>
          <w:b/>
          <w:sz w:val="32"/>
          <w:szCs w:val="32"/>
        </w:rPr>
      </w:pPr>
      <w:r>
        <w:rPr>
          <w:rFonts w:hint="eastAsia" w:ascii="仿宋" w:hAnsi="仿宋" w:eastAsia="仿宋"/>
          <w:b/>
          <w:sz w:val="32"/>
          <w:szCs w:val="32"/>
        </w:rPr>
        <w:t>独立财务顾问和律师事务所出具的文件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3-1独立财务顾问报告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3-2法律意见书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3-3关于本次交易符合中国证监会关于重大资产重组对板块定位的要求的独立财务顾问核查意见（如适用）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3-4关于本次交易适用快速审核通道的独立财务顾问核查意见（如适用）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3-5关于本次交易符合“小额快速”审核机制的独立财务顾问核查意见（如适用）</w:t>
      </w:r>
    </w:p>
    <w:p>
      <w:pPr>
        <w:numPr>
          <w:ilvl w:val="0"/>
          <w:numId w:val="3"/>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本次重大资产重组涉及的财务信息相关文件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4-1标的资产最近三年及一期的财务报告和审计报告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4-2标的资产最近三年原始报表及其与申报财务报表的差异比较表及会计师事务所出具的意见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4-3标的资产最近三年及一期非经常性损益明细表及会计师事务所出具的专项说明</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4-4标的资产最近三年及一期的纳税证明文件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4-5根据本次重大资产重组完成后的架构编制的上市公司最近一年及一期的备考财务报告及其审计报告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4-6内部控制鉴证报告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4-7本次重大资产重组涉及的拟购买资产的评估报告及评估说明，或者估值报告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4-8本次重大资产重组涉及的拟出售资产最近两年及一期的财务报告和审计报告（确实无法提供的，应当说明原因及相关资产的财务状况和经营成果）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4-9本次重大资产重组涉及的拟出售资产的评估报告及评估说明，或者估值报告</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4-10盈利预测报告和审核报告（如有）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4-11上市公司董事会、会计师事务所关于上市公司最近一年及一期的非无保留意见审计报告的补充意见（如有）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4-12交易对方最近一年的财务报告和审计报告（如有）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4-13独立财务顾问、会计师事务所对交易标的业绩真实性的专项核查意见</w:t>
      </w:r>
    </w:p>
    <w:p>
      <w:pPr>
        <w:numPr>
          <w:ilvl w:val="0"/>
          <w:numId w:val="3"/>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本次重大资产重组涉及的有关协议、合同、决议及承诺函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5-1重大资产重组的协议或合同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5-2涉及本次重大资产重组的其他重要协议或合同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5-3交易对方与上市公司就相关资产实际盈利数不足利润预测数的情况签订的补偿协议（如有）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5-4涉及本次重大资产重组的承诺函</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5-5涉及本次重大资产重组的媒体说明会召开情况、对证券交易所问询函的回复等已披露信息</w:t>
      </w:r>
    </w:p>
    <w:p>
      <w:pPr>
        <w:numPr>
          <w:ilvl w:val="0"/>
          <w:numId w:val="3"/>
        </w:numPr>
        <w:spacing w:line="560" w:lineRule="exact"/>
        <w:ind w:firstLine="643" w:firstLineChars="200"/>
        <w:rPr>
          <w:rFonts w:ascii="仿宋" w:hAnsi="仿宋" w:eastAsia="仿宋"/>
          <w:b/>
          <w:sz w:val="32"/>
          <w:szCs w:val="32"/>
        </w:rPr>
      </w:pPr>
      <w:r>
        <w:rPr>
          <w:rFonts w:hint="eastAsia" w:ascii="仿宋" w:hAnsi="仿宋" w:eastAsia="仿宋"/>
          <w:b/>
          <w:sz w:val="32"/>
          <w:szCs w:val="32"/>
        </w:rPr>
        <w:t>本次重大资产重组的其他文件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6-1有关部门对重大资产重组的审批、核准或备案文件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6-2债权人同意函（如有）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6-3拟购买资产的权属证书</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6-4与拟购买资产生产经营有关的资质证书或批准文件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6-5内幕信息知情人名单，包括名称/姓名、职务、组织机构代码、统一社会信用代码/公民身份证号码或其他身份信息等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-6上市公司及其董事、监事、高级管理人员，上市公司控股股东、实际控制人及其董事、监事、高级管理人员（或主要负责人），交易对方及其控股股东、实际控制人、董事、监事、高级管理人员（或主要负责人），相关证券服务机构和其他知悉本次重大资产重组内幕信息的单位和自然人以及上述相关人员的直系亲属在董事会就本次重组申请股票停牌前或首次作出决议前（孰早）六个月至重大资产重组报告书披露之前一日止，买卖该上市公司股票及其他相关证券情况的自查报告，并提供证券登记结算机构就前述单位及自然人二级市场交易情况出具的证明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6-7资产评估结果备案或核准文件（如有）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6-8-1独立财务顾问关于XX公司重大资产重组审核关注要点落实情况表及行业等相关事项核对表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6-8-2会计师事务所关于XX公司重大资产重组审核关注要点落实情况表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6-8-3律师事务所关于XX公司重大资产重组审核关注要点落实情况表</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6-9中国证监会、证券交易所要求提供的其他文件</w:t>
      </w:r>
    </w:p>
    <w:p>
      <w:pPr>
        <w:ind w:firstLine="420" w:firstLineChars="200"/>
        <w:outlineLvl w:val="9"/>
        <w:rPr>
          <w:rFonts w:hint="eastAsia"/>
        </w:rPr>
      </w:pPr>
      <w:bookmarkStart w:id="25" w:name="_Toc53667004"/>
    </w:p>
    <w:p>
      <w:pPr>
        <w:pStyle w:val="3"/>
        <w:ind w:firstLine="640" w:firstLineChars="200"/>
      </w:pPr>
      <w:bookmarkStart w:id="26" w:name="_Toc15668"/>
      <w:r>
        <w:rPr>
          <w:rFonts w:hint="eastAsia"/>
        </w:rPr>
        <w:t>十、申请接收</w:t>
      </w:r>
      <w:bookmarkEnd w:id="25"/>
      <w:bookmarkEnd w:id="26"/>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上市公司实施发行股份购买资产的，应当按照规定聘请独立财务顾问，并委托独立财务顾问在股东大会作出重大资产重组决议后三个工作日内，通过本所并购重组审核业务系统（</w:t>
      </w:r>
      <w:r>
        <w:fldChar w:fldCharType="begin"/>
      </w:r>
      <w:r>
        <w:instrText xml:space="preserve"> HYPERLINK "https://biz.szse.cn/ras" </w:instrText>
      </w:r>
      <w:r>
        <w:fldChar w:fldCharType="separate"/>
      </w:r>
      <w:r>
        <w:rPr>
          <w:rStyle w:val="16"/>
          <w:rFonts w:hint="eastAsia"/>
          <w:sz w:val="32"/>
          <w:szCs w:val="32"/>
        </w:rPr>
        <w:t>https://biz.szse.cn/ras</w:t>
      </w:r>
      <w:r>
        <w:rPr>
          <w:rStyle w:val="16"/>
          <w:rFonts w:hint="eastAsia"/>
          <w:sz w:val="32"/>
          <w:szCs w:val="32"/>
        </w:rPr>
        <w:fldChar w:fldCharType="end"/>
      </w:r>
      <w:r>
        <w:rPr>
          <w:rFonts w:hint="eastAsia"/>
          <w:sz w:val="32"/>
          <w:szCs w:val="32"/>
        </w:rPr>
        <w:t>）</w:t>
      </w:r>
      <w:r>
        <w:rPr>
          <w:rFonts w:hint="eastAsia" w:ascii="仿宋" w:hAnsi="仿宋" w:eastAsia="仿宋"/>
          <w:sz w:val="32"/>
          <w:szCs w:val="32"/>
        </w:rPr>
        <w:t>报送申请文件。</w:t>
      </w:r>
    </w:p>
    <w:p>
      <w:pPr>
        <w:spacing w:line="560" w:lineRule="exact"/>
        <w:ind w:firstLine="640" w:firstLineChars="200"/>
        <w:rPr>
          <w:rFonts w:ascii="仿宋" w:hAnsi="仿宋" w:eastAsia="仿宋"/>
          <w:sz w:val="32"/>
          <w:szCs w:val="32"/>
        </w:rPr>
      </w:pPr>
    </w:p>
    <w:p>
      <w:pPr>
        <w:pStyle w:val="3"/>
        <w:ind w:firstLine="640" w:firstLineChars="200"/>
      </w:pPr>
      <w:bookmarkStart w:id="27" w:name="_Toc19351"/>
      <w:bookmarkStart w:id="28" w:name="_Toc53667007"/>
      <w:r>
        <w:rPr>
          <w:rFonts w:hint="eastAsia"/>
        </w:rPr>
        <w:t>十一、办理流程</w:t>
      </w:r>
      <w:bookmarkEnd w:id="27"/>
      <w:bookmarkEnd w:id="28"/>
    </w:p>
    <w:p>
      <w:pPr>
        <w:pStyle w:val="4"/>
        <w:ind w:firstLine="643" w:firstLineChars="200"/>
        <w:rPr>
          <w:rFonts w:ascii="仿宋" w:hAnsi="仿宋"/>
          <w:b w:val="0"/>
        </w:rPr>
      </w:pPr>
      <w:bookmarkStart w:id="29" w:name="_Toc53667008"/>
      <w:bookmarkStart w:id="30" w:name="_Toc24635"/>
      <w:r>
        <w:rPr>
          <w:rFonts w:hint="eastAsia" w:ascii="仿宋" w:hAnsi="仿宋"/>
        </w:rPr>
        <w:t>（一）受理</w:t>
      </w:r>
      <w:bookmarkEnd w:id="29"/>
      <w:bookmarkEnd w:id="30"/>
    </w:p>
    <w:p>
      <w:pPr>
        <w:spacing w:line="560" w:lineRule="exact"/>
        <w:ind w:firstLine="640" w:firstLineChars="200"/>
      </w:pPr>
      <w:r>
        <w:rPr>
          <w:rFonts w:hint="eastAsia" w:ascii="仿宋" w:hAnsi="仿宋" w:eastAsia="仿宋"/>
          <w:sz w:val="32"/>
          <w:szCs w:val="32"/>
        </w:rPr>
        <w:t>本所收到申请文件后五个工作日内，对文件进行核对，作出是否受理的决定，告知上市公司及独立财务顾问。申请文件与中国证监会及本所规定的文件目录不相符、文档名称与文档内容不相符、文档格式不符合本所要求、签章不完整或者不清晰、文档无法打开或者存在本所认定的其他不齐备情形的，上市公司应当予以补正，补正时限最长不超过三十个工作日。</w:t>
      </w:r>
      <w:bookmarkStart w:id="31" w:name="_Toc53667009"/>
      <w:r>
        <w:rPr>
          <w:rFonts w:hint="eastAsia" w:ascii="仿宋" w:hAnsi="仿宋" w:eastAsia="仿宋"/>
          <w:sz w:val="32"/>
          <w:szCs w:val="32"/>
        </w:rPr>
        <w:t>上市公司在三十个工作日内提交补正申请文件确有困难的，可以提交延期补正的书面申请，并说明理由；经本所认可的，可适当延期。</w:t>
      </w:r>
    </w:p>
    <w:p>
      <w:pPr>
        <w:pStyle w:val="4"/>
        <w:ind w:firstLine="643" w:firstLineChars="200"/>
        <w:rPr>
          <w:rFonts w:ascii="仿宋" w:hAnsi="仿宋"/>
          <w:b w:val="0"/>
        </w:rPr>
      </w:pPr>
      <w:bookmarkStart w:id="32" w:name="_Toc22234"/>
      <w:r>
        <w:rPr>
          <w:rFonts w:hint="eastAsia" w:ascii="仿宋" w:hAnsi="仿宋"/>
        </w:rPr>
        <w:t>（二）</w:t>
      </w:r>
      <w:bookmarkEnd w:id="31"/>
      <w:r>
        <w:rPr>
          <w:rFonts w:hint="eastAsia" w:ascii="仿宋" w:hAnsi="仿宋"/>
        </w:rPr>
        <w:t>首轮问询</w:t>
      </w:r>
      <w:bookmarkEnd w:id="32"/>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本所重组审核机构按照申请文件受理的先后顺序开始审核。</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上市公司申请发行股份购买资产不构成重组上市的，本所重组审核机构自受理申请文件之日起十个工作日内，向上市公司、交易对方、独立财务顾问、证券服务机构提出首轮审核问询。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上市公司申请发行股份购买资产构成重组上市的，本所重组审核机构自受理申请文件之日起二十个工作日内，提出首轮审核问询。</w:t>
      </w:r>
    </w:p>
    <w:p>
      <w:pPr>
        <w:pStyle w:val="4"/>
        <w:ind w:firstLine="643" w:firstLineChars="200"/>
        <w:rPr>
          <w:rFonts w:ascii="仿宋" w:hAnsi="仿宋"/>
        </w:rPr>
      </w:pPr>
      <w:bookmarkStart w:id="33" w:name="_Toc14732"/>
      <w:r>
        <w:rPr>
          <w:rFonts w:hint="eastAsia" w:ascii="仿宋" w:hAnsi="仿宋"/>
        </w:rPr>
        <w:t>（三）再次问询</w:t>
      </w:r>
      <w:bookmarkEnd w:id="33"/>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本所重组审核机构收到上市公司对首轮审核问询的回复后，存在下列情形之一的，可以继续提出审核问询：</w:t>
      </w:r>
    </w:p>
    <w:p>
      <w:pPr>
        <w:numPr>
          <w:ilvl w:val="0"/>
          <w:numId w:val="4"/>
        </w:numPr>
        <w:spacing w:line="560" w:lineRule="exact"/>
        <w:ind w:firstLine="640" w:firstLineChars="200"/>
        <w:rPr>
          <w:rFonts w:ascii="仿宋" w:hAnsi="仿宋" w:eastAsia="仿宋"/>
          <w:sz w:val="32"/>
          <w:szCs w:val="32"/>
        </w:rPr>
      </w:pPr>
      <w:r>
        <w:rPr>
          <w:rFonts w:hint="eastAsia" w:ascii="仿宋" w:hAnsi="仿宋" w:eastAsia="仿宋"/>
          <w:sz w:val="32"/>
          <w:szCs w:val="32"/>
        </w:rPr>
        <w:t>首轮审核问询后，发现新的需要问询事项；</w:t>
      </w:r>
    </w:p>
    <w:p>
      <w:pPr>
        <w:numPr>
          <w:ilvl w:val="0"/>
          <w:numId w:val="4"/>
        </w:numPr>
        <w:spacing w:line="560" w:lineRule="exact"/>
        <w:ind w:firstLine="640" w:firstLineChars="200"/>
        <w:rPr>
          <w:rFonts w:ascii="仿宋" w:hAnsi="仿宋" w:eastAsia="仿宋"/>
          <w:sz w:val="32"/>
          <w:szCs w:val="32"/>
        </w:rPr>
      </w:pPr>
      <w:r>
        <w:rPr>
          <w:rFonts w:hint="eastAsia" w:ascii="仿宋" w:hAnsi="仿宋" w:eastAsia="仿宋"/>
          <w:sz w:val="32"/>
          <w:szCs w:val="32"/>
        </w:rPr>
        <w:t>上市公司、交易对方、独立财务顾问、证券服务机构的回复未能有针对性地回答本所重组审核机构提出的审核问询，或者本所就其回复需要继续审核问询；</w:t>
      </w:r>
    </w:p>
    <w:p>
      <w:pPr>
        <w:numPr>
          <w:ilvl w:val="0"/>
          <w:numId w:val="4"/>
        </w:numPr>
        <w:spacing w:line="560" w:lineRule="exact"/>
        <w:ind w:firstLine="640" w:firstLineChars="200"/>
        <w:rPr>
          <w:rFonts w:ascii="仿宋" w:hAnsi="仿宋" w:eastAsia="仿宋"/>
          <w:sz w:val="32"/>
          <w:szCs w:val="32"/>
        </w:rPr>
      </w:pPr>
      <w:r>
        <w:rPr>
          <w:rFonts w:hint="eastAsia" w:ascii="仿宋" w:hAnsi="仿宋" w:eastAsia="仿宋"/>
          <w:sz w:val="32"/>
          <w:szCs w:val="32"/>
        </w:rPr>
        <w:t>上市公司、交易对方、独立财务顾问、证券服务机构的信息披露仍未满足中国证监会和本所规定的要求；</w:t>
      </w:r>
    </w:p>
    <w:p>
      <w:pPr>
        <w:spacing w:line="560" w:lineRule="exact"/>
        <w:ind w:firstLine="640" w:firstLineChars="200"/>
        <w:rPr>
          <w:rFonts w:ascii="仿宋" w:hAnsi="仿宋"/>
        </w:rPr>
      </w:pPr>
      <w:r>
        <w:rPr>
          <w:rFonts w:hint="eastAsia" w:ascii="仿宋" w:hAnsi="仿宋" w:eastAsia="仿宋"/>
          <w:sz w:val="32"/>
          <w:szCs w:val="32"/>
        </w:rPr>
        <w:t>4. 本所认为需要继续审核问询的其他情形。</w:t>
      </w:r>
    </w:p>
    <w:p>
      <w:pPr>
        <w:pStyle w:val="4"/>
        <w:ind w:firstLine="643" w:firstLineChars="200"/>
        <w:rPr>
          <w:rFonts w:ascii="仿宋" w:hAnsi="仿宋"/>
        </w:rPr>
      </w:pPr>
      <w:bookmarkStart w:id="34" w:name="_Toc20795"/>
      <w:r>
        <w:rPr>
          <w:rFonts w:hint="eastAsia" w:ascii="仿宋" w:hAnsi="仿宋"/>
        </w:rPr>
        <w:t>（四）出具审核报告</w:t>
      </w:r>
      <w:bookmarkEnd w:id="34"/>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本所重组审核机构收到上市公司、交易对方、独立财务顾问、证券服务机构对本所审核问询的回复后，认为不需要进一步审核问询的，将出具审核报告，提出初步审核意见，提交并购重组委员会</w:t>
      </w:r>
      <w:r>
        <w:rPr>
          <w:rFonts w:hint="eastAsia" w:ascii="仿宋" w:hAnsi="仿宋" w:eastAsia="仿宋"/>
          <w:sz w:val="32"/>
          <w:szCs w:val="32"/>
          <w:lang w:eastAsia="zh-CN"/>
        </w:rPr>
        <w:t>（以下简称重组委）</w:t>
      </w:r>
      <w:r>
        <w:rPr>
          <w:rFonts w:hint="eastAsia" w:ascii="仿宋" w:hAnsi="仿宋" w:eastAsia="仿宋"/>
          <w:sz w:val="32"/>
          <w:szCs w:val="32"/>
        </w:rPr>
        <w:t>审议，并通知上市公司及其独立财务顾问。</w:t>
      </w:r>
    </w:p>
    <w:p>
      <w:pPr>
        <w:pStyle w:val="4"/>
        <w:ind w:firstLine="643" w:firstLineChars="200"/>
        <w:rPr>
          <w:rFonts w:ascii="仿宋" w:hAnsi="仿宋"/>
        </w:rPr>
      </w:pPr>
      <w:bookmarkStart w:id="35" w:name="_Toc20619"/>
      <w:r>
        <w:rPr>
          <w:rFonts w:hint="eastAsia" w:ascii="仿宋" w:hAnsi="仿宋"/>
        </w:rPr>
        <w:t>（五）</w:t>
      </w:r>
      <w:r>
        <w:rPr>
          <w:rFonts w:hint="eastAsia" w:ascii="仿宋" w:hAnsi="仿宋"/>
          <w:lang w:eastAsia="zh-CN"/>
        </w:rPr>
        <w:t>重组委</w:t>
      </w:r>
      <w:r>
        <w:rPr>
          <w:rFonts w:hint="eastAsia" w:ascii="仿宋" w:hAnsi="仿宋"/>
        </w:rPr>
        <w:t>审议</w:t>
      </w:r>
      <w:bookmarkEnd w:id="35"/>
    </w:p>
    <w:p>
      <w:pPr>
        <w:spacing w:line="560" w:lineRule="exact"/>
        <w:ind w:firstLine="640" w:firstLineChars="200"/>
        <w:rPr>
          <w:rFonts w:ascii="仿宋" w:hAnsi="仿宋" w:eastAsia="仿宋"/>
          <w:sz w:val="32"/>
          <w:szCs w:val="32"/>
        </w:rPr>
      </w:pPr>
      <w:r>
        <w:rPr>
          <w:rFonts w:hint="eastAsia" w:ascii="仿宋" w:hAnsi="仿宋" w:eastAsia="仿宋"/>
          <w:sz w:val="32"/>
          <w:szCs w:val="32"/>
        </w:rPr>
        <w:t>重组委对本所重组审核机构出具的审核报告以及重组申请文件进行审议，形成本次交易是否符合重组条件和信息披露要求的审议意见。申请文件存在影响重组条件或者信息披露方面的重大事项有待进一步核实，无法形成审议意见的，经会议合议，重组委可以对上市公司的发行股份购买资产申请暂缓审议，暂缓审议时间不超过两个月。对上市公司的同一发行股份购买资产申请，重组委只能暂缓审议一次。本所应当在规定的时限内基于并购重组委的审议意见，形成本次交易是否符合重组条件和信息披露要求的审核意见。</w:t>
      </w:r>
    </w:p>
    <w:p>
      <w:pPr>
        <w:spacing w:line="560" w:lineRule="exact"/>
        <w:ind w:firstLine="640" w:firstLineChars="200"/>
        <w:rPr>
          <w:rFonts w:ascii="仿宋" w:hAnsi="仿宋" w:eastAsia="仿宋"/>
          <w:sz w:val="32"/>
          <w:szCs w:val="32"/>
        </w:rPr>
      </w:pPr>
    </w:p>
    <w:p>
      <w:pPr>
        <w:pStyle w:val="3"/>
        <w:ind w:firstLine="640" w:firstLineChars="200"/>
      </w:pPr>
      <w:bookmarkStart w:id="36" w:name="_Toc11887"/>
      <w:bookmarkStart w:id="37" w:name="_Toc53667010"/>
      <w:r>
        <w:rPr>
          <w:rFonts w:hint="eastAsia"/>
        </w:rPr>
        <w:t>十二、办理结果及送达</w:t>
      </w:r>
      <w:bookmarkEnd w:id="36"/>
      <w:bookmarkEnd w:id="37"/>
    </w:p>
    <w:p>
      <w:pPr>
        <w:spacing w:line="560" w:lineRule="exact"/>
        <w:ind w:firstLine="640" w:firstLineChars="200"/>
        <w:rPr>
          <w:rFonts w:ascii="仿宋" w:hAnsi="仿宋"/>
          <w:sz w:val="32"/>
        </w:rPr>
      </w:pPr>
      <w:r>
        <w:rPr>
          <w:rFonts w:hint="eastAsia" w:ascii="仿宋" w:hAnsi="仿宋" w:eastAsia="仿宋"/>
          <w:sz w:val="32"/>
          <w:szCs w:val="32"/>
        </w:rPr>
        <w:t>本所结合重组委的审议意见，出具本次交易符合重组条件和信息披露要求的审核意见，或者作出终止审核的决定。</w:t>
      </w:r>
    </w:p>
    <w:p>
      <w:pPr>
        <w:spacing w:line="560" w:lineRule="exact"/>
        <w:ind w:firstLine="640" w:firstLineChars="200"/>
        <w:rPr>
          <w:rFonts w:eastAsia="仿宋"/>
          <w:bCs/>
          <w:sz w:val="32"/>
          <w:szCs w:val="32"/>
        </w:rPr>
      </w:pPr>
      <w:r>
        <w:rPr>
          <w:rFonts w:hint="eastAsia" w:ascii="仿宋" w:hAnsi="仿宋" w:eastAsia="仿宋"/>
          <w:sz w:val="32"/>
          <w:szCs w:val="32"/>
        </w:rPr>
        <w:t>重组委审议意见认为本次交易符合重组条件和信息披露要求，但要求上市公司补充披露有关信息的，本所重组审核机构告知独立财务顾问组织落实；重组审核机构对上市公司及其独立财务顾问、证券服务机构的落实情况予以核对，并向参会委员通报落实情况。上市公司对相关事项补充披露后，本所出具本次交易符合重组条件和信息披露要求的审核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上市公司应当根据重组委的审议意见，更新申请文件并披露。</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本所审核意见为本次交易符合重组条件和信息披露要求的，向中国证监会报送审核意见、相关审核资料及上市公司申请文件。</w:t>
      </w:r>
    </w:p>
    <w:p>
      <w:pPr>
        <w:spacing w:line="560" w:lineRule="exact"/>
        <w:ind w:firstLine="640" w:firstLineChars="200"/>
        <w:rPr>
          <w:rFonts w:ascii="仿宋" w:hAnsi="仿宋" w:eastAsia="仿宋"/>
          <w:sz w:val="32"/>
          <w:szCs w:val="32"/>
        </w:rPr>
      </w:pPr>
    </w:p>
    <w:p>
      <w:pPr>
        <w:pStyle w:val="3"/>
        <w:ind w:firstLine="640" w:firstLineChars="200"/>
      </w:pPr>
      <w:bookmarkStart w:id="38" w:name="_Toc13435"/>
      <w:bookmarkStart w:id="39" w:name="_Toc53667011"/>
      <w:r>
        <w:rPr>
          <w:rFonts w:hint="eastAsia"/>
        </w:rPr>
        <w:t>十三、咨询途径</w:t>
      </w:r>
      <w:bookmarkEnd w:id="38"/>
      <w:bookmarkEnd w:id="39"/>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上市公司披露</w:t>
      </w:r>
      <w:r>
        <w:rPr>
          <w:rFonts w:hint="eastAsia" w:ascii="仿宋" w:hAnsi="仿宋" w:eastAsia="仿宋"/>
          <w:sz w:val="32"/>
          <w:szCs w:val="32"/>
        </w:rPr>
        <w:t>发行股份购买资产方案后至</w:t>
      </w:r>
      <w:r>
        <w:rPr>
          <w:rFonts w:hint="eastAsia" w:ascii="仿宋" w:hAnsi="仿宋" w:eastAsia="仿宋"/>
          <w:sz w:val="32"/>
          <w:szCs w:val="32"/>
          <w:lang w:eastAsia="zh-CN"/>
        </w:rPr>
        <w:t>提交申请文件</w:t>
      </w:r>
      <w:r>
        <w:rPr>
          <w:rFonts w:hint="eastAsia" w:ascii="仿宋" w:hAnsi="仿宋" w:eastAsia="仿宋"/>
          <w:sz w:val="32"/>
          <w:szCs w:val="32"/>
        </w:rPr>
        <w:t>前，上市公司、独立财务顾问和证券服务机构对于重大疑难、无先例事项等涉及本所业务规则理解与适用的问题，发行人、独立财务顾问和证券服务机构可以通过本所发行上市审核业务系统进行咨询；确需当面咨询的，可以通过本所发行上市审核业务系统预约。</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首轮审核问询发出后，发行人、独立财务顾问和证券服务机构对本所审核问询存在疑问的，可以通过本所发行上市审核业务系统进行沟通；确需当面沟通的，可以通过本所发行上市审核业务系统预约。</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重组委审议后，上市公司、独立财务顾问和证券服务机构可以就审核中关注的重要问题、会后事项和后续工作要求等与本所上市审核中心、重组委委员沟通。</w:t>
      </w:r>
    </w:p>
    <w:p>
      <w:pPr>
        <w:spacing w:line="560" w:lineRule="exact"/>
        <w:ind w:firstLine="640" w:firstLineChars="200"/>
        <w:rPr>
          <w:rFonts w:ascii="仿宋" w:hAnsi="仿宋" w:eastAsia="仿宋"/>
          <w:sz w:val="32"/>
          <w:szCs w:val="32"/>
        </w:rPr>
      </w:pPr>
    </w:p>
    <w:p>
      <w:pPr>
        <w:pStyle w:val="3"/>
        <w:ind w:firstLine="640" w:firstLineChars="200"/>
      </w:pPr>
      <w:bookmarkStart w:id="40" w:name="_Toc53667014"/>
      <w:bookmarkStart w:id="41" w:name="_Toc27041"/>
      <w:r>
        <w:rPr>
          <w:rFonts w:hint="eastAsia"/>
        </w:rPr>
        <w:t>十四、办理地点和时间</w:t>
      </w:r>
      <w:bookmarkEnd w:id="40"/>
      <w:bookmarkEnd w:id="41"/>
    </w:p>
    <w:p>
      <w:pPr>
        <w:pStyle w:val="4"/>
        <w:ind w:firstLine="643" w:firstLineChars="200"/>
        <w:rPr>
          <w:rFonts w:ascii="仿宋" w:hAnsi="仿宋"/>
        </w:rPr>
      </w:pPr>
      <w:bookmarkStart w:id="42" w:name="_Toc16638"/>
      <w:r>
        <w:rPr>
          <w:rFonts w:hint="eastAsia" w:ascii="仿宋" w:hAnsi="仿宋"/>
        </w:rPr>
        <w:t>（一）办理地点</w:t>
      </w:r>
      <w:bookmarkEnd w:id="42"/>
    </w:p>
    <w:p>
      <w:pPr>
        <w:spacing w:line="560" w:lineRule="exact"/>
        <w:ind w:firstLine="640" w:firstLineChars="200"/>
        <w:rPr>
          <w:rFonts w:ascii="仿宋" w:hAnsi="仿宋" w:eastAsia="仿宋"/>
          <w:sz w:val="32"/>
          <w:szCs w:val="32"/>
        </w:rPr>
      </w:pPr>
      <w:r>
        <w:rPr>
          <w:rFonts w:hint="eastAsia" w:ascii="仿宋" w:hAnsi="仿宋" w:eastAsia="仿宋"/>
          <w:sz w:val="32"/>
          <w:szCs w:val="32"/>
        </w:rPr>
        <w:t>1. 并购重组审核业务系统：</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https://biz.szse.cn/ras</w:t>
      </w:r>
    </w:p>
    <w:p>
      <w:pPr>
        <w:numPr>
          <w:ilvl w:val="0"/>
          <w:numId w:val="5"/>
        </w:numPr>
        <w:spacing w:line="560" w:lineRule="exact"/>
        <w:ind w:firstLine="640" w:firstLineChars="200"/>
        <w:rPr>
          <w:rFonts w:ascii="仿宋" w:hAnsi="仿宋" w:eastAsia="仿宋"/>
          <w:sz w:val="32"/>
          <w:szCs w:val="32"/>
        </w:rPr>
      </w:pPr>
      <w:r>
        <w:rPr>
          <w:rFonts w:hint="eastAsia" w:ascii="仿宋" w:hAnsi="仿宋" w:eastAsia="仿宋"/>
          <w:sz w:val="32"/>
          <w:szCs w:val="32"/>
        </w:rPr>
        <w:t>办公地点：深圳市深南大道2012号深圳证券交易所</w:t>
      </w:r>
    </w:p>
    <w:p>
      <w:pPr>
        <w:pStyle w:val="4"/>
        <w:ind w:firstLine="643" w:firstLineChars="200"/>
        <w:rPr>
          <w:rFonts w:ascii="仿宋" w:hAnsi="仿宋"/>
          <w:b w:val="0"/>
        </w:rPr>
      </w:pPr>
      <w:bookmarkStart w:id="43" w:name="_Toc12397"/>
      <w:bookmarkStart w:id="44" w:name="_Toc53667016"/>
      <w:r>
        <w:rPr>
          <w:rFonts w:hint="eastAsia" w:ascii="仿宋" w:hAnsi="仿宋"/>
        </w:rPr>
        <w:t>（二）办理时间</w:t>
      </w:r>
      <w:bookmarkEnd w:id="43"/>
      <w:bookmarkEnd w:id="44"/>
    </w:p>
    <w:p>
      <w:pPr>
        <w:spacing w:line="560" w:lineRule="exact"/>
        <w:ind w:firstLine="640" w:firstLineChars="200"/>
        <w:rPr>
          <w:rFonts w:ascii="仿宋" w:hAnsi="仿宋" w:eastAsia="仿宋"/>
          <w:sz w:val="32"/>
          <w:szCs w:val="32"/>
        </w:rPr>
      </w:pPr>
      <w:r>
        <w:rPr>
          <w:rFonts w:hint="eastAsia" w:ascii="仿宋" w:hAnsi="仿宋" w:eastAsia="仿宋"/>
          <w:sz w:val="32"/>
          <w:szCs w:val="32"/>
        </w:rPr>
        <w:t>1. 并购重组审核业务系统运营时间为7×24小时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办公时间：周一至周五8:30-11:30；13:30-17:00</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4223319"/>
    </w:sdtPr>
    <w:sdtContent>
      <w:p>
        <w:pPr>
          <w:pStyle w:val="9"/>
          <w:jc w:val="center"/>
        </w:pPr>
        <w:r>
          <w:fldChar w:fldCharType="begin"/>
        </w:r>
        <w:r>
          <w:instrText xml:space="preserve">PAGE   \* MERGEFORMAT</w:instrText>
        </w:r>
        <w:r>
          <w:fldChar w:fldCharType="separate"/>
        </w:r>
        <w:r>
          <w:rPr>
            <w:lang w:val="zh-CN"/>
          </w:rPr>
          <w:t>22</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E716D"/>
    <w:multiLevelType w:val="singleLevel"/>
    <w:tmpl w:val="B1EE716D"/>
    <w:lvl w:ilvl="0" w:tentative="0">
      <w:start w:val="2"/>
      <w:numFmt w:val="decimal"/>
      <w:suff w:val="space"/>
      <w:lvlText w:val="%1."/>
      <w:lvlJc w:val="left"/>
    </w:lvl>
  </w:abstractNum>
  <w:abstractNum w:abstractNumId="1">
    <w:nsid w:val="D7AE62CF"/>
    <w:multiLevelType w:val="singleLevel"/>
    <w:tmpl w:val="D7AE62CF"/>
    <w:lvl w:ilvl="0" w:tentative="0">
      <w:start w:val="2"/>
      <w:numFmt w:val="decimal"/>
      <w:suff w:val="space"/>
      <w:lvlText w:val="%1."/>
      <w:lvlJc w:val="left"/>
    </w:lvl>
  </w:abstractNum>
  <w:abstractNum w:abstractNumId="2">
    <w:nsid w:val="DA88C326"/>
    <w:multiLevelType w:val="singleLevel"/>
    <w:tmpl w:val="DA88C326"/>
    <w:lvl w:ilvl="0" w:tentative="0">
      <w:start w:val="2"/>
      <w:numFmt w:val="decimal"/>
      <w:suff w:val="space"/>
      <w:lvlText w:val="%1."/>
      <w:lvlJc w:val="left"/>
    </w:lvl>
  </w:abstractNum>
  <w:abstractNum w:abstractNumId="3">
    <w:nsid w:val="18FE615B"/>
    <w:multiLevelType w:val="singleLevel"/>
    <w:tmpl w:val="18FE615B"/>
    <w:lvl w:ilvl="0" w:tentative="0">
      <w:start w:val="2"/>
      <w:numFmt w:val="decimal"/>
      <w:suff w:val="space"/>
      <w:lvlText w:val="%1."/>
      <w:lvlJc w:val="left"/>
    </w:lvl>
  </w:abstractNum>
  <w:abstractNum w:abstractNumId="4">
    <w:nsid w:val="6964B33E"/>
    <w:multiLevelType w:val="singleLevel"/>
    <w:tmpl w:val="6964B33E"/>
    <w:lvl w:ilvl="0" w:tentative="0">
      <w:start w:val="1"/>
      <w:numFmt w:val="decimal"/>
      <w:suff w:val="space"/>
      <w:lvlText w:val="%1."/>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027F7"/>
    <w:rsid w:val="0001197C"/>
    <w:rsid w:val="00051955"/>
    <w:rsid w:val="000B3F27"/>
    <w:rsid w:val="000B6F69"/>
    <w:rsid w:val="000B78EE"/>
    <w:rsid w:val="000D1F48"/>
    <w:rsid w:val="000F265F"/>
    <w:rsid w:val="0013554B"/>
    <w:rsid w:val="00135EB8"/>
    <w:rsid w:val="0014477D"/>
    <w:rsid w:val="001448B3"/>
    <w:rsid w:val="0014524B"/>
    <w:rsid w:val="00154F6B"/>
    <w:rsid w:val="00164590"/>
    <w:rsid w:val="001A1DD5"/>
    <w:rsid w:val="001A7EAE"/>
    <w:rsid w:val="001D1154"/>
    <w:rsid w:val="0020392E"/>
    <w:rsid w:val="00207932"/>
    <w:rsid w:val="00214D7C"/>
    <w:rsid w:val="0025645A"/>
    <w:rsid w:val="00265136"/>
    <w:rsid w:val="00275615"/>
    <w:rsid w:val="002A3E38"/>
    <w:rsid w:val="002B05ED"/>
    <w:rsid w:val="002C21E8"/>
    <w:rsid w:val="002F1EA9"/>
    <w:rsid w:val="0031412F"/>
    <w:rsid w:val="003257FC"/>
    <w:rsid w:val="00330742"/>
    <w:rsid w:val="0034032D"/>
    <w:rsid w:val="003440F9"/>
    <w:rsid w:val="00345AED"/>
    <w:rsid w:val="003C3E35"/>
    <w:rsid w:val="003D644A"/>
    <w:rsid w:val="003E601D"/>
    <w:rsid w:val="003F2555"/>
    <w:rsid w:val="003F3078"/>
    <w:rsid w:val="00411D74"/>
    <w:rsid w:val="00411E70"/>
    <w:rsid w:val="00420C2E"/>
    <w:rsid w:val="00437DD9"/>
    <w:rsid w:val="0046547B"/>
    <w:rsid w:val="00493975"/>
    <w:rsid w:val="004B05BF"/>
    <w:rsid w:val="004B6376"/>
    <w:rsid w:val="004D47A4"/>
    <w:rsid w:val="004E1C82"/>
    <w:rsid w:val="00516C22"/>
    <w:rsid w:val="005A5E93"/>
    <w:rsid w:val="005D00A9"/>
    <w:rsid w:val="005D1C6E"/>
    <w:rsid w:val="005F3534"/>
    <w:rsid w:val="00617A53"/>
    <w:rsid w:val="0063239D"/>
    <w:rsid w:val="006350A3"/>
    <w:rsid w:val="0063514A"/>
    <w:rsid w:val="006807A2"/>
    <w:rsid w:val="00693C82"/>
    <w:rsid w:val="006943E2"/>
    <w:rsid w:val="006D6A36"/>
    <w:rsid w:val="006E0CCC"/>
    <w:rsid w:val="006E6374"/>
    <w:rsid w:val="00711CCA"/>
    <w:rsid w:val="00714090"/>
    <w:rsid w:val="007432B9"/>
    <w:rsid w:val="00770054"/>
    <w:rsid w:val="00770D23"/>
    <w:rsid w:val="007A49C9"/>
    <w:rsid w:val="007E76EF"/>
    <w:rsid w:val="00810F8D"/>
    <w:rsid w:val="008443B6"/>
    <w:rsid w:val="00864F25"/>
    <w:rsid w:val="008A31A7"/>
    <w:rsid w:val="008A3C00"/>
    <w:rsid w:val="008A4C50"/>
    <w:rsid w:val="008F4691"/>
    <w:rsid w:val="0090525B"/>
    <w:rsid w:val="0093065E"/>
    <w:rsid w:val="00930784"/>
    <w:rsid w:val="009661BB"/>
    <w:rsid w:val="00970AC5"/>
    <w:rsid w:val="009711D1"/>
    <w:rsid w:val="00991D16"/>
    <w:rsid w:val="00995E1E"/>
    <w:rsid w:val="009A238B"/>
    <w:rsid w:val="009F5CA5"/>
    <w:rsid w:val="00A11256"/>
    <w:rsid w:val="00A14C98"/>
    <w:rsid w:val="00A20675"/>
    <w:rsid w:val="00A22603"/>
    <w:rsid w:val="00A3077A"/>
    <w:rsid w:val="00A332BE"/>
    <w:rsid w:val="00A400CF"/>
    <w:rsid w:val="00A45707"/>
    <w:rsid w:val="00A56231"/>
    <w:rsid w:val="00A56BF0"/>
    <w:rsid w:val="00A75E43"/>
    <w:rsid w:val="00A95C34"/>
    <w:rsid w:val="00AA75C9"/>
    <w:rsid w:val="00AB6B8C"/>
    <w:rsid w:val="00AC39BD"/>
    <w:rsid w:val="00AD6478"/>
    <w:rsid w:val="00AE0F60"/>
    <w:rsid w:val="00AF053E"/>
    <w:rsid w:val="00B15CF8"/>
    <w:rsid w:val="00B16BB2"/>
    <w:rsid w:val="00B21DB4"/>
    <w:rsid w:val="00B47393"/>
    <w:rsid w:val="00C10682"/>
    <w:rsid w:val="00C10FD5"/>
    <w:rsid w:val="00C14605"/>
    <w:rsid w:val="00C70873"/>
    <w:rsid w:val="00C94635"/>
    <w:rsid w:val="00CB1E94"/>
    <w:rsid w:val="00CD147B"/>
    <w:rsid w:val="00CF24AA"/>
    <w:rsid w:val="00CF6C00"/>
    <w:rsid w:val="00D02386"/>
    <w:rsid w:val="00D13FBD"/>
    <w:rsid w:val="00D479A2"/>
    <w:rsid w:val="00DC4EEB"/>
    <w:rsid w:val="00DC7AEE"/>
    <w:rsid w:val="00DD3F98"/>
    <w:rsid w:val="00DD5BF7"/>
    <w:rsid w:val="00E03C0B"/>
    <w:rsid w:val="00E503DA"/>
    <w:rsid w:val="00EA32E7"/>
    <w:rsid w:val="00EA5692"/>
    <w:rsid w:val="00EA57B2"/>
    <w:rsid w:val="00EB5BCF"/>
    <w:rsid w:val="00EC63CA"/>
    <w:rsid w:val="00EE21FA"/>
    <w:rsid w:val="00EE3D01"/>
    <w:rsid w:val="00EE56EE"/>
    <w:rsid w:val="00F024ED"/>
    <w:rsid w:val="00F32DC3"/>
    <w:rsid w:val="00F471F2"/>
    <w:rsid w:val="00F56C1E"/>
    <w:rsid w:val="00F64496"/>
    <w:rsid w:val="00F748C5"/>
    <w:rsid w:val="00F775FC"/>
    <w:rsid w:val="00F95CB3"/>
    <w:rsid w:val="00FD1373"/>
    <w:rsid w:val="00FF7BEA"/>
    <w:rsid w:val="01462E88"/>
    <w:rsid w:val="05C248DE"/>
    <w:rsid w:val="08BD3A42"/>
    <w:rsid w:val="0C683838"/>
    <w:rsid w:val="0E1B02FE"/>
    <w:rsid w:val="114526D4"/>
    <w:rsid w:val="12D9043D"/>
    <w:rsid w:val="13F6572B"/>
    <w:rsid w:val="1AA55DFB"/>
    <w:rsid w:val="1BA301AC"/>
    <w:rsid w:val="1C100183"/>
    <w:rsid w:val="1D6322BB"/>
    <w:rsid w:val="1F3740D1"/>
    <w:rsid w:val="21955CD6"/>
    <w:rsid w:val="2A79672B"/>
    <w:rsid w:val="2CD04606"/>
    <w:rsid w:val="30BC5E06"/>
    <w:rsid w:val="36BA2308"/>
    <w:rsid w:val="3A343789"/>
    <w:rsid w:val="3C2D6690"/>
    <w:rsid w:val="43412906"/>
    <w:rsid w:val="45197D3C"/>
    <w:rsid w:val="466055B4"/>
    <w:rsid w:val="47075406"/>
    <w:rsid w:val="480D4150"/>
    <w:rsid w:val="4B9071FF"/>
    <w:rsid w:val="517A70DD"/>
    <w:rsid w:val="52AE1575"/>
    <w:rsid w:val="55010378"/>
    <w:rsid w:val="5F826BE7"/>
    <w:rsid w:val="68F86CB9"/>
    <w:rsid w:val="69E22BDC"/>
    <w:rsid w:val="6A2076BF"/>
    <w:rsid w:val="6CAF5C4B"/>
    <w:rsid w:val="6D5123DE"/>
    <w:rsid w:val="6FD451BB"/>
    <w:rsid w:val="70201D05"/>
    <w:rsid w:val="73B873AB"/>
    <w:rsid w:val="74CD359F"/>
    <w:rsid w:val="751E7246"/>
    <w:rsid w:val="7778047A"/>
    <w:rsid w:val="793A6811"/>
    <w:rsid w:val="79C01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4"/>
    <w:unhideWhenUsed/>
    <w:qFormat/>
    <w:uiPriority w:val="9"/>
    <w:pPr>
      <w:keepNext/>
      <w:keepLines/>
      <w:spacing w:line="560" w:lineRule="exact"/>
      <w:outlineLvl w:val="2"/>
    </w:pPr>
    <w:rPr>
      <w:rFonts w:eastAsia="仿宋"/>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Body Text"/>
    <w:basedOn w:val="1"/>
    <w:link w:val="26"/>
    <w:qFormat/>
    <w:uiPriority w:val="1"/>
    <w:pPr>
      <w:spacing w:before="48"/>
      <w:ind w:left="120" w:firstLine="568"/>
      <w:jc w:val="left"/>
    </w:pPr>
    <w:rPr>
      <w:rFonts w:ascii="宋体" w:hAnsi="宋体" w:eastAsia="宋体"/>
      <w:kern w:val="0"/>
      <w:sz w:val="30"/>
      <w:szCs w:val="30"/>
      <w:lang w:eastAsia="en-US"/>
    </w:rPr>
  </w:style>
  <w:style w:type="paragraph" w:styleId="7">
    <w:name w:val="toc 3"/>
    <w:basedOn w:val="1"/>
    <w:next w:val="1"/>
    <w:unhideWhenUsed/>
    <w:qFormat/>
    <w:uiPriority w:val="39"/>
    <w:pPr>
      <w:ind w:left="840" w:leftChars="400"/>
    </w:pPr>
  </w:style>
  <w:style w:type="paragraph" w:styleId="8">
    <w:name w:val="Balloon Text"/>
    <w:basedOn w:val="1"/>
    <w:link w:val="22"/>
    <w:semiHidden/>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2"/>
    <w:basedOn w:val="1"/>
    <w:next w:val="1"/>
    <w:unhideWhenUsed/>
    <w:qFormat/>
    <w:uiPriority w:val="39"/>
    <w:pPr>
      <w:ind w:left="420" w:leftChars="200"/>
    </w:pPr>
  </w:style>
  <w:style w:type="paragraph" w:styleId="12">
    <w:name w:val="annotation subject"/>
    <w:basedOn w:val="5"/>
    <w:next w:val="5"/>
    <w:link w:val="21"/>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10"/>
    <w:qFormat/>
    <w:uiPriority w:val="99"/>
    <w:rPr>
      <w:sz w:val="18"/>
      <w:szCs w:val="18"/>
    </w:rPr>
  </w:style>
  <w:style w:type="character" w:customStyle="1" w:styleId="19">
    <w:name w:val="页脚 Char"/>
    <w:basedOn w:val="15"/>
    <w:link w:val="9"/>
    <w:qFormat/>
    <w:uiPriority w:val="99"/>
    <w:rPr>
      <w:sz w:val="18"/>
      <w:szCs w:val="18"/>
    </w:rPr>
  </w:style>
  <w:style w:type="character" w:customStyle="1" w:styleId="20">
    <w:name w:val="批注文字 Char"/>
    <w:basedOn w:val="15"/>
    <w:link w:val="5"/>
    <w:semiHidden/>
    <w:qFormat/>
    <w:uiPriority w:val="99"/>
  </w:style>
  <w:style w:type="character" w:customStyle="1" w:styleId="21">
    <w:name w:val="批注主题 Char"/>
    <w:basedOn w:val="20"/>
    <w:link w:val="12"/>
    <w:semiHidden/>
    <w:qFormat/>
    <w:uiPriority w:val="99"/>
    <w:rPr>
      <w:b/>
      <w:bCs/>
    </w:rPr>
  </w:style>
  <w:style w:type="character" w:customStyle="1" w:styleId="22">
    <w:name w:val="批注框文本 Char"/>
    <w:basedOn w:val="15"/>
    <w:link w:val="8"/>
    <w:semiHidden/>
    <w:qFormat/>
    <w:uiPriority w:val="99"/>
    <w:rPr>
      <w:sz w:val="18"/>
      <w:szCs w:val="18"/>
    </w:rPr>
  </w:style>
  <w:style w:type="character" w:customStyle="1" w:styleId="23">
    <w:name w:val="标题 2 Char"/>
    <w:basedOn w:val="15"/>
    <w:link w:val="3"/>
    <w:qFormat/>
    <w:uiPriority w:val="9"/>
    <w:rPr>
      <w:rFonts w:eastAsia="黑体" w:asciiTheme="majorHAnsi" w:hAnsiTheme="majorHAnsi" w:cstheme="majorBidi"/>
      <w:bCs/>
      <w:sz w:val="32"/>
      <w:szCs w:val="32"/>
    </w:rPr>
  </w:style>
  <w:style w:type="character" w:customStyle="1" w:styleId="24">
    <w:name w:val="标题 3 Char"/>
    <w:basedOn w:val="15"/>
    <w:link w:val="4"/>
    <w:qFormat/>
    <w:uiPriority w:val="9"/>
    <w:rPr>
      <w:rFonts w:eastAsia="仿宋"/>
      <w:b/>
      <w:bCs/>
      <w:sz w:val="32"/>
      <w:szCs w:val="32"/>
    </w:rPr>
  </w:style>
  <w:style w:type="character" w:customStyle="1" w:styleId="25">
    <w:name w:val="标题 1 Char"/>
    <w:basedOn w:val="15"/>
    <w:link w:val="2"/>
    <w:qFormat/>
    <w:uiPriority w:val="9"/>
    <w:rPr>
      <w:b/>
      <w:bCs/>
      <w:kern w:val="44"/>
      <w:sz w:val="44"/>
      <w:szCs w:val="44"/>
    </w:rPr>
  </w:style>
  <w:style w:type="character" w:customStyle="1" w:styleId="26">
    <w:name w:val="正文文本 Char"/>
    <w:basedOn w:val="15"/>
    <w:link w:val="6"/>
    <w:qFormat/>
    <w:uiPriority w:val="1"/>
    <w:rPr>
      <w:rFonts w:ascii="宋体" w:hAnsi="宋体" w:eastAsia="宋体"/>
      <w:kern w:val="0"/>
      <w:sz w:val="30"/>
      <w:szCs w:val="30"/>
      <w:lang w:eastAsia="en-US"/>
    </w:rPr>
  </w:style>
  <w:style w:type="paragraph" w:customStyle="1" w:styleId="27">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9">
    <w:name w:val="List Paragraph"/>
    <w:basedOn w:val="1"/>
    <w:qFormat/>
    <w:uiPriority w:val="34"/>
    <w:pPr>
      <w:ind w:firstLine="420" w:firstLineChars="200"/>
    </w:pPr>
  </w:style>
  <w:style w:type="paragraph" w:customStyle="1" w:styleId="30">
    <w:name w:val="修订2"/>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D480D1FAF84903439A070A4D5DA572B3" ma:contentTypeVersion="0" ma:contentTypeDescription="新建文档。" ma:contentTypeScope="" ma:versionID="eba4740a2a550d0bffe07b28b956fa31">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507C-75B6-4341-8D63-FA3DC1C00005}">
  <ds:schemaRefs/>
</ds:datastoreItem>
</file>

<file path=customXml/itemProps2.xml><?xml version="1.0" encoding="utf-8"?>
<ds:datastoreItem xmlns:ds="http://schemas.openxmlformats.org/officeDocument/2006/customXml" ds:itemID="{DAA8764A-F91A-4C0F-BF3A-1D83399E302B}">
  <ds:schemaRefs/>
</ds:datastoreItem>
</file>

<file path=customXml/itemProps3.xml><?xml version="1.0" encoding="utf-8"?>
<ds:datastoreItem xmlns:ds="http://schemas.openxmlformats.org/officeDocument/2006/customXml" ds:itemID="{4CC0A93E-F4A4-4375-A43E-651448E3EEDF}">
  <ds:schemaRefs/>
</ds:datastoreItem>
</file>

<file path=customXml/itemProps4.xml><?xml version="1.0" encoding="utf-8"?>
<ds:datastoreItem xmlns:ds="http://schemas.openxmlformats.org/officeDocument/2006/customXml" ds:itemID="{F2D8584D-2D60-4659-8588-0C5B0BF090E2}">
  <ds:schemaRefs/>
</ds:datastoreItem>
</file>

<file path=docProps/app.xml><?xml version="1.0" encoding="utf-8"?>
<Properties xmlns="http://schemas.openxmlformats.org/officeDocument/2006/extended-properties" xmlns:vt="http://schemas.openxmlformats.org/officeDocument/2006/docPropsVTypes">
  <Template>Normal</Template>
  <Pages>23</Pages>
  <Words>1818</Words>
  <Characters>10364</Characters>
  <Lines>86</Lines>
  <Paragraphs>24</Paragraphs>
  <TotalTime>3</TotalTime>
  <ScaleCrop>false</ScaleCrop>
  <LinksUpToDate>false</LinksUpToDate>
  <CharactersWithSpaces>12158</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2023-08-10T02:35:00Z</dcterms:created>
  <dc:creator>张畅[zhangchang]</dc:creator>
  <cp:lastModifiedBy>xxb19</cp:lastModifiedBy>
  <cp:lastPrinted>2020-10-15T08:19:00Z</cp:lastPrinted>
  <dcterms:modified xsi:type="dcterms:W3CDTF">2023-09-09T02:44:17Z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0x010100D480D1FAF84903439A070A4D5DA572B3</vt:lpwstr>
  </property>
  <property fmtid="{D5CDD505-2E9C-101B-9397-08002B2CF9AE}" pid="3" name="KSOProductBuildVer">
    <vt:lpwstr>2052-11.8.2.12080</vt:lpwstr>
  </property>
  <property fmtid="{D5CDD505-2E9C-101B-9397-08002B2CF9AE}" pid="4" name="ICV">
    <vt:lpwstr>44756CCA797D409B8A2057FA60C24142</vt:lpwstr>
  </property>
</Properties>
</file>