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139" w:name="_GoBack"/>
      <w:bookmarkEnd w:id="139"/>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终止上市公司重新上市申请</w:t>
      </w:r>
    </w:p>
    <w:p>
      <w:pPr>
        <w:spacing w:line="560" w:lineRule="exact"/>
        <w:jc w:val="center"/>
        <w:rPr>
          <w:rFonts w:ascii="黑体" w:hAnsi="黑体" w:eastAsia="黑体"/>
          <w:sz w:val="32"/>
          <w:szCs w:val="32"/>
        </w:rPr>
      </w:pPr>
      <w:r>
        <w:rPr>
          <w:rFonts w:hint="eastAsia" w:ascii="仿宋" w:hAnsi="仿宋" w:eastAsia="仿宋"/>
          <w:b/>
          <w:sz w:val="44"/>
          <w:szCs w:val="44"/>
        </w:rPr>
        <w:t>（主板适用）</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目录</w:t>
      </w:r>
    </w:p>
    <w:p>
      <w:pPr>
        <w:spacing w:line="560" w:lineRule="exact"/>
        <w:jc w:val="center"/>
        <w:rPr>
          <w:rFonts w:ascii="黑体" w:hAnsi="黑体" w:eastAsia="黑体"/>
          <w:sz w:val="32"/>
          <w:szCs w:val="32"/>
        </w:rPr>
      </w:pPr>
    </w:p>
    <w:p>
      <w:pPr>
        <w:pStyle w:val="11"/>
        <w:tabs>
          <w:tab w:val="right" w:leader="dot" w:pos="8306"/>
        </w:tabs>
        <w:adjustRightInd w:val="0"/>
        <w:snapToGrid w:val="0"/>
        <w:spacing w:line="400" w:lineRule="exact"/>
        <w:ind w:left="0" w:leftChars="0"/>
        <w:rPr>
          <w:rFonts w:ascii="仿宋" w:hAnsi="仿宋" w:eastAsia="仿宋" w:cs="仿宋"/>
          <w:sz w:val="28"/>
          <w:szCs w:val="28"/>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TOC \o "1-3" \h \z \u </w:instrText>
      </w:r>
      <w:r>
        <w:rPr>
          <w:rFonts w:hint="eastAsia" w:asciiTheme="minorEastAsia" w:hAnsiTheme="minorEastAsia" w:cstheme="minorEastAsia"/>
          <w:szCs w:val="21"/>
        </w:rPr>
        <w:fldChar w:fldCharType="separate"/>
      </w:r>
      <w:r>
        <w:fldChar w:fldCharType="begin"/>
      </w:r>
      <w:r>
        <w:instrText xml:space="preserve"> HYPERLINK \l "_Toc26196"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_Toc26196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"_Toc15490"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_Toc15490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"_Toc20126"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_Toc20126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"_Toc13895"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_Toc13895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"_Toc20866" </w:instrText>
      </w:r>
      <w:r>
        <w:fldChar w:fldCharType="separate"/>
      </w:r>
      <w:r>
        <w:rPr>
          <w:rFonts w:hint="eastAsia" w:ascii="仿宋" w:hAnsi="仿宋" w:eastAsia="仿宋" w:cs="仿宋"/>
          <w:sz w:val="28"/>
          <w:szCs w:val="28"/>
        </w:rPr>
        <w:t>五、办理时限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_Toc20866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adjustRightInd w:val="0"/>
        <w:snapToGrid w:val="0"/>
        <w:spacing w:line="400" w:lineRule="exact"/>
        <w:ind w:left="420" w:leftChars="200"/>
        <w:rPr>
          <w:rFonts w:ascii="仿宋" w:hAnsi="仿宋" w:eastAsia="仿宋" w:cs="仿宋"/>
          <w:sz w:val="28"/>
          <w:szCs w:val="28"/>
        </w:rPr>
      </w:pPr>
      <w:r>
        <w:fldChar w:fldCharType="begin"/>
      </w:r>
      <w:r>
        <w:instrText xml:space="preserve"> HYPERLINK \l "_Toc17560" </w:instrText>
      </w:r>
      <w:r>
        <w:fldChar w:fldCharType="separate"/>
      </w:r>
      <w:r>
        <w:rPr>
          <w:rFonts w:hint="eastAsia" w:ascii="仿宋" w:hAnsi="仿宋" w:eastAsia="仿宋" w:cs="仿宋"/>
          <w:bCs/>
          <w:sz w:val="28"/>
          <w:szCs w:val="28"/>
        </w:rPr>
        <w:t>（一）受理时限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_Toc17560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adjustRightInd w:val="0"/>
        <w:snapToGrid w:val="0"/>
        <w:spacing w:line="400" w:lineRule="exact"/>
        <w:ind w:left="420" w:leftChars="200"/>
        <w:rPr>
          <w:rFonts w:ascii="仿宋" w:hAnsi="仿宋" w:eastAsia="仿宋" w:cs="仿宋"/>
          <w:sz w:val="28"/>
          <w:szCs w:val="28"/>
        </w:rPr>
      </w:pPr>
      <w:r>
        <w:fldChar w:fldCharType="begin"/>
      </w:r>
      <w:r>
        <w:instrText xml:space="preserve"> HYPERLINK \l "_Toc10928" </w:instrText>
      </w:r>
      <w:r>
        <w:fldChar w:fldCharType="separate"/>
      </w:r>
      <w:r>
        <w:rPr>
          <w:rFonts w:hint="eastAsia" w:ascii="仿宋" w:hAnsi="仿宋" w:eastAsia="仿宋" w:cs="仿宋"/>
          <w:bCs/>
          <w:sz w:val="28"/>
          <w:szCs w:val="28"/>
        </w:rPr>
        <w:t>（二）审核时限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_Toc10928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"_Toc20813" </w:instrText>
      </w:r>
      <w:r>
        <w:fldChar w:fldCharType="separate"/>
      </w:r>
      <w:r>
        <w:rPr>
          <w:rFonts w:hint="eastAsia" w:ascii="仿宋" w:hAnsi="仿宋" w:eastAsia="仿宋" w:cs="仿宋"/>
          <w:bCs/>
          <w:sz w:val="28"/>
          <w:szCs w:val="28"/>
        </w:rPr>
        <w:t>六、办理情形和条件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_Toc20813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"_Toc19959" </w:instrText>
      </w:r>
      <w:r>
        <w:fldChar w:fldCharType="separate"/>
      </w:r>
      <w:r>
        <w:rPr>
          <w:rFonts w:hint="eastAsia" w:ascii="仿宋" w:hAnsi="仿宋" w:eastAsia="仿宋" w:cs="仿宋"/>
          <w:sz w:val="28"/>
          <w:szCs w:val="28"/>
        </w:rPr>
        <w:t>七、不予受理情形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_Toc19959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"_Toc21735" </w:instrText>
      </w:r>
      <w:r>
        <w:fldChar w:fldCharType="separate"/>
      </w:r>
      <w:r>
        <w:rPr>
          <w:rFonts w:hint="eastAsia" w:ascii="仿宋" w:hAnsi="仿宋" w:eastAsia="仿宋" w:cs="仿宋"/>
          <w:sz w:val="28"/>
          <w:szCs w:val="28"/>
        </w:rPr>
        <w:t>八、申请接收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_Toc21735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"_Toc7678" </w:instrText>
      </w:r>
      <w:r>
        <w:fldChar w:fldCharType="separate"/>
      </w:r>
      <w:r>
        <w:rPr>
          <w:rFonts w:hint="eastAsia" w:ascii="仿宋" w:hAnsi="仿宋" w:eastAsia="仿宋" w:cs="仿宋"/>
          <w:sz w:val="28"/>
          <w:szCs w:val="28"/>
        </w:rPr>
        <w:t>九、办理流程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_Toc7678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adjustRightInd w:val="0"/>
        <w:snapToGrid w:val="0"/>
        <w:spacing w:line="400" w:lineRule="exact"/>
        <w:ind w:left="420" w:leftChars="200"/>
        <w:rPr>
          <w:rFonts w:ascii="仿宋" w:hAnsi="仿宋" w:eastAsia="仿宋" w:cs="仿宋"/>
          <w:sz w:val="28"/>
          <w:szCs w:val="28"/>
        </w:rPr>
      </w:pPr>
      <w:r>
        <w:fldChar w:fldCharType="begin"/>
      </w:r>
      <w:r>
        <w:instrText xml:space="preserve"> HYPERLINK \l "_Toc27380" </w:instrText>
      </w:r>
      <w:r>
        <w:fldChar w:fldCharType="separate"/>
      </w:r>
      <w:r>
        <w:rPr>
          <w:rFonts w:hint="eastAsia" w:ascii="仿宋" w:hAnsi="仿宋" w:eastAsia="仿宋" w:cs="仿宋"/>
          <w:sz w:val="28"/>
          <w:szCs w:val="28"/>
        </w:rPr>
        <w:t>（一）总体流程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_Toc27380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adjustRightInd w:val="0"/>
        <w:snapToGrid w:val="0"/>
        <w:spacing w:line="400" w:lineRule="exact"/>
        <w:ind w:left="420" w:leftChars="200"/>
        <w:rPr>
          <w:rFonts w:ascii="仿宋" w:hAnsi="仿宋" w:eastAsia="仿宋" w:cs="仿宋"/>
          <w:sz w:val="28"/>
          <w:szCs w:val="28"/>
        </w:rPr>
      </w:pPr>
      <w:r>
        <w:fldChar w:fldCharType="begin"/>
      </w:r>
      <w:r>
        <w:instrText xml:space="preserve"> HYPERLINK \l "_Toc1431" </w:instrText>
      </w:r>
      <w:r>
        <w:fldChar w:fldCharType="separate"/>
      </w:r>
      <w:r>
        <w:rPr>
          <w:rFonts w:hint="eastAsia" w:ascii="仿宋" w:hAnsi="仿宋" w:eastAsia="仿宋" w:cs="仿宋"/>
          <w:sz w:val="28"/>
          <w:szCs w:val="28"/>
        </w:rPr>
        <w:t>（二）中止审核与终止审核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adjustRightInd w:val="0"/>
        <w:snapToGrid w:val="0"/>
        <w:spacing w:line="400" w:lineRule="exact"/>
        <w:ind w:left="420" w:leftChars="200"/>
        <w:rPr>
          <w:rFonts w:ascii="仿宋" w:hAnsi="仿宋" w:eastAsia="仿宋" w:cs="仿宋"/>
          <w:sz w:val="28"/>
          <w:szCs w:val="28"/>
        </w:rPr>
      </w:pPr>
      <w:r>
        <w:fldChar w:fldCharType="begin"/>
      </w:r>
      <w:r>
        <w:instrText xml:space="preserve"> HYPERLINK \l "_Toc652" </w:instrText>
      </w:r>
      <w:r>
        <w:fldChar w:fldCharType="separate"/>
      </w:r>
      <w:r>
        <w:rPr>
          <w:rFonts w:hint="eastAsia" w:ascii="仿宋" w:hAnsi="仿宋" w:eastAsia="仿宋" w:cs="仿宋"/>
          <w:sz w:val="28"/>
          <w:szCs w:val="28"/>
        </w:rPr>
        <w:t>（三）期后事项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"_Toc28864" </w:instrText>
      </w:r>
      <w:r>
        <w:fldChar w:fldCharType="separate"/>
      </w:r>
      <w:r>
        <w:rPr>
          <w:rFonts w:hint="eastAsia" w:ascii="仿宋" w:hAnsi="仿宋" w:eastAsia="仿宋" w:cs="仿宋"/>
          <w:sz w:val="28"/>
          <w:szCs w:val="28"/>
        </w:rPr>
        <w:t>十、办公地址和时间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_Toc28864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adjustRightInd w:val="0"/>
        <w:snapToGrid w:val="0"/>
        <w:spacing w:line="400" w:lineRule="exact"/>
        <w:ind w:left="420" w:leftChars="200"/>
        <w:rPr>
          <w:rFonts w:ascii="仿宋" w:hAnsi="仿宋" w:eastAsia="仿宋" w:cs="仿宋"/>
          <w:sz w:val="28"/>
          <w:szCs w:val="28"/>
        </w:rPr>
      </w:pPr>
      <w:r>
        <w:fldChar w:fldCharType="begin"/>
      </w:r>
      <w:r>
        <w:instrText xml:space="preserve"> HYPERLINK \l "_Toc21468" </w:instrText>
      </w:r>
      <w:r>
        <w:fldChar w:fldCharType="separate"/>
      </w:r>
      <w:r>
        <w:rPr>
          <w:rFonts w:hint="eastAsia" w:ascii="仿宋" w:hAnsi="仿宋" w:eastAsia="仿宋" w:cs="仿宋"/>
          <w:bCs/>
          <w:sz w:val="28"/>
          <w:szCs w:val="28"/>
        </w:rPr>
        <w:t>（一）办理地点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_Toc21468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adjustRightInd w:val="0"/>
        <w:snapToGrid w:val="0"/>
        <w:spacing w:line="400" w:lineRule="exact"/>
        <w:ind w:left="420" w:leftChars="200"/>
      </w:pPr>
      <w:r>
        <w:fldChar w:fldCharType="begin"/>
      </w:r>
      <w:r>
        <w:instrText xml:space="preserve"> HYPERLINK \l "_Toc19086" </w:instrText>
      </w:r>
      <w:r>
        <w:fldChar w:fldCharType="separate"/>
      </w:r>
      <w:r>
        <w:rPr>
          <w:rFonts w:hint="eastAsia" w:ascii="仿宋" w:hAnsi="仿宋" w:eastAsia="仿宋" w:cs="仿宋"/>
          <w:bCs/>
          <w:sz w:val="28"/>
          <w:szCs w:val="28"/>
        </w:rPr>
        <w:t>（二）办理时间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_Toc19086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asciiTheme="minorEastAsia" w:hAnsiTheme="minorEastAsia" w:cstheme="minorEastAsia"/>
          <w:b/>
          <w:bCs/>
          <w:sz w:val="56"/>
        </w:rPr>
        <w:sectPr>
          <w:footerReference r:id="rId3" w:type="default"/>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Cs w:val="21"/>
        </w:rPr>
        <w:fldChar w:fldCharType="end"/>
      </w:r>
    </w:p>
    <w:p>
      <w:pPr>
        <w:pStyle w:val="3"/>
        <w:ind w:firstLine="640" w:firstLineChars="200"/>
      </w:pPr>
      <w:bookmarkStart w:id="0" w:name="_Toc5491"/>
      <w:bookmarkStart w:id="1" w:name="_Toc54961100"/>
      <w:bookmarkStart w:id="2" w:name="_Toc13242"/>
      <w:bookmarkStart w:id="3" w:name="_Toc5378"/>
      <w:bookmarkStart w:id="4" w:name="_Toc14882"/>
      <w:bookmarkStart w:id="5" w:name="_Toc15816"/>
      <w:bookmarkStart w:id="6" w:name="_Toc28117"/>
      <w:bookmarkStart w:id="7" w:name="_Toc4577"/>
      <w:bookmarkStart w:id="8" w:name="_Toc26196"/>
      <w:r>
        <w:rPr>
          <w:rFonts w:hint="eastAsia"/>
        </w:rPr>
        <w:t>一、事项名称</w:t>
      </w:r>
      <w:bookmarkEnd w:id="0"/>
      <w:bookmarkEnd w:id="1"/>
      <w:bookmarkEnd w:id="2"/>
      <w:bookmarkEnd w:id="3"/>
      <w:bookmarkEnd w:id="4"/>
      <w:bookmarkEnd w:id="5"/>
      <w:bookmarkEnd w:id="6"/>
      <w:bookmarkEnd w:id="7"/>
      <w:bookmarkEnd w:id="8"/>
    </w:p>
    <w:p>
      <w:pPr>
        <w:spacing w:line="560" w:lineRule="exact"/>
        <w:ind w:firstLine="640" w:firstLineChars="200"/>
        <w:rPr>
          <w:rFonts w:ascii="仿宋" w:hAnsi="仿宋" w:eastAsia="仿宋"/>
          <w:sz w:val="32"/>
          <w:szCs w:val="32"/>
        </w:rPr>
      </w:pPr>
      <w:r>
        <w:rPr>
          <w:rFonts w:hint="eastAsia" w:ascii="仿宋" w:hAnsi="仿宋" w:eastAsia="仿宋"/>
          <w:sz w:val="32"/>
          <w:szCs w:val="32"/>
        </w:rPr>
        <w:t>终止上市公司重新上市申请（主板适用）</w:t>
      </w:r>
    </w:p>
    <w:p>
      <w:pPr>
        <w:spacing w:line="560" w:lineRule="exact"/>
        <w:ind w:firstLine="640" w:firstLineChars="200"/>
        <w:rPr>
          <w:rFonts w:ascii="仿宋" w:hAnsi="仿宋" w:eastAsia="仿宋"/>
          <w:sz w:val="32"/>
          <w:szCs w:val="32"/>
        </w:rPr>
      </w:pPr>
    </w:p>
    <w:p>
      <w:pPr>
        <w:pStyle w:val="3"/>
        <w:ind w:firstLine="640" w:firstLineChars="200"/>
      </w:pPr>
      <w:bookmarkStart w:id="9" w:name="_Toc54961101"/>
      <w:bookmarkStart w:id="10" w:name="_Toc11101"/>
      <w:bookmarkStart w:id="11" w:name="_Toc15490"/>
      <w:bookmarkStart w:id="12" w:name="_Toc7075"/>
      <w:bookmarkStart w:id="13" w:name="_Toc20330"/>
      <w:bookmarkStart w:id="14" w:name="_Toc19644"/>
      <w:bookmarkStart w:id="15" w:name="_Toc9498"/>
      <w:bookmarkStart w:id="16" w:name="_Toc16874"/>
      <w:bookmarkStart w:id="17" w:name="_Toc30676"/>
      <w:r>
        <w:rPr>
          <w:rFonts w:hint="eastAsia"/>
        </w:rPr>
        <w:t>二、规则依据</w:t>
      </w:r>
      <w:bookmarkEnd w:id="9"/>
      <w:bookmarkEnd w:id="10"/>
      <w:bookmarkEnd w:id="11"/>
      <w:bookmarkEnd w:id="12"/>
      <w:bookmarkEnd w:id="13"/>
      <w:bookmarkEnd w:id="14"/>
      <w:bookmarkEnd w:id="15"/>
      <w:bookmarkEnd w:id="16"/>
      <w:bookmarkEnd w:id="17"/>
    </w:p>
    <w:p>
      <w:pPr>
        <w:spacing w:line="560" w:lineRule="exact"/>
        <w:ind w:firstLine="640" w:firstLineChars="200"/>
      </w:pPr>
      <w:r>
        <w:rPr>
          <w:rFonts w:hint="eastAsia" w:ascii="仿宋" w:hAnsi="仿宋" w:eastAsia="仿宋"/>
          <w:sz w:val="32"/>
          <w:szCs w:val="32"/>
        </w:rPr>
        <w:t>《深圳证券交易所股票上市规则》</w:t>
      </w:r>
    </w:p>
    <w:p>
      <w:pPr>
        <w:spacing w:line="560" w:lineRule="exact"/>
        <w:ind w:firstLine="640" w:firstLineChars="200"/>
        <w:rPr>
          <w:rFonts w:ascii="仿宋" w:hAnsi="仿宋" w:eastAsia="仿宋"/>
          <w:sz w:val="32"/>
          <w:szCs w:val="32"/>
        </w:rPr>
      </w:pPr>
    </w:p>
    <w:p>
      <w:pPr>
        <w:pStyle w:val="3"/>
        <w:ind w:firstLine="640" w:firstLineChars="200"/>
      </w:pPr>
      <w:bookmarkStart w:id="18" w:name="_Toc21421"/>
      <w:bookmarkStart w:id="19" w:name="_Toc54961102"/>
      <w:bookmarkStart w:id="20" w:name="_Toc18863"/>
      <w:bookmarkStart w:id="21" w:name="_Toc19061"/>
      <w:bookmarkStart w:id="22" w:name="_Toc28447"/>
      <w:bookmarkStart w:id="23" w:name="_Toc2164"/>
      <w:bookmarkStart w:id="24" w:name="_Toc14390"/>
      <w:bookmarkStart w:id="25" w:name="_Toc16824"/>
      <w:bookmarkStart w:id="26" w:name="_Toc20126"/>
      <w:r>
        <w:rPr>
          <w:rFonts w:hint="eastAsia"/>
        </w:rPr>
        <w:t>三、受理部门</w:t>
      </w:r>
      <w:bookmarkEnd w:id="18"/>
      <w:bookmarkEnd w:id="19"/>
      <w:bookmarkEnd w:id="20"/>
      <w:bookmarkEnd w:id="21"/>
      <w:bookmarkEnd w:id="22"/>
      <w:bookmarkEnd w:id="23"/>
      <w:bookmarkEnd w:id="24"/>
      <w:bookmarkEnd w:id="25"/>
      <w:bookmarkEnd w:id="26"/>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深圳证券交易所上市审核中心</w:t>
      </w:r>
    </w:p>
    <w:p>
      <w:pPr>
        <w:spacing w:line="560" w:lineRule="exact"/>
        <w:ind w:firstLine="640" w:firstLineChars="200"/>
        <w:rPr>
          <w:rFonts w:ascii="仿宋" w:hAnsi="仿宋" w:eastAsia="仿宋"/>
          <w:sz w:val="32"/>
          <w:szCs w:val="32"/>
        </w:rPr>
      </w:pPr>
    </w:p>
    <w:p>
      <w:pPr>
        <w:pStyle w:val="3"/>
        <w:ind w:firstLine="640" w:firstLineChars="200"/>
      </w:pPr>
      <w:bookmarkStart w:id="27" w:name="_Toc21175"/>
      <w:bookmarkStart w:id="28" w:name="_Toc54961103"/>
      <w:bookmarkStart w:id="29" w:name="_Toc16194"/>
      <w:bookmarkStart w:id="30" w:name="_Toc18476"/>
      <w:bookmarkStart w:id="31" w:name="_Toc24433"/>
      <w:bookmarkStart w:id="32" w:name="_Toc28742"/>
      <w:bookmarkStart w:id="33" w:name="_Toc17923"/>
      <w:bookmarkStart w:id="34" w:name="_Toc13895"/>
      <w:bookmarkStart w:id="35" w:name="_Toc30175"/>
      <w:r>
        <w:rPr>
          <w:rFonts w:hint="eastAsia"/>
        </w:rPr>
        <w:t>四、办理部门</w:t>
      </w:r>
      <w:bookmarkEnd w:id="27"/>
      <w:bookmarkEnd w:id="28"/>
      <w:bookmarkEnd w:id="29"/>
      <w:bookmarkEnd w:id="30"/>
      <w:bookmarkEnd w:id="31"/>
      <w:bookmarkEnd w:id="32"/>
      <w:bookmarkEnd w:id="33"/>
      <w:bookmarkEnd w:id="34"/>
      <w:bookmarkEnd w:id="35"/>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深圳证券交易所上市审核中心</w:t>
      </w:r>
    </w:p>
    <w:p>
      <w:pPr>
        <w:spacing w:line="560" w:lineRule="exact"/>
        <w:ind w:firstLine="640" w:firstLineChars="200"/>
        <w:rPr>
          <w:rFonts w:ascii="仿宋" w:hAnsi="仿宋" w:eastAsia="仿宋"/>
          <w:sz w:val="32"/>
          <w:szCs w:val="32"/>
        </w:rPr>
      </w:pPr>
    </w:p>
    <w:p>
      <w:pPr>
        <w:pStyle w:val="3"/>
        <w:ind w:firstLine="640" w:firstLineChars="200"/>
      </w:pPr>
      <w:bookmarkStart w:id="36" w:name="_Toc20866"/>
      <w:bookmarkStart w:id="37" w:name="_Toc26838"/>
      <w:bookmarkStart w:id="38" w:name="_Toc28905"/>
      <w:bookmarkStart w:id="39" w:name="_Toc32066"/>
      <w:bookmarkStart w:id="40" w:name="_Toc3819"/>
      <w:bookmarkStart w:id="41" w:name="_Toc10579"/>
      <w:bookmarkStart w:id="42" w:name="_Toc20671"/>
      <w:bookmarkStart w:id="43" w:name="_Toc30477"/>
      <w:bookmarkStart w:id="44" w:name="_Toc54961104"/>
      <w:r>
        <w:rPr>
          <w:rFonts w:hint="eastAsia"/>
        </w:rPr>
        <w:t>五、办理时限</w:t>
      </w:r>
      <w:bookmarkEnd w:id="36"/>
      <w:bookmarkEnd w:id="37"/>
      <w:bookmarkEnd w:id="38"/>
      <w:bookmarkEnd w:id="39"/>
      <w:bookmarkEnd w:id="40"/>
      <w:bookmarkEnd w:id="41"/>
      <w:bookmarkEnd w:id="42"/>
      <w:bookmarkEnd w:id="43"/>
      <w:bookmarkEnd w:id="44"/>
    </w:p>
    <w:p>
      <w:pPr>
        <w:spacing w:line="560" w:lineRule="exact"/>
        <w:ind w:firstLine="643" w:firstLineChars="200"/>
        <w:outlineLvl w:val="2"/>
        <w:rPr>
          <w:rFonts w:ascii="仿宋" w:hAnsi="仿宋" w:eastAsia="仿宋"/>
          <w:b/>
          <w:bCs/>
          <w:sz w:val="32"/>
          <w:szCs w:val="32"/>
        </w:rPr>
      </w:pPr>
      <w:bookmarkStart w:id="45" w:name="_Toc5559"/>
      <w:bookmarkStart w:id="46" w:name="_Toc24044"/>
      <w:bookmarkStart w:id="47" w:name="_Toc17560"/>
      <w:bookmarkStart w:id="48" w:name="_Toc5486"/>
      <w:bookmarkStart w:id="49" w:name="_Toc11653"/>
      <w:bookmarkStart w:id="50" w:name="_Toc3854"/>
      <w:bookmarkStart w:id="51" w:name="_Toc5225"/>
      <w:r>
        <w:rPr>
          <w:rFonts w:hint="eastAsia" w:ascii="仿宋" w:hAnsi="仿宋" w:eastAsia="仿宋"/>
          <w:b/>
          <w:bCs/>
          <w:sz w:val="32"/>
          <w:szCs w:val="32"/>
        </w:rPr>
        <w:t>（一）受理时限</w:t>
      </w:r>
      <w:bookmarkEnd w:id="45"/>
      <w:bookmarkEnd w:id="46"/>
      <w:bookmarkEnd w:id="47"/>
      <w:bookmarkEnd w:id="48"/>
      <w:bookmarkEnd w:id="49"/>
      <w:bookmarkEnd w:id="50"/>
      <w:bookmarkEnd w:id="51"/>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本所在收到公司重新上市申请文件后的五个交易日内作出是否受理的决定。公司按照本所要求提供补充材料的时间不计入上述期限内，但补充材料的期限累计不得超过十五个交易日。</w:t>
      </w:r>
    </w:p>
    <w:p>
      <w:pPr>
        <w:spacing w:line="560" w:lineRule="exact"/>
        <w:ind w:firstLine="643" w:firstLineChars="200"/>
        <w:outlineLvl w:val="2"/>
        <w:rPr>
          <w:rFonts w:ascii="仿宋" w:hAnsi="仿宋" w:eastAsia="仿宋"/>
          <w:b/>
          <w:bCs/>
          <w:sz w:val="32"/>
          <w:szCs w:val="32"/>
        </w:rPr>
      </w:pPr>
      <w:bookmarkStart w:id="52" w:name="_Toc17521"/>
      <w:bookmarkStart w:id="53" w:name="_Toc6948"/>
      <w:bookmarkStart w:id="54" w:name="_Toc10928"/>
      <w:bookmarkStart w:id="55" w:name="_Toc8529"/>
      <w:bookmarkStart w:id="56" w:name="_Toc11534"/>
      <w:bookmarkStart w:id="57" w:name="_Toc11805"/>
      <w:bookmarkStart w:id="58" w:name="_Toc29548"/>
      <w:r>
        <w:rPr>
          <w:rFonts w:hint="eastAsia" w:ascii="仿宋" w:hAnsi="仿宋" w:eastAsia="仿宋"/>
          <w:b/>
          <w:bCs/>
          <w:sz w:val="32"/>
          <w:szCs w:val="32"/>
        </w:rPr>
        <w:t>（二）审核时限</w:t>
      </w:r>
      <w:bookmarkEnd w:id="52"/>
      <w:bookmarkEnd w:id="53"/>
      <w:bookmarkEnd w:id="54"/>
      <w:bookmarkEnd w:id="55"/>
      <w:bookmarkEnd w:id="56"/>
      <w:bookmarkEnd w:id="57"/>
      <w:bookmarkEnd w:id="58"/>
    </w:p>
    <w:p>
      <w:pPr>
        <w:spacing w:line="560" w:lineRule="exact"/>
        <w:ind w:firstLine="640" w:firstLineChars="200"/>
        <w:rPr>
          <w:rFonts w:ascii="仿宋" w:hAnsi="仿宋" w:eastAsia="仿宋"/>
          <w:sz w:val="32"/>
          <w:szCs w:val="32"/>
        </w:rPr>
      </w:pPr>
      <w:r>
        <w:rPr>
          <w:rFonts w:hint="eastAsia" w:ascii="仿宋" w:hAnsi="仿宋" w:eastAsia="仿宋"/>
          <w:sz w:val="32"/>
          <w:szCs w:val="32"/>
        </w:rPr>
        <w:t>主动终止上市公司申请其股票重新上市的，本所将在受理公司股票重新上市申请后的三十个交易日内，作出是否同意其股票重新上市申请的决定。强制退市公司申请其股票重新上市的，本所将在受理公司股票重新上市申请后的六十个交易日内，作出是否同意其股票重新上市申请的决定。在此期间，本所要求提供补充材料的，公司应当按照本所要求提供。公司补充材料的时间不计入上述期限内，但累计不得超过三十个交易日。本所可以自行或委托相关单位就公司相关情况进行调查核实，调查核实期间不计入本所作出是否同意其股票重新上市申请的期限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触及本所规定的中止审核、暂缓审议、处理会后事项等情形，并要求公司及中介机构补充、修订更新申请文件的，不计入本所作出是否同意其股票重新上市申请的期限内。</w:t>
      </w:r>
    </w:p>
    <w:p>
      <w:pPr>
        <w:spacing w:line="560" w:lineRule="exact"/>
        <w:ind w:firstLine="640" w:firstLineChars="200"/>
        <w:rPr>
          <w:rFonts w:ascii="仿宋" w:hAnsi="仿宋" w:eastAsia="仿宋"/>
          <w:sz w:val="32"/>
          <w:szCs w:val="32"/>
        </w:rPr>
      </w:pPr>
    </w:p>
    <w:p>
      <w:pPr>
        <w:pStyle w:val="3"/>
        <w:ind w:firstLine="640" w:firstLineChars="200"/>
      </w:pPr>
      <w:bookmarkStart w:id="59" w:name="_Toc7535"/>
      <w:bookmarkStart w:id="60" w:name="_Toc20813"/>
      <w:bookmarkStart w:id="61" w:name="_Toc8810"/>
      <w:bookmarkStart w:id="62" w:name="_Toc14957"/>
      <w:bookmarkStart w:id="63" w:name="_Toc13604"/>
      <w:bookmarkStart w:id="64" w:name="_Toc11752"/>
      <w:bookmarkStart w:id="65" w:name="_Toc21407"/>
      <w:bookmarkStart w:id="66" w:name="_Toc31723"/>
      <w:r>
        <w:rPr>
          <w:rFonts w:hint="eastAsia"/>
        </w:rPr>
        <w:t>六、办理情形和条件</w:t>
      </w:r>
      <w:bookmarkEnd w:id="59"/>
      <w:bookmarkEnd w:id="60"/>
      <w:bookmarkEnd w:id="61"/>
      <w:bookmarkEnd w:id="62"/>
      <w:bookmarkEnd w:id="63"/>
      <w:bookmarkEnd w:id="64"/>
      <w:bookmarkEnd w:id="65"/>
      <w:bookmarkEnd w:id="66"/>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《深圳证券交易所股票上市规则》规定的情形和条件如下：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10.2.1 上市公司在其股票终止上市后，其终止上市情形（交易类强制退市情形除外）已消除，且同时符合下列条件的，可以向本所申请重新上市：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（一）符合《证券法》、中国证监会规定的发行条件。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（二）公司股本总额不低于5000万元。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（三）社会公众持有的股份占公司股份总数的比例为25%以上；公司股本总额超过4亿元的，社会公众持有的股份占公司股份总数的比例为10%以上。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（四）市值及财务指标符合本规则第三章第一节规定的相应标准。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（五）公司董事、监事、高级管理人员具备法律法规、本所有关规定及公司章程规定的任职条件，且不存在影响其任职的情形。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（六）本所要求的其他条件。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前款第（五）项所称影响其任职的情形，包括：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（一）被中国证监会采取不得担任上市公司董事、监事、高级管理人员的证券市场禁入措施，期限尚未届满；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（二）最近三十六个月内受到中国证监会行政处罚，或者最近十二个月内受到证券交易所公开谴责；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（三）因涉嫌犯罪被司法机关立案侦查或者涉嫌违法违规被中国证监会立案调查，尚未有明确结论意见；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（四）本所规定的其他情形。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公司在终止上市前未完成股权分置改革的，应当按照股权分置改革有关规定的要求就非流通股可以上市交易作出安排。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10.2.2上市公司因触及重大违法强制退市情形，其股票被本所终止上市后，符合本规则第10.2.1条规定的重新上市条件拟向本所申请其股票重新上市的，还应当符合下列条件：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（一）已全面纠正违法行为并符合下列要求：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spacing w:val="-4"/>
          <w:kern w:val="0"/>
          <w:sz w:val="32"/>
          <w:szCs w:val="32"/>
        </w:rPr>
        <w:t>．</w:t>
      </w:r>
      <w:r>
        <w:rPr>
          <w:rFonts w:hint="eastAsia" w:ascii="仿宋" w:hAnsi="仿宋" w:eastAsia="仿宋"/>
          <w:sz w:val="32"/>
          <w:szCs w:val="32"/>
        </w:rPr>
        <w:t>公司就重大违法行为所涉事项已进行补充披露或者更正公告；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pacing w:val="-4"/>
          <w:kern w:val="0"/>
          <w:sz w:val="32"/>
          <w:szCs w:val="32"/>
        </w:rPr>
        <w:t>．</w:t>
      </w:r>
      <w:r>
        <w:rPr>
          <w:rFonts w:hint="eastAsia" w:ascii="仿宋" w:hAnsi="仿宋" w:eastAsia="仿宋"/>
          <w:sz w:val="32"/>
          <w:szCs w:val="32"/>
        </w:rPr>
        <w:t>对重大违法行为的责任追究已处理完毕；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宋体"/>
          <w:spacing w:val="-4"/>
          <w:kern w:val="0"/>
          <w:sz w:val="32"/>
          <w:szCs w:val="32"/>
        </w:rPr>
        <w:t>．</w:t>
      </w:r>
      <w:r>
        <w:rPr>
          <w:rFonts w:hint="eastAsia" w:ascii="仿宋" w:hAnsi="仿宋" w:eastAsia="仿宋"/>
          <w:sz w:val="32"/>
          <w:szCs w:val="32"/>
        </w:rPr>
        <w:t>公司就重大违法行为所涉事项已补充履行相关决策程序；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cs="宋体"/>
          <w:spacing w:val="-4"/>
          <w:kern w:val="0"/>
          <w:sz w:val="32"/>
          <w:szCs w:val="32"/>
        </w:rPr>
        <w:t>．</w:t>
      </w:r>
      <w:r>
        <w:rPr>
          <w:rFonts w:hint="eastAsia" w:ascii="仿宋" w:hAnsi="仿宋" w:eastAsia="仿宋"/>
          <w:sz w:val="32"/>
          <w:szCs w:val="32"/>
        </w:rPr>
        <w:t>公司因重大违法行为发生的损失已获得相关责任主体弥补；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cs="宋体"/>
          <w:spacing w:val="-4"/>
          <w:kern w:val="0"/>
          <w:sz w:val="32"/>
          <w:szCs w:val="32"/>
        </w:rPr>
        <w:t>．</w:t>
      </w:r>
      <w:r>
        <w:rPr>
          <w:rFonts w:hint="eastAsia" w:ascii="仿宋" w:hAnsi="仿宋" w:eastAsia="仿宋"/>
          <w:sz w:val="32"/>
          <w:szCs w:val="32"/>
        </w:rPr>
        <w:t>重大违法行为可能引发的与公司相关的风险因素已消除。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（二）已及时撤换下列有关责任人员：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spacing w:val="-4"/>
          <w:kern w:val="0"/>
          <w:sz w:val="32"/>
          <w:szCs w:val="32"/>
        </w:rPr>
        <w:t>．</w:t>
      </w:r>
      <w:r>
        <w:rPr>
          <w:rFonts w:hint="eastAsia" w:ascii="仿宋" w:hAnsi="仿宋" w:eastAsia="仿宋"/>
          <w:sz w:val="32"/>
          <w:szCs w:val="32"/>
        </w:rPr>
        <w:t>被人民法院判决有罪的有关人员；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pacing w:val="-4"/>
          <w:kern w:val="0"/>
          <w:sz w:val="32"/>
          <w:szCs w:val="32"/>
        </w:rPr>
        <w:t>．</w:t>
      </w:r>
      <w:r>
        <w:rPr>
          <w:rFonts w:hint="eastAsia" w:ascii="仿宋" w:hAnsi="仿宋" w:eastAsia="仿宋"/>
          <w:sz w:val="32"/>
          <w:szCs w:val="32"/>
        </w:rPr>
        <w:t>被相关行政机关行政处罚的有关人员；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宋体"/>
          <w:spacing w:val="-4"/>
          <w:kern w:val="0"/>
          <w:sz w:val="32"/>
          <w:szCs w:val="32"/>
        </w:rPr>
        <w:t>．</w:t>
      </w:r>
      <w:r>
        <w:rPr>
          <w:rFonts w:hint="eastAsia" w:ascii="仿宋" w:hAnsi="仿宋" w:eastAsia="仿宋"/>
          <w:sz w:val="32"/>
          <w:szCs w:val="32"/>
        </w:rPr>
        <w:t>被相关行政机关依法移送公安机关立案调查的有关人员；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cs="宋体"/>
          <w:spacing w:val="-4"/>
          <w:kern w:val="0"/>
          <w:sz w:val="32"/>
          <w:szCs w:val="32"/>
        </w:rPr>
        <w:t>．</w:t>
      </w:r>
      <w:r>
        <w:rPr>
          <w:rFonts w:hint="eastAsia" w:ascii="仿宋" w:hAnsi="仿宋" w:eastAsia="仿宋"/>
          <w:sz w:val="32"/>
          <w:szCs w:val="32"/>
        </w:rPr>
        <w:t>中国证监会、本所认定的对重大违法行为负有重要责任的其他人员。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（三）已对民事赔偿责任作出妥善安排并符合下列要求：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spacing w:val="-4"/>
          <w:kern w:val="0"/>
          <w:sz w:val="32"/>
          <w:szCs w:val="32"/>
        </w:rPr>
        <w:t>．</w:t>
      </w:r>
      <w:r>
        <w:rPr>
          <w:rFonts w:hint="eastAsia" w:ascii="仿宋" w:hAnsi="仿宋" w:eastAsia="仿宋"/>
          <w:sz w:val="32"/>
          <w:szCs w:val="32"/>
        </w:rPr>
        <w:t>相关赔偿事项已由人民法院作出判决的，该判决已执行完毕；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pacing w:val="-4"/>
          <w:kern w:val="0"/>
          <w:sz w:val="32"/>
          <w:szCs w:val="32"/>
        </w:rPr>
        <w:t>．</w:t>
      </w:r>
      <w:r>
        <w:rPr>
          <w:rFonts w:hint="eastAsia" w:ascii="仿宋" w:hAnsi="仿宋" w:eastAsia="仿宋"/>
          <w:sz w:val="32"/>
          <w:szCs w:val="32"/>
        </w:rPr>
        <w:t>相关赔偿事项未由人民法院作出判决，但已达成和解的，该和解协议已执行完毕；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宋体"/>
          <w:spacing w:val="-4"/>
          <w:kern w:val="0"/>
          <w:sz w:val="32"/>
          <w:szCs w:val="32"/>
        </w:rPr>
        <w:t>．</w:t>
      </w:r>
      <w:r>
        <w:rPr>
          <w:rFonts w:hint="eastAsia" w:ascii="仿宋" w:hAnsi="仿宋" w:eastAsia="仿宋"/>
          <w:sz w:val="32"/>
          <w:szCs w:val="32"/>
        </w:rPr>
        <w:t>相关赔偿事项未由人民法院作出判决，且未达成和解的，已按预计最高索赔金额计提赔偿基金，并将足额资金划入基金专户存储；公司的控股股东及其实际控制人或者第三方已承诺：将对赔偿基金不足或者未予赔偿的部分代为赔付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（四）不存在本所规定的终止上市情形。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公司应当聘请律师事务所对前款所述事项进行逐项核查，就公司是否具备申请重新上市的主体资格、是否符合重新上市的条件出具专门意见。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重新上市保荐人应当在重新上市保荐书中对第一款所述事项逐项说明，并就公司重大违法行为影响已基本消除、风险已得到控制，公司符合申请重新上市的条件明确发表意见。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10.2.3 上市公司因触及欺诈发行强制退市情形，其股票被本所终止上市的，不得在本所重新上市。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10.2.4 主动终止上市公司符合本章规定的重新上市条件的，可以随时向本所提出重新上市的申请。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强制退市公司（欺诈发行强制退市情形除外）依据本规则第10.2.1条的规定向本所申请其股票重新上市的，其申请时间应当符合下列规定：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公司因重大违法类强制退市情形（欺诈发行强制退市情形除外）其股票被终止上市的，首次提出重新上市申请与其股票终止上市后进入全国中小企业股份转让系统等证券交易场所的时间间隔应当不少于五个完整的会计年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（二）公司因交易类强制退市情形其股票被终止上市的，首次提出重新上市申请与其股票终止上市后进入全国中小企业股份转让系统等证券交易场所的时间间隔应当不少于三个月；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（三）公司因前述两项情形之外的其他强制退市情形其股票被终止上市的，首次提出重新上市申请与其股票终止上市后进入全国中小企业股份转让系统等证券交易场所的时间间隔应当不少于十二个月。</w:t>
      </w:r>
    </w:p>
    <w:p>
      <w:pPr>
        <w:spacing w:line="560" w:lineRule="exact"/>
        <w:ind w:firstLine="640" w:firstLineChars="200"/>
        <w:rPr>
          <w:rFonts w:ascii="仿宋" w:hAnsi="仿宋" w:eastAsia="仿宋"/>
          <w:sz w:val="32"/>
          <w:szCs w:val="32"/>
        </w:rPr>
      </w:pPr>
    </w:p>
    <w:p>
      <w:pPr>
        <w:pStyle w:val="3"/>
        <w:ind w:firstLine="640" w:firstLineChars="200"/>
      </w:pPr>
      <w:bookmarkStart w:id="67" w:name="_Toc12993"/>
      <w:bookmarkStart w:id="68" w:name="_Toc19959"/>
      <w:bookmarkStart w:id="69" w:name="_Toc26973"/>
      <w:bookmarkStart w:id="70" w:name="_Toc54961106"/>
      <w:bookmarkStart w:id="71" w:name="_Toc3468"/>
      <w:bookmarkStart w:id="72" w:name="_Toc32006"/>
      <w:bookmarkStart w:id="73" w:name="_Toc5704"/>
      <w:bookmarkStart w:id="74" w:name="_Toc25020"/>
      <w:bookmarkStart w:id="75" w:name="_Toc31359"/>
      <w:r>
        <w:rPr>
          <w:rFonts w:hint="eastAsia"/>
        </w:rPr>
        <w:t>七、不予受理情形</w:t>
      </w:r>
      <w:bookmarkEnd w:id="67"/>
      <w:bookmarkEnd w:id="68"/>
      <w:bookmarkEnd w:id="69"/>
      <w:bookmarkEnd w:id="70"/>
      <w:bookmarkEnd w:id="71"/>
      <w:bookmarkEnd w:id="72"/>
      <w:bookmarkEnd w:id="73"/>
      <w:bookmarkEnd w:id="74"/>
      <w:bookmarkEnd w:id="75"/>
    </w:p>
    <w:p>
      <w:pPr>
        <w:spacing w:line="560" w:lineRule="exact"/>
        <w:ind w:firstLine="640" w:firstLineChars="200"/>
        <w:rPr>
          <w:rFonts w:ascii="仿宋" w:hAnsi="仿宋" w:eastAsia="仿宋"/>
          <w:sz w:val="32"/>
          <w:szCs w:val="32"/>
        </w:rPr>
      </w:pPr>
      <w:r>
        <w:rPr>
          <w:rFonts w:hint="eastAsia" w:ascii="仿宋" w:hAnsi="仿宋" w:eastAsia="仿宋"/>
          <w:sz w:val="32"/>
          <w:szCs w:val="32"/>
        </w:rPr>
        <w:t>1. 根据《深圳证券交易所股票上市规则》第10.2.5条规定，上市公司在其股票终止上市过程中存在下列情形之一的，本所自公司股票终止上市后三十六个月内不受理其重新上市的申请：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（1）上市公司股票可能被强制退市但其董事会已审议通过并公告筹划重大资产重组事项的，公司董事会未按规定及时召开股东大会，决定公司股票在终止上市后是否进入退市整理期交易；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（2）在退市整理期间未按本所有关规定履行信息披露及其他相关义务；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（3）未按本所有关规定安排股份转入全国中小企业股份转让系统等证券交易场所进行转让；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（4）其他拒不履行本所规定的义务、不配合退市相关工作的情形。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根据《深圳证券交易所股票上市规则》第10.2.9条规定，存在下列情形之一的，本所不予受理公司的重新上市申请文件：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（1）重新上市报告书、重新上市保荐书、法律意见书等重新上市申请文件不齐备且未按要求补正；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司及其控股股东、实际控制人、董事、监事、高级管理人员，中介机构及其主办人员因证券违法违规被中国证监会采取认定为不适当人选、限制业务活动、证券市场禁入，被证券交易所、国务院批准的其他全国性证券交易场所采取一定期限内不接受其出具的相关文件、公开认定不适合担任公司董事、监事、高级管理人员，或者被中国证券业协会采取认定不适合从事相关业务等相关措施，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（3）法律、行政法规及中国证监会规定的其他情形。</w:t>
      </w:r>
    </w:p>
    <w:p>
      <w:pPr>
        <w:spacing w:line="560" w:lineRule="exact"/>
        <w:ind w:firstLine="640" w:firstLineChars="200"/>
        <w:rPr>
          <w:rFonts w:ascii="仿宋" w:hAnsi="仿宋" w:eastAsia="仿宋"/>
          <w:sz w:val="32"/>
          <w:szCs w:val="32"/>
        </w:rPr>
      </w:pPr>
    </w:p>
    <w:p>
      <w:pPr>
        <w:pStyle w:val="3"/>
        <w:ind w:firstLine="640" w:firstLineChars="200"/>
      </w:pPr>
      <w:bookmarkStart w:id="76" w:name="_Toc24779"/>
      <w:bookmarkStart w:id="77" w:name="_Toc8861"/>
      <w:bookmarkStart w:id="78" w:name="_Toc16184"/>
      <w:bookmarkStart w:id="79" w:name="_Toc54961108"/>
      <w:bookmarkStart w:id="80" w:name="_Toc21735"/>
      <w:bookmarkStart w:id="81" w:name="_Toc734"/>
      <w:bookmarkStart w:id="82" w:name="_Toc22124"/>
      <w:bookmarkStart w:id="83" w:name="_Toc31877"/>
      <w:bookmarkStart w:id="84" w:name="_Toc28470"/>
      <w:r>
        <w:rPr>
          <w:rFonts w:hint="eastAsia"/>
        </w:rPr>
        <w:t>八、申请接收</w:t>
      </w:r>
      <w:bookmarkEnd w:id="76"/>
      <w:bookmarkEnd w:id="77"/>
      <w:bookmarkEnd w:id="78"/>
      <w:bookmarkEnd w:id="79"/>
      <w:bookmarkEnd w:id="80"/>
      <w:bookmarkEnd w:id="81"/>
      <w:bookmarkEnd w:id="82"/>
      <w:bookmarkEnd w:id="83"/>
      <w:bookmarkEnd w:id="84"/>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公司申请股票重新上市，应当按照规定聘请保荐人进行保荐，并委托保荐人向本所报送重新上市申请文件。</w:t>
      </w:r>
    </w:p>
    <w:p>
      <w:pPr>
        <w:spacing w:line="560" w:lineRule="exact"/>
        <w:ind w:firstLine="640" w:firstLineChars="200"/>
        <w:rPr>
          <w:rFonts w:ascii="仿宋" w:hAnsi="仿宋" w:eastAsia="仿宋"/>
          <w:sz w:val="32"/>
          <w:szCs w:val="32"/>
        </w:rPr>
      </w:pPr>
    </w:p>
    <w:p>
      <w:pPr>
        <w:pStyle w:val="3"/>
        <w:numPr>
          <w:ilvl w:val="0"/>
          <w:numId w:val="1"/>
        </w:numPr>
        <w:ind w:firstLine="640" w:firstLineChars="200"/>
      </w:pPr>
      <w:bookmarkStart w:id="85" w:name="_Toc32608"/>
      <w:bookmarkStart w:id="86" w:name="_Toc1757"/>
      <w:bookmarkStart w:id="87" w:name="_Toc31347"/>
      <w:bookmarkStart w:id="88" w:name="_Toc15296"/>
      <w:bookmarkStart w:id="89" w:name="_Toc4639"/>
      <w:bookmarkStart w:id="90" w:name="_Toc7410"/>
      <w:bookmarkStart w:id="91" w:name="_Toc54961109"/>
      <w:bookmarkStart w:id="92" w:name="_Toc14395"/>
      <w:bookmarkStart w:id="93" w:name="_Toc7678"/>
      <w:r>
        <w:rPr>
          <w:rFonts w:hint="eastAsia"/>
        </w:rPr>
        <w:t>办理流程</w:t>
      </w:r>
      <w:bookmarkEnd w:id="85"/>
      <w:bookmarkEnd w:id="86"/>
      <w:bookmarkEnd w:id="87"/>
      <w:bookmarkEnd w:id="88"/>
      <w:bookmarkEnd w:id="89"/>
      <w:bookmarkEnd w:id="90"/>
      <w:bookmarkEnd w:id="91"/>
      <w:bookmarkEnd w:id="92"/>
      <w:bookmarkEnd w:id="93"/>
    </w:p>
    <w:p>
      <w:pPr>
        <w:pStyle w:val="4"/>
        <w:ind w:firstLine="643" w:firstLineChars="200"/>
      </w:pPr>
      <w:bookmarkStart w:id="94" w:name="_Toc20358"/>
      <w:bookmarkStart w:id="95" w:name="_Toc25688"/>
      <w:bookmarkStart w:id="96" w:name="_Toc27380"/>
      <w:r>
        <w:rPr>
          <w:rFonts w:hint="eastAsia"/>
        </w:rPr>
        <w:t>（一）总体流程</w:t>
      </w:r>
      <w:bookmarkEnd w:id="94"/>
      <w:bookmarkEnd w:id="95"/>
      <w:bookmarkEnd w:id="96"/>
    </w:p>
    <w:p>
      <w:pPr>
        <w:pStyle w:val="4"/>
        <w:ind w:firstLine="643" w:firstLineChars="200"/>
      </w:pPr>
      <w:bookmarkStart w:id="97" w:name="_Toc16350"/>
      <w:bookmarkStart w:id="98" w:name="_Toc21734"/>
      <w:bookmarkStart w:id="99" w:name="_Toc9961"/>
      <w:bookmarkStart w:id="100" w:name="_Toc7798"/>
      <w:bookmarkStart w:id="101" w:name="_Toc54961110"/>
      <w:bookmarkStart w:id="102" w:name="_Toc22177"/>
      <w:bookmarkStart w:id="103" w:name="_Toc12023"/>
      <w:bookmarkStart w:id="104" w:name="_Toc1431"/>
      <w:bookmarkStart w:id="105" w:name="_Toc28803"/>
      <w:r>
        <w:rPr>
          <w:rFonts w:hint="eastAsia" w:ascii="仿宋" w:hAnsi="仿宋"/>
        </w:rPr>
        <w:drawing>
          <wp:anchor distT="0" distB="0" distL="114300" distR="114300" simplePos="0" relativeHeight="251660288" behindDoc="0" locked="0" layoutInCell="1" allowOverlap="1">
            <wp:simplePos x="0" y="0"/>
            <wp:positionH relativeFrom="column">
              <wp:posOffset>154940</wp:posOffset>
            </wp:positionH>
            <wp:positionV relativeFrom="paragraph">
              <wp:posOffset>266065</wp:posOffset>
            </wp:positionV>
            <wp:extent cx="5116195" cy="676275"/>
            <wp:effectExtent l="0" t="0" r="8255" b="9525"/>
            <wp:wrapSquare wrapText="bothSides"/>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bookmarkEnd w:id="97"/>
      <w:bookmarkEnd w:id="98"/>
      <w:bookmarkEnd w:id="99"/>
      <w:bookmarkEnd w:id="100"/>
      <w:bookmarkEnd w:id="101"/>
      <w:bookmarkEnd w:id="102"/>
      <w:bookmarkEnd w:id="103"/>
      <w:bookmarkStart w:id="106" w:name="_Toc30476"/>
      <w:r>
        <w:rPr>
          <w:rFonts w:hint="eastAsia"/>
        </w:rPr>
        <w:t>（二）中止审核与终止审核</w:t>
      </w:r>
      <w:bookmarkEnd w:id="104"/>
      <w:bookmarkEnd w:id="105"/>
      <w:bookmarkEnd w:id="106"/>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spacing w:val="-4"/>
          <w:kern w:val="0"/>
          <w:sz w:val="32"/>
          <w:szCs w:val="32"/>
        </w:rPr>
        <w:t>．</w:t>
      </w:r>
      <w:r>
        <w:rPr>
          <w:rFonts w:hint="eastAsia" w:ascii="仿宋" w:hAnsi="仿宋" w:eastAsia="仿宋"/>
          <w:sz w:val="32"/>
          <w:szCs w:val="32"/>
        </w:rPr>
        <w:t>重新上市审核过程中出现下列情形之一的，公司、中介机构应当及时告知本所，本所将中止重新上市审核，通知公司及其保荐人：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公司及其控股股东、实际控制人涉嫌贪污、贿赂、侵占财产、挪用财产或者破坏社会主义市场经济秩序的犯罪，或者涉嫌欺诈发行、重大信息披露违法或其他涉及国家安全、公共安全、生态安全、生产安全、公众健康安全等领域的重大违法行为，正在被立案调查，或者正在被司法机关立案侦查，尚未结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（2）公司的中介机构被中国证监会依法采取限制业务活动、责令停业整顿、指定其他机构托管或者接管等措施，尚未解除；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（3）中介机构主办人员被中国证监会依法采取认定为不适当人选等监管措施或者证券市场禁入的措施，被中国证券业协会采取认定不适合从事相关业务的纪律处分，尚未解除；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（4）中介机构及其主办人员，被证券交易所、国务院批准的其他全国性证券交易场所实施一定期限内不接受其出具的相关文件的纪律处分，尚未解除；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（5）本所审核过程中，公司出现明显不符合《深圳证券交易所股票上市规则》第10.2.1条规定的重新上市条件的情形；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（6）公司重新上市申请文件中记载的财务资料已过有效期，需要补充提交；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（7）公司及保荐人主动要求中止重新上市审核，理由正当且经本所同意；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（8）其他本所认为应当中止审核的情形。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出现前述第（1）项至第（6）项所列情形，公司、中介机构未及时告知本所，本所经核实符合中止审核情形的，将直接中止审核。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前述第（2）项至第（4）项中止审核，公司根据规定需要更换中介机构的，更换后的中介机构应当自中止审核之日起三个月内完成尽职调查，重新出具相关文件，并对原中介机构出具的文件进行复核，出具复核意见，对差异情况作出说明。公司根据规定无需更换中介机构的，中介机构应当及时向本所出具复核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前述第（2）项至第（4）项中止审核，公司更换中介机构主办人员的，更换后的中介机构主办人员应当自中止审核之日起一个月内，对原中介机构主办人员签字的文件进行复核，出具复核意见，对差异情况作出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因前述第（5）项至第（8）项中止审核的，公司应当在中止审核后三个月内补充提交有效文件或者消除主动要求中止审核的相关情形。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因中止审核的情形消除或者在前述规定的时限内完成相关事项的，本所经审核确认后，恢复对公司的重新上市审核，并通知公司及其保荐人。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pacing w:val="-4"/>
          <w:kern w:val="0"/>
          <w:sz w:val="32"/>
          <w:szCs w:val="32"/>
        </w:rPr>
        <w:t>．</w:t>
      </w:r>
      <w:r>
        <w:rPr>
          <w:rFonts w:hint="eastAsia" w:ascii="仿宋" w:hAnsi="仿宋" w:eastAsia="仿宋"/>
          <w:sz w:val="32"/>
          <w:szCs w:val="32"/>
        </w:rPr>
        <w:t>重新上市审核过程中出现下列情形之一的，本所将终止重新上市审核，通知公司及其保荐人：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（1）重新上市申请文件内容存在重大缺陷，严重影响投资者理解和本所审核；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（2）公司撤回重新上市申请或者保荐人撤销保荐；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（3）公司未在规定时限内回复本所审核问询或者未对重新上市申请文件作出解释说明、补充修改；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（4）重新上市申请文件存在虚假记载、误导性陈述或者重大遗漏；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（5）公司阻碍或者拒绝中国证监会、本所依法对公司实施的检查；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（6）公司及其关联人以不正当手段严重干扰重新上市审核工作；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（7）公司法人资格终止；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（8）中止审核情形未能在三个月内消除，或者中介机构及其主办人员未能在规定的时限内完成复核事项；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）同一次重新上市审核过程中，公司中止审核总时长超过六个月；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）其他本所认为应当终止审核的情形。</w:t>
      </w:r>
    </w:p>
    <w:p>
      <w:pPr>
        <w:pStyle w:val="4"/>
        <w:ind w:firstLine="643" w:firstLineChars="200"/>
      </w:pPr>
      <w:bookmarkStart w:id="107" w:name="_Toc652"/>
      <w:bookmarkStart w:id="108" w:name="_Toc22354"/>
      <w:bookmarkStart w:id="109" w:name="_Toc25372"/>
      <w:r>
        <w:rPr>
          <w:rFonts w:hint="eastAsia"/>
        </w:rPr>
        <w:t>（三）期后事项</w:t>
      </w:r>
      <w:bookmarkEnd w:id="107"/>
      <w:bookmarkEnd w:id="108"/>
      <w:bookmarkEnd w:id="109"/>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作出同意公司股票重新上市申请决定后至公司股票重新上市前，发生不符合公司股票重新上市条件、触及中止审核或者终止审核情形、或者其他可能对投资价值及投资决策判断构成重大影响的事项的，公司及其保荐人应当及时向本所报告，并按要求更新发行上市申请文件。公司的中介机构应当持续履行尽职调查职责，并向本所提交专项核查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前款规定的期后事项材料显示，相关事项可能影响公司重新上市条件的，本所可以视情况决定重新提交上市委员会审议，并根据上市委员会的意见作出是否同意其股票重新上市的决定。</w:t>
      </w:r>
    </w:p>
    <w:p>
      <w:pPr>
        <w:spacing w:line="560" w:lineRule="exact"/>
        <w:ind w:firstLine="640" w:firstLineChars="200"/>
        <w:rPr>
          <w:rFonts w:ascii="仿宋" w:hAnsi="仿宋" w:eastAsia="仿宋"/>
          <w:sz w:val="32"/>
          <w:szCs w:val="32"/>
        </w:rPr>
      </w:pPr>
    </w:p>
    <w:p>
      <w:pPr>
        <w:pStyle w:val="3"/>
        <w:ind w:firstLine="640" w:firstLineChars="200"/>
      </w:pPr>
      <w:bookmarkStart w:id="110" w:name="_Toc28397"/>
      <w:bookmarkStart w:id="111" w:name="_Toc32379"/>
      <w:bookmarkStart w:id="112" w:name="_Toc30513"/>
      <w:bookmarkStart w:id="113" w:name="_Toc27564"/>
      <w:bookmarkStart w:id="114" w:name="_Toc54961119"/>
      <w:bookmarkStart w:id="115" w:name="_Toc10409"/>
      <w:bookmarkStart w:id="116" w:name="_Toc28864"/>
      <w:bookmarkStart w:id="117" w:name="_Toc7046"/>
      <w:bookmarkStart w:id="118" w:name="_Toc2492"/>
      <w:r>
        <w:rPr>
          <w:rFonts w:hint="eastAsia"/>
        </w:rPr>
        <w:t>十、办公地址和时间</w:t>
      </w:r>
      <w:bookmarkEnd w:id="110"/>
      <w:bookmarkEnd w:id="111"/>
      <w:bookmarkEnd w:id="112"/>
      <w:bookmarkEnd w:id="113"/>
      <w:bookmarkEnd w:id="114"/>
      <w:bookmarkEnd w:id="115"/>
      <w:bookmarkEnd w:id="116"/>
      <w:bookmarkEnd w:id="117"/>
      <w:bookmarkEnd w:id="118"/>
    </w:p>
    <w:p>
      <w:pPr>
        <w:pStyle w:val="4"/>
        <w:ind w:firstLine="643" w:firstLineChars="200"/>
        <w:rPr>
          <w:rFonts w:ascii="仿宋" w:hAnsi="仿宋" w:cs="仿宋"/>
        </w:rPr>
      </w:pPr>
      <w:bookmarkStart w:id="119" w:name="_Toc25978"/>
      <w:bookmarkStart w:id="120" w:name="_Toc383"/>
      <w:bookmarkStart w:id="121" w:name="_Toc9155"/>
      <w:bookmarkStart w:id="122" w:name="_Toc5981"/>
      <w:bookmarkStart w:id="123" w:name="_Toc14124"/>
      <w:bookmarkStart w:id="124" w:name="_Toc2746"/>
      <w:bookmarkStart w:id="125" w:name="_Toc31313"/>
      <w:bookmarkStart w:id="126" w:name="_Toc21468"/>
      <w:bookmarkStart w:id="127" w:name="_Toc54961120"/>
      <w:r>
        <w:rPr>
          <w:rFonts w:hint="eastAsia" w:ascii="仿宋" w:hAnsi="仿宋" w:cs="仿宋"/>
        </w:rPr>
        <w:t>（一）办理地点</w:t>
      </w:r>
      <w:bookmarkEnd w:id="119"/>
      <w:bookmarkEnd w:id="120"/>
      <w:bookmarkEnd w:id="121"/>
      <w:bookmarkEnd w:id="122"/>
      <w:bookmarkEnd w:id="123"/>
      <w:bookmarkEnd w:id="124"/>
      <w:bookmarkEnd w:id="125"/>
      <w:bookmarkEnd w:id="126"/>
    </w:p>
    <w:p>
      <w:pPr>
        <w:spacing w:line="560" w:lineRule="exact"/>
        <w:ind w:firstLine="640" w:firstLineChars="200"/>
        <w:rPr>
          <w:rFonts w:ascii="仿宋" w:hAnsi="仿宋" w:eastAsia="仿宋"/>
          <w:sz w:val="32"/>
          <w:szCs w:val="32"/>
        </w:rPr>
      </w:pPr>
      <w:bookmarkStart w:id="128" w:name="_Toc21750"/>
      <w:r>
        <w:rPr>
          <w:rFonts w:hint="eastAsia" w:ascii="仿宋" w:hAnsi="仿宋" w:eastAsia="仿宋"/>
          <w:sz w:val="32"/>
          <w:szCs w:val="32"/>
        </w:rPr>
        <w:t>深圳市深南大道2012号深圳证券交易所</w:t>
      </w:r>
      <w:bookmarkEnd w:id="128"/>
      <w:r>
        <w:rPr>
          <w:rFonts w:hint="eastAsia" w:ascii="仿宋" w:hAnsi="仿宋" w:eastAsia="仿宋"/>
          <w:sz w:val="32"/>
          <w:szCs w:val="32"/>
        </w:rPr>
        <w:t>上市审核中心</w:t>
      </w:r>
    </w:p>
    <w:p>
      <w:pPr>
        <w:pStyle w:val="4"/>
        <w:ind w:firstLine="643" w:firstLineChars="200"/>
        <w:rPr>
          <w:rFonts w:ascii="仿宋" w:hAnsi="仿宋" w:cs="仿宋"/>
        </w:rPr>
      </w:pPr>
      <w:bookmarkStart w:id="129" w:name="_Toc18747"/>
      <w:bookmarkStart w:id="130" w:name="_Toc30174"/>
      <w:bookmarkStart w:id="131" w:name="_Toc30144"/>
      <w:bookmarkStart w:id="132" w:name="_Toc31573"/>
      <w:bookmarkStart w:id="133" w:name="_Toc25625"/>
      <w:bookmarkStart w:id="134" w:name="_Toc7759"/>
      <w:bookmarkStart w:id="135" w:name="_Toc10301"/>
      <w:bookmarkStart w:id="136" w:name="_Toc19086"/>
      <w:r>
        <w:rPr>
          <w:rFonts w:hint="eastAsia" w:ascii="仿宋" w:hAnsi="仿宋" w:cs="仿宋"/>
        </w:rPr>
        <w:t>（二）办理时间</w:t>
      </w:r>
      <w:bookmarkEnd w:id="129"/>
      <w:bookmarkEnd w:id="130"/>
      <w:bookmarkEnd w:id="131"/>
      <w:bookmarkEnd w:id="132"/>
      <w:bookmarkEnd w:id="133"/>
      <w:bookmarkEnd w:id="134"/>
      <w:bookmarkEnd w:id="135"/>
      <w:bookmarkEnd w:id="136"/>
    </w:p>
    <w:p>
      <w:pPr>
        <w:widowControl/>
        <w:spacing w:line="560" w:lineRule="exact"/>
        <w:ind w:firstLine="620" w:firstLineChars="200"/>
        <w:rPr>
          <w:rFonts w:ascii="仿宋" w:hAnsi="仿宋" w:eastAsia="仿宋" w:cs="仿宋"/>
          <w:color w:val="000000"/>
          <w:kern w:val="0"/>
          <w:sz w:val="31"/>
          <w:szCs w:val="31"/>
          <w:lang w:bidi="ar"/>
        </w:rPr>
      </w:pPr>
      <w:bookmarkStart w:id="137" w:name="_Toc24727"/>
      <w:r>
        <w:rPr>
          <w:rFonts w:hint="eastAsia" w:ascii="仿宋" w:hAnsi="仿宋" w:eastAsia="仿宋" w:cs="仿宋"/>
          <w:color w:val="000000"/>
          <w:kern w:val="0"/>
          <w:sz w:val="31"/>
          <w:szCs w:val="31"/>
          <w:lang w:bidi="ar"/>
        </w:rPr>
        <w:t>1</w:t>
      </w:r>
      <w:r>
        <w:rPr>
          <w:rFonts w:hint="eastAsia" w:ascii="仿宋" w:hAnsi="仿宋" w:eastAsia="仿宋" w:cs="宋体"/>
          <w:spacing w:val="-4"/>
          <w:kern w:val="0"/>
          <w:sz w:val="32"/>
          <w:szCs w:val="32"/>
        </w:rPr>
        <w:t>．</w:t>
      </w:r>
      <w:r>
        <w:rPr>
          <w:rFonts w:hint="eastAsia" w:ascii="仿宋" w:hAnsi="仿宋" w:eastAsia="仿宋" w:cs="仿宋"/>
          <w:color w:val="000000"/>
          <w:kern w:val="0"/>
          <w:sz w:val="31"/>
          <w:szCs w:val="31"/>
          <w:lang w:bidi="ar"/>
        </w:rPr>
        <w:t>深交所发行上市审核业务系统运营时间为7×24小时</w:t>
      </w:r>
      <w:bookmarkEnd w:id="137"/>
      <w:bookmarkStart w:id="138" w:name="_Toc15448"/>
    </w:p>
    <w:p>
      <w:pPr>
        <w:widowControl/>
        <w:spacing w:line="560" w:lineRule="exact"/>
        <w:ind w:firstLine="620" w:firstLineChars="2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宋体"/>
          <w:spacing w:val="-4"/>
          <w:kern w:val="0"/>
          <w:sz w:val="32"/>
          <w:szCs w:val="32"/>
        </w:rPr>
        <w:t>．</w:t>
      </w:r>
      <w:r>
        <w:rPr>
          <w:rFonts w:hint="eastAsia" w:ascii="仿宋" w:hAnsi="仿宋" w:eastAsia="仿宋" w:cs="仿宋"/>
          <w:color w:val="000000"/>
          <w:kern w:val="0"/>
          <w:sz w:val="31"/>
          <w:szCs w:val="31"/>
          <w:lang w:bidi="ar"/>
        </w:rPr>
        <w:t>办公时间：周一至周五 8:30-11:30；13:30-17:00</w:t>
      </w:r>
    </w:p>
    <w:bookmarkEnd w:id="127"/>
    <w:bookmarkEnd w:id="138"/>
    <w:p>
      <w:pPr>
        <w:widowControl/>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67552"/>
    <w:multiLevelType w:val="singleLevel"/>
    <w:tmpl w:val="6056755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37E5C"/>
    <w:rsid w:val="00057044"/>
    <w:rsid w:val="000E14FB"/>
    <w:rsid w:val="001445F7"/>
    <w:rsid w:val="001B3EF6"/>
    <w:rsid w:val="001E75BE"/>
    <w:rsid w:val="0020392E"/>
    <w:rsid w:val="00207932"/>
    <w:rsid w:val="00237820"/>
    <w:rsid w:val="0025216C"/>
    <w:rsid w:val="00287093"/>
    <w:rsid w:val="002B05ED"/>
    <w:rsid w:val="002F05CC"/>
    <w:rsid w:val="002F6ABD"/>
    <w:rsid w:val="003432C8"/>
    <w:rsid w:val="003630A0"/>
    <w:rsid w:val="003C3EE5"/>
    <w:rsid w:val="00411D74"/>
    <w:rsid w:val="004316F9"/>
    <w:rsid w:val="0043701F"/>
    <w:rsid w:val="00460BDE"/>
    <w:rsid w:val="004B6376"/>
    <w:rsid w:val="00541698"/>
    <w:rsid w:val="00561904"/>
    <w:rsid w:val="0056590F"/>
    <w:rsid w:val="005A28F4"/>
    <w:rsid w:val="006103DC"/>
    <w:rsid w:val="00617A53"/>
    <w:rsid w:val="0063239D"/>
    <w:rsid w:val="006839AD"/>
    <w:rsid w:val="006E2710"/>
    <w:rsid w:val="006F2FB4"/>
    <w:rsid w:val="006F4BD7"/>
    <w:rsid w:val="00714090"/>
    <w:rsid w:val="00760A49"/>
    <w:rsid w:val="00771463"/>
    <w:rsid w:val="0077567D"/>
    <w:rsid w:val="007D75EE"/>
    <w:rsid w:val="007E404C"/>
    <w:rsid w:val="007F64AF"/>
    <w:rsid w:val="008158F9"/>
    <w:rsid w:val="008604CF"/>
    <w:rsid w:val="008D25F6"/>
    <w:rsid w:val="00927AC4"/>
    <w:rsid w:val="00946622"/>
    <w:rsid w:val="00977F18"/>
    <w:rsid w:val="009A238B"/>
    <w:rsid w:val="009C779C"/>
    <w:rsid w:val="009F5CA5"/>
    <w:rsid w:val="00A245BC"/>
    <w:rsid w:val="00A75E43"/>
    <w:rsid w:val="00A82AAC"/>
    <w:rsid w:val="00AA7353"/>
    <w:rsid w:val="00AC1705"/>
    <w:rsid w:val="00AD6478"/>
    <w:rsid w:val="00AD7E82"/>
    <w:rsid w:val="00C16C7A"/>
    <w:rsid w:val="00C64743"/>
    <w:rsid w:val="00CA07DF"/>
    <w:rsid w:val="00CB3B72"/>
    <w:rsid w:val="00CD147B"/>
    <w:rsid w:val="00CF24AA"/>
    <w:rsid w:val="00D31235"/>
    <w:rsid w:val="00D479A2"/>
    <w:rsid w:val="00D84CBF"/>
    <w:rsid w:val="00DA6220"/>
    <w:rsid w:val="00DF26E1"/>
    <w:rsid w:val="00E32B83"/>
    <w:rsid w:val="00E46C7B"/>
    <w:rsid w:val="00EE04E0"/>
    <w:rsid w:val="00F41449"/>
    <w:rsid w:val="00F748C5"/>
    <w:rsid w:val="00FB2F10"/>
    <w:rsid w:val="00FF1A3D"/>
    <w:rsid w:val="02427C3F"/>
    <w:rsid w:val="071F6233"/>
    <w:rsid w:val="088958CE"/>
    <w:rsid w:val="0A9B2E7C"/>
    <w:rsid w:val="0E3614F4"/>
    <w:rsid w:val="0E805477"/>
    <w:rsid w:val="0F9C5722"/>
    <w:rsid w:val="0FAC114B"/>
    <w:rsid w:val="10672B7E"/>
    <w:rsid w:val="11426CAB"/>
    <w:rsid w:val="120779DA"/>
    <w:rsid w:val="13040A84"/>
    <w:rsid w:val="13167C71"/>
    <w:rsid w:val="142C02C7"/>
    <w:rsid w:val="175217C8"/>
    <w:rsid w:val="18907A24"/>
    <w:rsid w:val="19D20086"/>
    <w:rsid w:val="1B353F6E"/>
    <w:rsid w:val="1B41511D"/>
    <w:rsid w:val="1D4D1B32"/>
    <w:rsid w:val="1E2362D0"/>
    <w:rsid w:val="1E832166"/>
    <w:rsid w:val="1EED7984"/>
    <w:rsid w:val="1F4C4CC1"/>
    <w:rsid w:val="20E46B02"/>
    <w:rsid w:val="235C6245"/>
    <w:rsid w:val="25844069"/>
    <w:rsid w:val="262C5742"/>
    <w:rsid w:val="2663128C"/>
    <w:rsid w:val="27B01375"/>
    <w:rsid w:val="28806E08"/>
    <w:rsid w:val="2C3925A0"/>
    <w:rsid w:val="2C46226B"/>
    <w:rsid w:val="2EFE6288"/>
    <w:rsid w:val="36140AF3"/>
    <w:rsid w:val="38FF69FF"/>
    <w:rsid w:val="3B253224"/>
    <w:rsid w:val="3BD93A36"/>
    <w:rsid w:val="3DD9364F"/>
    <w:rsid w:val="42414D55"/>
    <w:rsid w:val="44892E49"/>
    <w:rsid w:val="470B0A33"/>
    <w:rsid w:val="48B979EE"/>
    <w:rsid w:val="48F2673C"/>
    <w:rsid w:val="4B287FB7"/>
    <w:rsid w:val="4E581DF3"/>
    <w:rsid w:val="4F506DE5"/>
    <w:rsid w:val="4FC94ACB"/>
    <w:rsid w:val="528A0425"/>
    <w:rsid w:val="5323271F"/>
    <w:rsid w:val="54F5322E"/>
    <w:rsid w:val="5569618C"/>
    <w:rsid w:val="5A2A4619"/>
    <w:rsid w:val="5A800C79"/>
    <w:rsid w:val="5BAC3F60"/>
    <w:rsid w:val="5DE41AE2"/>
    <w:rsid w:val="5E867630"/>
    <w:rsid w:val="5EF600CA"/>
    <w:rsid w:val="5FB83027"/>
    <w:rsid w:val="60A62835"/>
    <w:rsid w:val="62A40F01"/>
    <w:rsid w:val="639365B9"/>
    <w:rsid w:val="639A0743"/>
    <w:rsid w:val="6627778D"/>
    <w:rsid w:val="6648015B"/>
    <w:rsid w:val="66A902BE"/>
    <w:rsid w:val="67DF6F78"/>
    <w:rsid w:val="696156BC"/>
    <w:rsid w:val="6ADB1801"/>
    <w:rsid w:val="71207163"/>
    <w:rsid w:val="71D7618F"/>
    <w:rsid w:val="730E2221"/>
    <w:rsid w:val="74111CC9"/>
    <w:rsid w:val="78662DA0"/>
    <w:rsid w:val="7E291060"/>
    <w:rsid w:val="7F69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5"/>
    <w:unhideWhenUsed/>
    <w:qFormat/>
    <w:uiPriority w:val="9"/>
    <w:pPr>
      <w:keepNext/>
      <w:keepLines/>
      <w:spacing w:line="560" w:lineRule="exact"/>
      <w:outlineLvl w:val="2"/>
    </w:pPr>
    <w:rPr>
      <w:rFonts w:eastAsia="仿宋"/>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0"/>
    <w:pPr>
      <w:jc w:val="left"/>
    </w:pPr>
  </w:style>
  <w:style w:type="paragraph" w:styleId="6">
    <w:name w:val="toc 3"/>
    <w:basedOn w:val="1"/>
    <w:next w:val="1"/>
    <w:unhideWhenUsed/>
    <w:qFormat/>
    <w:uiPriority w:val="39"/>
    <w:pPr>
      <w:ind w:left="840" w:leftChars="400"/>
    </w:pPr>
  </w:style>
  <w:style w:type="paragraph" w:styleId="7">
    <w:name w:val="Plain Text"/>
    <w:basedOn w:val="1"/>
    <w:link w:val="27"/>
    <w:qFormat/>
    <w:uiPriority w:val="0"/>
    <w:rPr>
      <w:rFonts w:ascii="宋体" w:hAnsi="Courier New" w:eastAsia="宋体" w:cs="Times New Roman"/>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unhideWhenUsed/>
    <w:qFormat/>
    <w:uiPriority w:val="0"/>
    <w:rPr>
      <w:sz w:val="21"/>
      <w:szCs w:val="21"/>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文字 Char"/>
    <w:basedOn w:val="16"/>
    <w:link w:val="5"/>
    <w:qFormat/>
    <w:uiPriority w:val="0"/>
  </w:style>
  <w:style w:type="character" w:customStyle="1" w:styleId="22">
    <w:name w:val="批注主题 Char"/>
    <w:basedOn w:val="21"/>
    <w:link w:val="13"/>
    <w:semiHidden/>
    <w:qFormat/>
    <w:uiPriority w:val="99"/>
    <w:rPr>
      <w:b/>
      <w:bCs/>
    </w:rPr>
  </w:style>
  <w:style w:type="character" w:customStyle="1" w:styleId="23">
    <w:name w:val="批注框文本 Char"/>
    <w:basedOn w:val="16"/>
    <w:link w:val="8"/>
    <w:semiHidden/>
    <w:qFormat/>
    <w:uiPriority w:val="99"/>
    <w:rPr>
      <w:sz w:val="18"/>
      <w:szCs w:val="18"/>
    </w:rPr>
  </w:style>
  <w:style w:type="character" w:customStyle="1" w:styleId="24">
    <w:name w:val="标题 2 Char"/>
    <w:basedOn w:val="16"/>
    <w:link w:val="3"/>
    <w:qFormat/>
    <w:uiPriority w:val="9"/>
    <w:rPr>
      <w:rFonts w:eastAsia="黑体" w:asciiTheme="majorHAnsi" w:hAnsiTheme="majorHAnsi" w:cstheme="majorBidi"/>
      <w:bCs/>
      <w:sz w:val="32"/>
      <w:szCs w:val="32"/>
    </w:rPr>
  </w:style>
  <w:style w:type="character" w:customStyle="1" w:styleId="25">
    <w:name w:val="标题 3 Char"/>
    <w:basedOn w:val="16"/>
    <w:link w:val="4"/>
    <w:qFormat/>
    <w:uiPriority w:val="9"/>
    <w:rPr>
      <w:rFonts w:eastAsia="仿宋"/>
      <w:b/>
      <w:bCs/>
      <w:sz w:val="32"/>
      <w:szCs w:val="32"/>
    </w:rPr>
  </w:style>
  <w:style w:type="character" w:customStyle="1" w:styleId="26">
    <w:name w:val="标题 1 Char"/>
    <w:basedOn w:val="16"/>
    <w:link w:val="2"/>
    <w:qFormat/>
    <w:uiPriority w:val="9"/>
    <w:rPr>
      <w:b/>
      <w:bCs/>
      <w:kern w:val="44"/>
      <w:sz w:val="44"/>
      <w:szCs w:val="44"/>
    </w:rPr>
  </w:style>
  <w:style w:type="character" w:customStyle="1" w:styleId="27">
    <w:name w:val="纯文本 Char"/>
    <w:basedOn w:val="16"/>
    <w:link w:val="7"/>
    <w:qFormat/>
    <w:uiPriority w:val="0"/>
    <w:rPr>
      <w:rFonts w:ascii="宋体" w:hAnsi="Courier New" w:eastAsia="宋体" w:cs="Times New Roman"/>
      <w:szCs w:val="20"/>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样式1"/>
    <w:basedOn w:val="1"/>
    <w:next w:val="1"/>
    <w:qFormat/>
    <w:uiPriority w:val="0"/>
    <w:pPr>
      <w:keepNext/>
      <w:keepLines/>
      <w:spacing w:line="560" w:lineRule="exact"/>
      <w:ind w:firstLine="640" w:firstLineChars="200"/>
      <w:outlineLvl w:val="2"/>
    </w:pPr>
    <w:rPr>
      <w:rFonts w:hint="eastAsia" w:ascii="仿宋" w:hAnsi="仿宋" w:eastAsia="仿宋"/>
      <w:sz w:val="32"/>
      <w:szCs w:val="32"/>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EB1D179-D23D-41D4-AEEF-E4B9FEB06903}" type="doc">
      <dgm:prSet loTypeId="urn:microsoft.com/office/officeart/2005/8/layout/process1" loCatId="process" qsTypeId="urn:microsoft.com/office/officeart/2005/8/quickstyle/simple1#1" qsCatId="simple" csTypeId="urn:microsoft.com/office/officeart/2005/8/colors/accent1_2#1" csCatId="accent1" phldr="0"/>
      <dgm:spPr/>
    </dgm:pt>
    <dgm:pt modelId="{3F25DA44-7F3E-4C17-A40B-7F663FDBEA65}">
      <dgm:prSet phldrT="[文本]" phldr="0" custT="1"/>
      <dgm:spPr/>
      <dgm:t>
        <a:bodyPr vert="horz" wrap="square"/>
        <a:p>
          <a:pPr>
            <a:lnSpc>
              <a:spcPct val="100000"/>
            </a:lnSpc>
            <a:spcBef>
              <a:spcPct val="0"/>
            </a:spcBef>
            <a:spcAft>
              <a:spcPct val="35000"/>
            </a:spcAft>
          </a:pPr>
          <a:r>
            <a:rPr lang="zh-CN" altLang="en-US" sz="1050">
              <a:latin typeface="仿宋" panose="02010609060101010101" pitchFamily="3" charset="-122"/>
              <a:ea typeface="仿宋" panose="02010609060101010101" pitchFamily="3" charset="-122"/>
            </a:rPr>
            <a:t>受理</a:t>
          </a:r>
        </a:p>
      </dgm:t>
    </dgm:pt>
    <dgm:pt modelId="{EE9066D1-3403-4469-8E8C-0D40A82430F2}" cxnId="{33748DD4-1C12-402E-A74B-65193B0A57DC}" type="parTrans">
      <dgm:prSet/>
      <dgm:spPr/>
    </dgm:pt>
    <dgm:pt modelId="{8EC5AF5E-9C9F-410A-A755-A3EA5186F948}" cxnId="{33748DD4-1C12-402E-A74B-65193B0A57DC}" type="sibTrans">
      <dgm:prSet/>
      <dgm:spPr/>
      <dgm:t>
        <a:bodyPr/>
        <a:p>
          <a:endParaRPr lang="zh-CN" altLang="en-US"/>
        </a:p>
      </dgm:t>
    </dgm:pt>
    <dgm:pt modelId="{2E2F4D3A-969C-4DB2-9FA9-5C4A40369351}">
      <dgm:prSet phldrT="[文本]" phldr="0" custT="1"/>
      <dgm:spPr/>
      <dgm:t>
        <a:bodyPr vert="horz" wrap="square"/>
        <a:p>
          <a:pPr>
            <a:lnSpc>
              <a:spcPct val="100000"/>
            </a:lnSpc>
            <a:spcBef>
              <a:spcPct val="0"/>
            </a:spcBef>
            <a:spcAft>
              <a:spcPct val="35000"/>
            </a:spcAft>
          </a:pPr>
          <a:r>
            <a:rPr lang="zh-CN" altLang="en-US" sz="1050">
              <a:latin typeface="仿宋" panose="02010609060101010101" pitchFamily="3" charset="-122"/>
              <a:ea typeface="仿宋" panose="02010609060101010101" pitchFamily="3" charset="-122"/>
            </a:rPr>
            <a:t>审核</a:t>
          </a:r>
        </a:p>
      </dgm:t>
    </dgm:pt>
    <dgm:pt modelId="{1E934BFE-4D40-486C-8784-F698A10C4CF5}" cxnId="{3550067F-DA27-4016-9C57-308DC2313473}" type="parTrans">
      <dgm:prSet/>
      <dgm:spPr/>
    </dgm:pt>
    <dgm:pt modelId="{EC1AFF77-9232-4EEB-95CB-85CEAB3B1FC0}" cxnId="{3550067F-DA27-4016-9C57-308DC2313473}" type="sibTrans">
      <dgm:prSet/>
      <dgm:spPr/>
      <dgm:t>
        <a:bodyPr/>
        <a:p>
          <a:endParaRPr lang="zh-CN" altLang="en-US"/>
        </a:p>
      </dgm:t>
    </dgm:pt>
    <dgm:pt modelId="{37B86CFA-59B5-46FA-8A6B-9FB187CE14DF}">
      <dgm:prSet phldrT="[文本]" phldr="0" custT="1"/>
      <dgm:spPr/>
      <dgm:t>
        <a:bodyPr vert="horz" wrap="square"/>
        <a:p>
          <a:pPr>
            <a:lnSpc>
              <a:spcPct val="100000"/>
            </a:lnSpc>
            <a:spcBef>
              <a:spcPct val="0"/>
            </a:spcBef>
            <a:spcAft>
              <a:spcPct val="35000"/>
            </a:spcAft>
          </a:pPr>
          <a:r>
            <a:rPr lang="zh-CN" altLang="en-US" sz="1050">
              <a:latin typeface="仿宋" panose="02010609060101010101" pitchFamily="3" charset="-122"/>
              <a:ea typeface="仿宋" panose="02010609060101010101" pitchFamily="3" charset="-122"/>
            </a:rPr>
            <a:t>上市审核委员会审议</a:t>
          </a:r>
        </a:p>
      </dgm:t>
    </dgm:pt>
    <dgm:pt modelId="{9DABF4F3-A9E6-40B1-A863-AC9409CC14BB}" cxnId="{E997A856-3591-49F1-8397-899E19DD5128}" type="parTrans">
      <dgm:prSet/>
      <dgm:spPr/>
    </dgm:pt>
    <dgm:pt modelId="{18EFF3C3-47F9-402B-A3F3-E9310EA281B4}" cxnId="{E997A856-3591-49F1-8397-899E19DD5128}" type="sibTrans">
      <dgm:prSet/>
      <dgm:spPr/>
      <dgm:t>
        <a:bodyPr/>
        <a:p>
          <a:endParaRPr lang="zh-CN" altLang="en-US"/>
        </a:p>
      </dgm:t>
    </dgm:pt>
    <dgm:pt modelId="{2C41CD1D-451D-4A25-BF44-B914DCDD93E3}">
      <dgm:prSet phldr="0" custT="1"/>
      <dgm:spPr/>
      <dgm:t>
        <a:bodyPr vert="horz" wrap="square"/>
        <a:p>
          <a:pPr>
            <a:lnSpc>
              <a:spcPct val="100000"/>
            </a:lnSpc>
            <a:spcBef>
              <a:spcPct val="0"/>
            </a:spcBef>
            <a:spcAft>
              <a:spcPct val="15000"/>
            </a:spcAft>
          </a:pPr>
          <a:endParaRPr altLang="en-US" sz="5000"/>
        </a:p>
      </dgm:t>
    </dgm:pt>
    <dgm:pt modelId="{32BC63E7-3886-4149-AE53-CCD77E20AC58}" cxnId="{F1E173AB-670C-441C-99D5-ED0B47EC2A1D}" type="parTrans">
      <dgm:prSet/>
      <dgm:spPr/>
    </dgm:pt>
    <dgm:pt modelId="{D6721E4E-E90B-494D-930B-C1A6C6C7DD38}" cxnId="{F1E173AB-670C-441C-99D5-ED0B47EC2A1D}" type="sibTrans">
      <dgm:prSet/>
      <dgm:spPr/>
    </dgm:pt>
    <dgm:pt modelId="{FF019B6A-3E17-400A-BCB4-0444DDFBF3EF}">
      <dgm:prSet phldr="0" custT="1"/>
      <dgm:spPr/>
      <dgm:t>
        <a:bodyPr vert="horz" wrap="square"/>
        <a:p>
          <a:pPr>
            <a:lnSpc>
              <a:spcPct val="100000"/>
            </a:lnSpc>
            <a:spcBef>
              <a:spcPct val="0"/>
            </a:spcBef>
            <a:spcAft>
              <a:spcPct val="15000"/>
            </a:spcAft>
          </a:pPr>
          <a:endParaRPr altLang="en-US" sz="5000"/>
        </a:p>
      </dgm:t>
    </dgm:pt>
    <dgm:pt modelId="{14F2778F-BA95-44F2-9D3C-5BCF0E34A755}" cxnId="{3F116312-2DED-4CBC-9A4B-2F4926E5A466}" type="parTrans">
      <dgm:prSet/>
      <dgm:spPr/>
    </dgm:pt>
    <dgm:pt modelId="{A282291E-4EBC-4CCC-8D43-D78424BE6B1E}" cxnId="{3F116312-2DED-4CBC-9A4B-2F4926E5A466}" type="sibTrans">
      <dgm:prSet/>
      <dgm:spPr/>
    </dgm:pt>
    <dgm:pt modelId="{24899EA3-7308-4605-B532-50239E262CCA}">
      <dgm:prSet phldr="0" custT="1"/>
      <dgm:spPr/>
      <dgm:t>
        <a:bodyPr vert="horz" wrap="square"/>
        <a:p>
          <a:pPr>
            <a:lnSpc>
              <a:spcPct val="100000"/>
            </a:lnSpc>
            <a:spcBef>
              <a:spcPct val="0"/>
            </a:spcBef>
            <a:spcAft>
              <a:spcPct val="15000"/>
            </a:spcAft>
          </a:pPr>
          <a:endParaRPr altLang="en-US" sz="5000"/>
        </a:p>
      </dgm:t>
    </dgm:pt>
    <dgm:pt modelId="{184F6787-F885-4B54-AEC0-FD0BFFA61A78}" cxnId="{766B929E-8099-43F0-A56F-82CB08E8A76A}" type="parTrans">
      <dgm:prSet/>
      <dgm:spPr/>
    </dgm:pt>
    <dgm:pt modelId="{0EBA97C3-303B-43F5-8C42-F40BB8CF32DE}" cxnId="{766B929E-8099-43F0-A56F-82CB08E8A76A}" type="sibTrans">
      <dgm:prSet/>
      <dgm:spPr/>
    </dgm:pt>
    <dgm:pt modelId="{740CBFE9-193C-4BE7-A006-5CEFAA22AAF4}">
      <dgm:prSet phldr="0" custT="1"/>
      <dgm:spPr/>
      <dgm:t>
        <a:bodyPr vert="horz" wrap="square"/>
        <a:p>
          <a:pPr>
            <a:lnSpc>
              <a:spcPct val="100000"/>
            </a:lnSpc>
            <a:spcBef>
              <a:spcPct val="0"/>
            </a:spcBef>
            <a:spcAft>
              <a:spcPct val="35000"/>
            </a:spcAft>
          </a:pPr>
          <a:r>
            <a:rPr lang="zh-CN" sz="1050">
              <a:latin typeface="仿宋" panose="02010609060101010101" pitchFamily="3" charset="-122"/>
              <a:ea typeface="仿宋" panose="02010609060101010101" pitchFamily="3" charset="-122"/>
            </a:rPr>
            <a:t>本所作出决定</a:t>
          </a:r>
        </a:p>
      </dgm:t>
    </dgm:pt>
    <dgm:pt modelId="{196398B4-9711-48DA-9134-F25E7AC4B3DB}" cxnId="{112D421C-6A37-4D29-B9D3-EC8FD486273F}" type="parTrans">
      <dgm:prSet/>
      <dgm:spPr/>
    </dgm:pt>
    <dgm:pt modelId="{D30CC0E3-AF28-4821-9A9C-161395D95942}" cxnId="{112D421C-6A37-4D29-B9D3-EC8FD486273F}" type="sibTrans">
      <dgm:prSet/>
      <dgm:spPr/>
      <dgm:t>
        <a:bodyPr/>
        <a:p>
          <a:endParaRPr lang="zh-CN" altLang="en-US"/>
        </a:p>
      </dgm:t>
    </dgm:pt>
    <dgm:pt modelId="{940D4CEB-C8AE-42D4-ADDD-18D6CA16E925}">
      <dgm:prSet phldr="0" custT="1"/>
      <dgm:spPr/>
      <dgm:t>
        <a:bodyPr vert="horz" wrap="square"/>
        <a:p>
          <a:pPr>
            <a:lnSpc>
              <a:spcPct val="100000"/>
            </a:lnSpc>
            <a:spcBef>
              <a:spcPct val="0"/>
            </a:spcBef>
            <a:spcAft>
              <a:spcPct val="35000"/>
            </a:spcAft>
          </a:pPr>
          <a:r>
            <a:rPr lang="zh-CN" sz="1050">
              <a:latin typeface="仿宋" panose="02010609060101010101" pitchFamily="3" charset="-122"/>
              <a:ea typeface="仿宋" panose="02010609060101010101" pitchFamily="3" charset="-122"/>
            </a:rPr>
            <a:t>中国证监会备案</a:t>
          </a:r>
        </a:p>
      </dgm:t>
    </dgm:pt>
    <dgm:pt modelId="{AF4315B9-693D-47DB-8CF3-C502D266BE42}" cxnId="{E2040BA8-813A-41D6-A8B0-B47AF04B62A3}" type="parTrans">
      <dgm:prSet/>
      <dgm:spPr/>
    </dgm:pt>
    <dgm:pt modelId="{668A0351-CAF8-42C6-9129-6D5260C7B733}" cxnId="{E2040BA8-813A-41D6-A8B0-B47AF04B62A3}" type="sibTrans">
      <dgm:prSet/>
      <dgm:spPr/>
    </dgm:pt>
    <dgm:pt modelId="{BF708676-7EFC-4C81-9D3A-3E677EAC1C7B}" type="pres">
      <dgm:prSet presAssocID="{8EB1D179-D23D-41D4-AEEF-E4B9FEB06903}" presName="Name0" presStyleCnt="0">
        <dgm:presLayoutVars>
          <dgm:dir/>
          <dgm:resizeHandles val="exact"/>
        </dgm:presLayoutVars>
      </dgm:prSet>
      <dgm:spPr/>
    </dgm:pt>
    <dgm:pt modelId="{111DEAC9-5D4C-4A6A-A44E-082A26F60596}" type="pres">
      <dgm:prSet presAssocID="{3F25DA44-7F3E-4C17-A40B-7F663FDBEA65}" presName="node" presStyleLbl="node1" presStyleIdx="0" presStyleCnt="5">
        <dgm:presLayoutVars>
          <dgm:bulletEnabled val="1"/>
        </dgm:presLayoutVars>
      </dgm:prSet>
      <dgm:spPr/>
      <dgm:t>
        <a:bodyPr/>
        <a:p>
          <a:endParaRPr lang="zh-CN" altLang="en-US"/>
        </a:p>
      </dgm:t>
    </dgm:pt>
    <dgm:pt modelId="{8A5CF0CE-3323-464D-9C63-05C1BDB053F5}" type="pres">
      <dgm:prSet presAssocID="{8EC5AF5E-9C9F-410A-A755-A3EA5186F948}" presName="sibTrans" presStyleLbl="sibTrans2D1" presStyleIdx="0" presStyleCnt="4"/>
      <dgm:spPr/>
      <dgm:t>
        <a:bodyPr/>
        <a:p>
          <a:endParaRPr lang="zh-CN" altLang="en-US"/>
        </a:p>
      </dgm:t>
    </dgm:pt>
    <dgm:pt modelId="{5FA465F6-7607-499F-BFB2-52F4E071FB67}" type="pres">
      <dgm:prSet presAssocID="{8EC5AF5E-9C9F-410A-A755-A3EA5186F948}" presName="connectorText" presStyleLbl="sibTrans2D1" presStyleIdx="0" presStyleCnt="4"/>
      <dgm:spPr/>
      <dgm:t>
        <a:bodyPr/>
        <a:p>
          <a:endParaRPr lang="zh-CN" altLang="en-US"/>
        </a:p>
      </dgm:t>
    </dgm:pt>
    <dgm:pt modelId="{552FB8E7-A5FB-4CC3-94C3-CE0BDF19F9F1}" type="pres">
      <dgm:prSet presAssocID="{2E2F4D3A-969C-4DB2-9FA9-5C4A40369351}" presName="node" presStyleLbl="node1" presStyleIdx="1" presStyleCnt="5">
        <dgm:presLayoutVars>
          <dgm:bulletEnabled val="1"/>
        </dgm:presLayoutVars>
      </dgm:prSet>
      <dgm:spPr/>
      <dgm:t>
        <a:bodyPr/>
        <a:p>
          <a:endParaRPr lang="zh-CN" altLang="en-US"/>
        </a:p>
      </dgm:t>
    </dgm:pt>
    <dgm:pt modelId="{353C3794-50AA-4D44-83C9-CE28317C3317}" type="pres">
      <dgm:prSet presAssocID="{EC1AFF77-9232-4EEB-95CB-85CEAB3B1FC0}" presName="sibTrans" presStyleLbl="sibTrans2D1" presStyleIdx="1" presStyleCnt="4"/>
      <dgm:spPr/>
      <dgm:t>
        <a:bodyPr/>
        <a:p>
          <a:endParaRPr lang="zh-CN" altLang="en-US"/>
        </a:p>
      </dgm:t>
    </dgm:pt>
    <dgm:pt modelId="{5AFF040D-0639-4120-9E39-DA822CF9F321}" type="pres">
      <dgm:prSet presAssocID="{EC1AFF77-9232-4EEB-95CB-85CEAB3B1FC0}" presName="connectorText" presStyleLbl="sibTrans2D1" presStyleIdx="1" presStyleCnt="4"/>
      <dgm:spPr/>
      <dgm:t>
        <a:bodyPr/>
        <a:p>
          <a:endParaRPr lang="zh-CN" altLang="en-US"/>
        </a:p>
      </dgm:t>
    </dgm:pt>
    <dgm:pt modelId="{A1E15D63-E1FF-4A28-A04F-A2B65927BC31}" type="pres">
      <dgm:prSet presAssocID="{37B86CFA-59B5-46FA-8A6B-9FB187CE14DF}" presName="node" presStyleLbl="node1" presStyleIdx="2" presStyleCnt="5">
        <dgm:presLayoutVars>
          <dgm:bulletEnabled val="1"/>
        </dgm:presLayoutVars>
      </dgm:prSet>
      <dgm:spPr/>
      <dgm:t>
        <a:bodyPr/>
        <a:p>
          <a:endParaRPr lang="zh-CN" altLang="en-US"/>
        </a:p>
      </dgm:t>
    </dgm:pt>
    <dgm:pt modelId="{B59A6391-3CE2-4BC4-9329-53D4C0D885DA}" type="pres">
      <dgm:prSet presAssocID="{18EFF3C3-47F9-402B-A3F3-E9310EA281B4}" presName="sibTrans" presStyleLbl="sibTrans2D1" presStyleIdx="2" presStyleCnt="4"/>
      <dgm:spPr/>
      <dgm:t>
        <a:bodyPr/>
        <a:p>
          <a:endParaRPr lang="zh-CN" altLang="en-US"/>
        </a:p>
      </dgm:t>
    </dgm:pt>
    <dgm:pt modelId="{74F928F7-765E-426B-BD51-054B91EE855A}" type="pres">
      <dgm:prSet presAssocID="{18EFF3C3-47F9-402B-A3F3-E9310EA281B4}" presName="connectorText" presStyleLbl="sibTrans2D1" presStyleIdx="2" presStyleCnt="4"/>
      <dgm:spPr/>
      <dgm:t>
        <a:bodyPr/>
        <a:p>
          <a:endParaRPr lang="zh-CN" altLang="en-US"/>
        </a:p>
      </dgm:t>
    </dgm:pt>
    <dgm:pt modelId="{7F879797-399A-425D-AB36-310AF37322B4}" type="pres">
      <dgm:prSet presAssocID="{740CBFE9-193C-4BE7-A006-5CEFAA22AAF4}" presName="node" presStyleLbl="node1" presStyleIdx="3" presStyleCnt="5">
        <dgm:presLayoutVars>
          <dgm:bulletEnabled val="1"/>
        </dgm:presLayoutVars>
      </dgm:prSet>
      <dgm:spPr/>
      <dgm:t>
        <a:bodyPr/>
        <a:p>
          <a:endParaRPr lang="zh-CN" altLang="en-US"/>
        </a:p>
      </dgm:t>
    </dgm:pt>
    <dgm:pt modelId="{63FE5E69-A207-440F-83E2-8EEED4FEC1A3}" type="pres">
      <dgm:prSet presAssocID="{D30CC0E3-AF28-4821-9A9C-161395D95942}" presName="sibTrans" presStyleLbl="sibTrans2D1" presStyleIdx="3" presStyleCnt="4"/>
      <dgm:spPr/>
      <dgm:t>
        <a:bodyPr/>
        <a:p>
          <a:endParaRPr lang="zh-CN" altLang="en-US"/>
        </a:p>
      </dgm:t>
    </dgm:pt>
    <dgm:pt modelId="{BBADD47A-4A3B-4D80-8B27-A4A0D6D8F224}" type="pres">
      <dgm:prSet presAssocID="{D30CC0E3-AF28-4821-9A9C-161395D95942}" presName="connectorText" presStyleLbl="sibTrans2D1" presStyleIdx="3" presStyleCnt="4"/>
      <dgm:spPr/>
      <dgm:t>
        <a:bodyPr/>
        <a:p>
          <a:endParaRPr lang="zh-CN" altLang="en-US"/>
        </a:p>
      </dgm:t>
    </dgm:pt>
    <dgm:pt modelId="{66BF9139-A24C-42A8-8C9C-4D5FC7B4235C}" type="pres">
      <dgm:prSet presAssocID="{940D4CEB-C8AE-42D4-ADDD-18D6CA16E925}" presName="node" presStyleLbl="node1" presStyleIdx="4" presStyleCnt="5">
        <dgm:presLayoutVars>
          <dgm:bulletEnabled val="1"/>
        </dgm:presLayoutVars>
      </dgm:prSet>
      <dgm:spPr/>
      <dgm:t>
        <a:bodyPr/>
        <a:p>
          <a:endParaRPr lang="zh-CN" altLang="en-US"/>
        </a:p>
      </dgm:t>
    </dgm:pt>
  </dgm:ptLst>
  <dgm:cxnLst>
    <dgm:cxn modelId="{14620F98-9A55-4E5B-A718-C6440D6299D6}" type="presOf" srcId="{18EFF3C3-47F9-402B-A3F3-E9310EA281B4}" destId="{B59A6391-3CE2-4BC4-9329-53D4C0D885DA}" srcOrd="0" destOrd="0" presId="urn:microsoft.com/office/officeart/2005/8/layout/process1"/>
    <dgm:cxn modelId="{E997A856-3591-49F1-8397-899E19DD5128}" srcId="{8EB1D179-D23D-41D4-AEEF-E4B9FEB06903}" destId="{37B86CFA-59B5-46FA-8A6B-9FB187CE14DF}" srcOrd="2" destOrd="0" parTransId="{9DABF4F3-A9E6-40B1-A863-AC9409CC14BB}" sibTransId="{18EFF3C3-47F9-402B-A3F3-E9310EA281B4}"/>
    <dgm:cxn modelId="{644425CF-BE20-4D27-B98E-94AC96DA9756}" type="presOf" srcId="{3F25DA44-7F3E-4C17-A40B-7F663FDBEA65}" destId="{111DEAC9-5D4C-4A6A-A44E-082A26F60596}" srcOrd="0" destOrd="0" presId="urn:microsoft.com/office/officeart/2005/8/layout/process1"/>
    <dgm:cxn modelId="{544AF56B-C00F-48E2-9D11-1D775912120D}" type="presOf" srcId="{D30CC0E3-AF28-4821-9A9C-161395D95942}" destId="{63FE5E69-A207-440F-83E2-8EEED4FEC1A3}" srcOrd="0" destOrd="0" presId="urn:microsoft.com/office/officeart/2005/8/layout/process1"/>
    <dgm:cxn modelId="{D73FFD38-11B7-4DDF-A318-25F35FD29FBC}" type="presOf" srcId="{8EC5AF5E-9C9F-410A-A755-A3EA5186F948}" destId="{5FA465F6-7607-499F-BFB2-52F4E071FB67}" srcOrd="1" destOrd="0" presId="urn:microsoft.com/office/officeart/2005/8/layout/process1"/>
    <dgm:cxn modelId="{15D260B4-2660-4E5F-8D94-B8001CBE7F26}" type="presOf" srcId="{940D4CEB-C8AE-42D4-ADDD-18D6CA16E925}" destId="{66BF9139-A24C-42A8-8C9C-4D5FC7B4235C}" srcOrd="0" destOrd="0" presId="urn:microsoft.com/office/officeart/2005/8/layout/process1"/>
    <dgm:cxn modelId="{89ED6765-33A6-4EC4-9070-96ADE2C22142}" type="presOf" srcId="{2C41CD1D-451D-4A25-BF44-B914DCDD93E3}" destId="{A1E15D63-E1FF-4A28-A04F-A2B65927BC31}" srcOrd="0" destOrd="1" presId="urn:microsoft.com/office/officeart/2005/8/layout/process1"/>
    <dgm:cxn modelId="{112D421C-6A37-4D29-B9D3-EC8FD486273F}" srcId="{8EB1D179-D23D-41D4-AEEF-E4B9FEB06903}" destId="{740CBFE9-193C-4BE7-A006-5CEFAA22AAF4}" srcOrd="3" destOrd="0" parTransId="{196398B4-9711-48DA-9134-F25E7AC4B3DB}" sibTransId="{D30CC0E3-AF28-4821-9A9C-161395D95942}"/>
    <dgm:cxn modelId="{984B44CF-FAB6-49CB-904F-4DA21E7CBCEC}" type="presOf" srcId="{24899EA3-7308-4605-B532-50239E262CCA}" destId="{A1E15D63-E1FF-4A28-A04F-A2B65927BC31}" srcOrd="0" destOrd="3" presId="urn:microsoft.com/office/officeart/2005/8/layout/process1"/>
    <dgm:cxn modelId="{8C226EC1-BFB7-4EF7-8518-91418B41C603}" type="presOf" srcId="{2E2F4D3A-969C-4DB2-9FA9-5C4A40369351}" destId="{552FB8E7-A5FB-4CC3-94C3-CE0BDF19F9F1}" srcOrd="0" destOrd="0" presId="urn:microsoft.com/office/officeart/2005/8/layout/process1"/>
    <dgm:cxn modelId="{17CF13F7-5124-4A26-A40E-07C5E2689939}" type="presOf" srcId="{EC1AFF77-9232-4EEB-95CB-85CEAB3B1FC0}" destId="{5AFF040D-0639-4120-9E39-DA822CF9F321}" srcOrd="1" destOrd="0" presId="urn:microsoft.com/office/officeart/2005/8/layout/process1"/>
    <dgm:cxn modelId="{BCBBC287-5B2B-48F2-ADB3-EC84265F2138}" type="presOf" srcId="{8EB1D179-D23D-41D4-AEEF-E4B9FEB06903}" destId="{BF708676-7EFC-4C81-9D3A-3E677EAC1C7B}" srcOrd="0" destOrd="0" presId="urn:microsoft.com/office/officeart/2005/8/layout/process1"/>
    <dgm:cxn modelId="{CB2B2A3D-65E0-4031-B85A-A43225DDAC07}" type="presOf" srcId="{EC1AFF77-9232-4EEB-95CB-85CEAB3B1FC0}" destId="{353C3794-50AA-4D44-83C9-CE28317C3317}" srcOrd="0" destOrd="0" presId="urn:microsoft.com/office/officeart/2005/8/layout/process1"/>
    <dgm:cxn modelId="{6488FFED-69D9-4563-83A6-1B090B47F12D}" type="presOf" srcId="{37B86CFA-59B5-46FA-8A6B-9FB187CE14DF}" destId="{A1E15D63-E1FF-4A28-A04F-A2B65927BC31}" srcOrd="0" destOrd="0" presId="urn:microsoft.com/office/officeart/2005/8/layout/process1"/>
    <dgm:cxn modelId="{D099F159-80CC-4034-9937-ED337BB29E65}" type="presOf" srcId="{18EFF3C3-47F9-402B-A3F3-E9310EA281B4}" destId="{74F928F7-765E-426B-BD51-054B91EE855A}" srcOrd="1" destOrd="0" presId="urn:microsoft.com/office/officeart/2005/8/layout/process1"/>
    <dgm:cxn modelId="{811205B0-3C54-4ACA-8F21-5D945E855195}" type="presOf" srcId="{740CBFE9-193C-4BE7-A006-5CEFAA22AAF4}" destId="{7F879797-399A-425D-AB36-310AF37322B4}" srcOrd="0" destOrd="0" presId="urn:microsoft.com/office/officeart/2005/8/layout/process1"/>
    <dgm:cxn modelId="{3550067F-DA27-4016-9C57-308DC2313473}" srcId="{8EB1D179-D23D-41D4-AEEF-E4B9FEB06903}" destId="{2E2F4D3A-969C-4DB2-9FA9-5C4A40369351}" srcOrd="1" destOrd="0" parTransId="{1E934BFE-4D40-486C-8784-F698A10C4CF5}" sibTransId="{EC1AFF77-9232-4EEB-95CB-85CEAB3B1FC0}"/>
    <dgm:cxn modelId="{766B929E-8099-43F0-A56F-82CB08E8A76A}" srcId="{37B86CFA-59B5-46FA-8A6B-9FB187CE14DF}" destId="{24899EA3-7308-4605-B532-50239E262CCA}" srcOrd="2" destOrd="0" parTransId="{184F6787-F885-4B54-AEC0-FD0BFFA61A78}" sibTransId="{0EBA97C3-303B-43F5-8C42-F40BB8CF32DE}"/>
    <dgm:cxn modelId="{F1E173AB-670C-441C-99D5-ED0B47EC2A1D}" srcId="{37B86CFA-59B5-46FA-8A6B-9FB187CE14DF}" destId="{2C41CD1D-451D-4A25-BF44-B914DCDD93E3}" srcOrd="0" destOrd="0" parTransId="{32BC63E7-3886-4149-AE53-CCD77E20AC58}" sibTransId="{D6721E4E-E90B-494D-930B-C1A6C6C7DD38}"/>
    <dgm:cxn modelId="{FD3C6043-D0A1-4A7F-9060-94F5CBEABAE6}" type="presOf" srcId="{8EC5AF5E-9C9F-410A-A755-A3EA5186F948}" destId="{8A5CF0CE-3323-464D-9C63-05C1BDB053F5}" srcOrd="0" destOrd="0" presId="urn:microsoft.com/office/officeart/2005/8/layout/process1"/>
    <dgm:cxn modelId="{E9DF97B8-B585-46E6-A4E4-9D6BDAAADF7B}" type="presOf" srcId="{D30CC0E3-AF28-4821-9A9C-161395D95942}" destId="{BBADD47A-4A3B-4D80-8B27-A4A0D6D8F224}" srcOrd="1" destOrd="0" presId="urn:microsoft.com/office/officeart/2005/8/layout/process1"/>
    <dgm:cxn modelId="{33748DD4-1C12-402E-A74B-65193B0A57DC}" srcId="{8EB1D179-D23D-41D4-AEEF-E4B9FEB06903}" destId="{3F25DA44-7F3E-4C17-A40B-7F663FDBEA65}" srcOrd="0" destOrd="0" parTransId="{EE9066D1-3403-4469-8E8C-0D40A82430F2}" sibTransId="{8EC5AF5E-9C9F-410A-A755-A3EA5186F948}"/>
    <dgm:cxn modelId="{E2040BA8-813A-41D6-A8B0-B47AF04B62A3}" srcId="{8EB1D179-D23D-41D4-AEEF-E4B9FEB06903}" destId="{940D4CEB-C8AE-42D4-ADDD-18D6CA16E925}" srcOrd="4" destOrd="0" parTransId="{AF4315B9-693D-47DB-8CF3-C502D266BE42}" sibTransId="{668A0351-CAF8-42C6-9129-6D5260C7B733}"/>
    <dgm:cxn modelId="{235D1879-AF54-4D36-825D-972E16713E25}" type="presOf" srcId="{FF019B6A-3E17-400A-BCB4-0444DDFBF3EF}" destId="{A1E15D63-E1FF-4A28-A04F-A2B65927BC31}" srcOrd="0" destOrd="2" presId="urn:microsoft.com/office/officeart/2005/8/layout/process1"/>
    <dgm:cxn modelId="{3F116312-2DED-4CBC-9A4B-2F4926E5A466}" srcId="{37B86CFA-59B5-46FA-8A6B-9FB187CE14DF}" destId="{FF019B6A-3E17-400A-BCB4-0444DDFBF3EF}" srcOrd="1" destOrd="0" parTransId="{14F2778F-BA95-44F2-9D3C-5BCF0E34A755}" sibTransId="{A282291E-4EBC-4CCC-8D43-D78424BE6B1E}"/>
    <dgm:cxn modelId="{508BBEFF-5274-4ADE-9A91-566F02F98D04}" type="presParOf" srcId="{BF708676-7EFC-4C81-9D3A-3E677EAC1C7B}" destId="{111DEAC9-5D4C-4A6A-A44E-082A26F60596}" srcOrd="0" destOrd="0" presId="urn:microsoft.com/office/officeart/2005/8/layout/process1"/>
    <dgm:cxn modelId="{3641CC16-8CE7-4822-920D-AF02540A1191}" type="presParOf" srcId="{BF708676-7EFC-4C81-9D3A-3E677EAC1C7B}" destId="{8A5CF0CE-3323-464D-9C63-05C1BDB053F5}" srcOrd="1" destOrd="0" presId="urn:microsoft.com/office/officeart/2005/8/layout/process1"/>
    <dgm:cxn modelId="{1F75836B-517A-443E-AC38-95A6B79396F8}" type="presParOf" srcId="{8A5CF0CE-3323-464D-9C63-05C1BDB053F5}" destId="{5FA465F6-7607-499F-BFB2-52F4E071FB67}" srcOrd="0" destOrd="0" presId="urn:microsoft.com/office/officeart/2005/8/layout/process1"/>
    <dgm:cxn modelId="{DAB7E117-DD66-4C05-A34B-1F4DF6259059}" type="presParOf" srcId="{BF708676-7EFC-4C81-9D3A-3E677EAC1C7B}" destId="{552FB8E7-A5FB-4CC3-94C3-CE0BDF19F9F1}" srcOrd="2" destOrd="0" presId="urn:microsoft.com/office/officeart/2005/8/layout/process1"/>
    <dgm:cxn modelId="{0070CA31-04C4-4EB3-BFD5-EB43E8B314E4}" type="presParOf" srcId="{BF708676-7EFC-4C81-9D3A-3E677EAC1C7B}" destId="{353C3794-50AA-4D44-83C9-CE28317C3317}" srcOrd="3" destOrd="0" presId="urn:microsoft.com/office/officeart/2005/8/layout/process1"/>
    <dgm:cxn modelId="{2EA5A16E-497A-4A26-ACA7-D3E1B6126D63}" type="presParOf" srcId="{353C3794-50AA-4D44-83C9-CE28317C3317}" destId="{5AFF040D-0639-4120-9E39-DA822CF9F321}" srcOrd="0" destOrd="0" presId="urn:microsoft.com/office/officeart/2005/8/layout/process1"/>
    <dgm:cxn modelId="{CA861A30-3EA4-420F-B4D4-83E231B26DEF}" type="presParOf" srcId="{BF708676-7EFC-4C81-9D3A-3E677EAC1C7B}" destId="{A1E15D63-E1FF-4A28-A04F-A2B65927BC31}" srcOrd="4" destOrd="0" presId="urn:microsoft.com/office/officeart/2005/8/layout/process1"/>
    <dgm:cxn modelId="{F35493CE-D03F-4AFD-86E7-BDBD8FE1E0E1}" type="presParOf" srcId="{BF708676-7EFC-4C81-9D3A-3E677EAC1C7B}" destId="{B59A6391-3CE2-4BC4-9329-53D4C0D885DA}" srcOrd="5" destOrd="0" presId="urn:microsoft.com/office/officeart/2005/8/layout/process1"/>
    <dgm:cxn modelId="{831F3853-B58F-4213-B023-645590364BE3}" type="presParOf" srcId="{B59A6391-3CE2-4BC4-9329-53D4C0D885DA}" destId="{74F928F7-765E-426B-BD51-054B91EE855A}" srcOrd="0" destOrd="0" presId="urn:microsoft.com/office/officeart/2005/8/layout/process1"/>
    <dgm:cxn modelId="{F8FED68E-5BFF-45A4-B687-84DF0752549A}" type="presParOf" srcId="{BF708676-7EFC-4C81-9D3A-3E677EAC1C7B}" destId="{7F879797-399A-425D-AB36-310AF37322B4}" srcOrd="6" destOrd="0" presId="urn:microsoft.com/office/officeart/2005/8/layout/process1"/>
    <dgm:cxn modelId="{A53BA8BD-2BAF-445D-AB50-0F81CE16CFE1}" type="presParOf" srcId="{BF708676-7EFC-4C81-9D3A-3E677EAC1C7B}" destId="{63FE5E69-A207-440F-83E2-8EEED4FEC1A3}" srcOrd="7" destOrd="0" presId="urn:microsoft.com/office/officeart/2005/8/layout/process1"/>
    <dgm:cxn modelId="{17FB9199-1CE3-4B97-AE96-8898F034E9E2}" type="presParOf" srcId="{63FE5E69-A207-440F-83E2-8EEED4FEC1A3}" destId="{BBADD47A-4A3B-4D80-8B27-A4A0D6D8F224}" srcOrd="0" destOrd="0" presId="urn:microsoft.com/office/officeart/2005/8/layout/process1"/>
    <dgm:cxn modelId="{72D31DFD-FC1F-406A-8CBB-24B5F9E4C37A}" type="presParOf" srcId="{BF708676-7EFC-4C81-9D3A-3E677EAC1C7B}" destId="{66BF9139-A24C-42A8-8C9C-4D5FC7B4235C}" srcOrd="8"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116195" cy="676275"/>
        <a:chOff x="0" y="0"/>
        <a:chExt cx="5116195" cy="676275"/>
      </a:xfrm>
    </dsp:grpSpPr>
    <dsp:sp modelId="{111DEAC9-5D4C-4A6A-A44E-082A26F60596}">
      <dsp:nvSpPr>
        <dsp:cNvPr id="3" name="圆角矩形 2"/>
        <dsp:cNvSpPr/>
      </dsp:nvSpPr>
      <dsp:spPr bwMode="white">
        <a:xfrm>
          <a:off x="0" y="105583"/>
          <a:ext cx="775181" cy="46510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vert="horz" wrap="square"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a:latin typeface="仿宋" panose="02010609060101010101" pitchFamily="3" charset="-122"/>
              <a:ea typeface="仿宋" panose="02010609060101010101" pitchFamily="3" charset="-122"/>
            </a:rPr>
            <a:t>受理</a:t>
          </a:r>
        </a:p>
      </dsp:txBody>
      <dsp:txXfrm>
        <a:off x="0" y="105583"/>
        <a:ext cx="775181" cy="465109"/>
      </dsp:txXfrm>
    </dsp:sp>
    <dsp:sp modelId="{8A5CF0CE-3323-464D-9C63-05C1BDB053F5}">
      <dsp:nvSpPr>
        <dsp:cNvPr id="4" name="右箭头 3"/>
        <dsp:cNvSpPr/>
      </dsp:nvSpPr>
      <dsp:spPr bwMode="white">
        <a:xfrm>
          <a:off x="848048" y="242015"/>
          <a:ext cx="164338" cy="192245"/>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848048" y="242015"/>
        <a:ext cx="164338" cy="192245"/>
      </dsp:txXfrm>
    </dsp:sp>
    <dsp:sp modelId="{552FB8E7-A5FB-4CC3-94C3-CE0BDF19F9F1}">
      <dsp:nvSpPr>
        <dsp:cNvPr id="5" name="圆角矩形 4"/>
        <dsp:cNvSpPr/>
      </dsp:nvSpPr>
      <dsp:spPr bwMode="white">
        <a:xfrm>
          <a:off x="1085253" y="105583"/>
          <a:ext cx="775181" cy="46510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vert="horz" wrap="square"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a:latin typeface="仿宋" panose="02010609060101010101" pitchFamily="3" charset="-122"/>
              <a:ea typeface="仿宋" panose="02010609060101010101" pitchFamily="3" charset="-122"/>
            </a:rPr>
            <a:t>审核</a:t>
          </a:r>
        </a:p>
      </dsp:txBody>
      <dsp:txXfrm>
        <a:off x="1085253" y="105583"/>
        <a:ext cx="775181" cy="465109"/>
      </dsp:txXfrm>
    </dsp:sp>
    <dsp:sp modelId="{353C3794-50AA-4D44-83C9-CE28317C3317}">
      <dsp:nvSpPr>
        <dsp:cNvPr id="6" name="右箭头 5"/>
        <dsp:cNvSpPr/>
      </dsp:nvSpPr>
      <dsp:spPr bwMode="white">
        <a:xfrm>
          <a:off x="1933302" y="242015"/>
          <a:ext cx="164338" cy="192245"/>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1933302" y="242015"/>
        <a:ext cx="164338" cy="192245"/>
      </dsp:txXfrm>
    </dsp:sp>
    <dsp:sp modelId="{A1E15D63-E1FF-4A28-A04F-A2B65927BC31}">
      <dsp:nvSpPr>
        <dsp:cNvPr id="7" name="圆角矩形 6"/>
        <dsp:cNvSpPr/>
      </dsp:nvSpPr>
      <dsp:spPr bwMode="white">
        <a:xfrm>
          <a:off x="2170507" y="105583"/>
          <a:ext cx="775181" cy="46510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vert="horz" wrap="square" lIns="38100" tIns="38100" rIns="38100" bIns="3810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nSpc>
              <a:spcPct val="100000"/>
            </a:lnSpc>
            <a:spcBef>
              <a:spcPct val="0"/>
            </a:spcBef>
            <a:spcAft>
              <a:spcPct val="35000"/>
            </a:spcAft>
          </a:pPr>
          <a:r>
            <a:rPr lang="zh-CN" altLang="en-US" sz="1050">
              <a:latin typeface="仿宋" panose="02010609060101010101" pitchFamily="3" charset="-122"/>
              <a:ea typeface="仿宋" panose="02010609060101010101" pitchFamily="3" charset="-122"/>
            </a:rPr>
            <a:t>上市审核委员会审议</a:t>
          </a:r>
          <a:endParaRPr lang="zh-CN" altLang="en-US" sz="1050">
            <a:latin typeface="仿宋" panose="02010609060101010101" pitchFamily="3" charset="-122"/>
            <a:ea typeface="仿宋" panose="02010609060101010101" pitchFamily="3" charset="-122"/>
          </a:endParaRPr>
        </a:p>
        <a:p>
          <a:pPr marL="285750" lvl="1" indent="-285750">
            <a:lnSpc>
              <a:spcPct val="100000"/>
            </a:lnSpc>
            <a:spcBef>
              <a:spcPct val="0"/>
            </a:spcBef>
            <a:spcAft>
              <a:spcPct val="15000"/>
            </a:spcAft>
            <a:buChar char="•"/>
          </a:pPr>
          <a:endParaRPr altLang="en-US" sz="5000"/>
        </a:p>
        <a:p>
          <a:pPr marL="285750" lvl="1" indent="-285750">
            <a:lnSpc>
              <a:spcPct val="100000"/>
            </a:lnSpc>
            <a:spcBef>
              <a:spcPct val="0"/>
            </a:spcBef>
            <a:spcAft>
              <a:spcPct val="15000"/>
            </a:spcAft>
            <a:buChar char="•"/>
          </a:pPr>
          <a:endParaRPr altLang="en-US" sz="5000"/>
        </a:p>
        <a:p>
          <a:pPr marL="285750" lvl="1" indent="-285750">
            <a:lnSpc>
              <a:spcPct val="100000"/>
            </a:lnSpc>
            <a:spcBef>
              <a:spcPct val="0"/>
            </a:spcBef>
            <a:spcAft>
              <a:spcPct val="15000"/>
            </a:spcAft>
            <a:buChar char="•"/>
          </a:pPr>
          <a:endParaRPr altLang="en-US" sz="5000"/>
        </a:p>
      </dsp:txBody>
      <dsp:txXfrm>
        <a:off x="2170507" y="105583"/>
        <a:ext cx="775181" cy="465109"/>
      </dsp:txXfrm>
    </dsp:sp>
    <dsp:sp modelId="{B59A6391-3CE2-4BC4-9329-53D4C0D885DA}">
      <dsp:nvSpPr>
        <dsp:cNvPr id="8" name="右箭头 7"/>
        <dsp:cNvSpPr/>
      </dsp:nvSpPr>
      <dsp:spPr bwMode="white">
        <a:xfrm>
          <a:off x="3018555" y="242015"/>
          <a:ext cx="164338" cy="192245"/>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3018555" y="242015"/>
        <a:ext cx="164338" cy="192245"/>
      </dsp:txXfrm>
    </dsp:sp>
    <dsp:sp modelId="{7F879797-399A-425D-AB36-310AF37322B4}">
      <dsp:nvSpPr>
        <dsp:cNvPr id="9" name="圆角矩形 8"/>
        <dsp:cNvSpPr/>
      </dsp:nvSpPr>
      <dsp:spPr bwMode="white">
        <a:xfrm>
          <a:off x="3255760" y="105583"/>
          <a:ext cx="775181" cy="46510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vert="horz" wrap="square"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050">
              <a:latin typeface="仿宋" panose="02010609060101010101" pitchFamily="3" charset="-122"/>
              <a:ea typeface="仿宋" panose="02010609060101010101" pitchFamily="3" charset="-122"/>
            </a:rPr>
            <a:t>本所作出决定</a:t>
          </a:r>
        </a:p>
      </dsp:txBody>
      <dsp:txXfrm>
        <a:off x="3255760" y="105583"/>
        <a:ext cx="775181" cy="465109"/>
      </dsp:txXfrm>
    </dsp:sp>
    <dsp:sp modelId="{63FE5E69-A207-440F-83E2-8EEED4FEC1A3}">
      <dsp:nvSpPr>
        <dsp:cNvPr id="10" name="右箭头 9"/>
        <dsp:cNvSpPr/>
      </dsp:nvSpPr>
      <dsp:spPr bwMode="white">
        <a:xfrm>
          <a:off x="4103809" y="242015"/>
          <a:ext cx="164338" cy="192245"/>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4103809" y="242015"/>
        <a:ext cx="164338" cy="192245"/>
      </dsp:txXfrm>
    </dsp:sp>
    <dsp:sp modelId="{66BF9139-A24C-42A8-8C9C-4D5FC7B4235C}">
      <dsp:nvSpPr>
        <dsp:cNvPr id="11" name="圆角矩形 10"/>
        <dsp:cNvSpPr/>
      </dsp:nvSpPr>
      <dsp:spPr bwMode="white">
        <a:xfrm>
          <a:off x="4341014" y="105583"/>
          <a:ext cx="775181" cy="465109"/>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vert="horz" wrap="square"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050">
              <a:latin typeface="仿宋" panose="02010609060101010101" pitchFamily="3" charset="-122"/>
              <a:ea typeface="仿宋" panose="02010609060101010101" pitchFamily="3" charset="-122"/>
            </a:rPr>
            <a:t>中国证监会备案</a:t>
          </a:r>
        </a:p>
      </dsp:txBody>
      <dsp:txXfrm>
        <a:off x="4341014" y="105583"/>
        <a:ext cx="775181" cy="4651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9C58E-BCD9-4D15-8A5D-21487999547C}">
  <ds:schemaRefs/>
</ds:datastoreItem>
</file>

<file path=docProps/app.xml><?xml version="1.0" encoding="utf-8"?>
<Properties xmlns="http://schemas.openxmlformats.org/officeDocument/2006/extended-properties" xmlns:vt="http://schemas.openxmlformats.org/officeDocument/2006/docPropsVTypes">
  <Template>Normal</Template>
  <Pages>12</Pages>
  <Words>861</Words>
  <Characters>4908</Characters>
  <Lines>40</Lines>
  <Paragraphs>11</Paragraphs>
  <TotalTime>16</TotalTime>
  <ScaleCrop>false</ScaleCrop>
  <LinksUpToDate>false</LinksUpToDate>
  <CharactersWithSpaces>5758</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2021-02-06T04:12:00Z</dcterms:created>
  <dc:creator>张畅[zhangchang]</dc:creator>
  <cp:lastModifiedBy>xxb09</cp:lastModifiedBy>
  <cp:lastPrinted>2020-10-15T08:19:00Z</cp:lastPrinted>
  <dcterms:modified xsi:type="dcterms:W3CDTF">2023-09-07T07:41:59Z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6E267EA8271841559CCDB0A0202A2BC0</vt:lpwstr>
  </property>
</Properties>
</file>