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sz w:val="44"/>
          <w:szCs w:val="44"/>
        </w:rPr>
      </w:pP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监管服务事项办事指南</w:t>
      </w:r>
    </w:p>
    <w:p>
      <w:pPr>
        <w:spacing w:line="560" w:lineRule="exact"/>
        <w:jc w:val="center"/>
        <w:rPr>
          <w:rFonts w:hint="eastAsia" w:ascii="仿宋" w:hAnsi="仿宋" w:eastAsia="仿宋"/>
          <w:b/>
          <w:sz w:val="44"/>
          <w:szCs w:val="44"/>
        </w:rPr>
      </w:pPr>
      <w:r>
        <w:rPr>
          <w:rFonts w:hint="eastAsia" w:ascii="仿宋" w:hAnsi="仿宋" w:eastAsia="仿宋"/>
          <w:b/>
          <w:sz w:val="44"/>
          <w:szCs w:val="44"/>
        </w:rPr>
        <w:t>公开募集基础设施证券投资基</w:t>
      </w:r>
      <w:bookmarkStart w:id="83" w:name="_GoBack"/>
      <w:bookmarkEnd w:id="83"/>
      <w:r>
        <w:rPr>
          <w:rFonts w:hint="eastAsia" w:ascii="仿宋" w:hAnsi="仿宋" w:eastAsia="仿宋"/>
          <w:b/>
          <w:sz w:val="44"/>
          <w:szCs w:val="44"/>
        </w:rPr>
        <w:t>金上市及</w:t>
      </w:r>
    </w:p>
    <w:p>
      <w:pPr>
        <w:spacing w:line="560" w:lineRule="exact"/>
        <w:jc w:val="center"/>
        <w:rPr>
          <w:rFonts w:ascii="仿宋" w:hAnsi="仿宋" w:eastAsia="仿宋"/>
          <w:b/>
          <w:sz w:val="44"/>
          <w:szCs w:val="44"/>
        </w:rPr>
      </w:pPr>
      <w:r>
        <w:rPr>
          <w:rFonts w:hint="eastAsia" w:ascii="仿宋" w:hAnsi="仿宋" w:eastAsia="仿宋"/>
          <w:b/>
          <w:sz w:val="44"/>
          <w:szCs w:val="44"/>
        </w:rPr>
        <w:t>基础设施资产支持证券挂牌申请（审核阶段）</w:t>
      </w:r>
    </w:p>
    <w:p>
      <w:pPr>
        <w:spacing w:line="560" w:lineRule="exact"/>
        <w:jc w:val="center"/>
        <w:rPr>
          <w:rFonts w:ascii="黑体" w:hAnsi="黑体" w:eastAsia="黑体"/>
          <w:sz w:val="32"/>
          <w:szCs w:val="32"/>
        </w:rPr>
      </w:pPr>
    </w:p>
    <w:p>
      <w:pPr>
        <w:spacing w:line="560" w:lineRule="exact"/>
        <w:jc w:val="center"/>
        <w:rPr>
          <w:rFonts w:hint="eastAsia" w:ascii="黑体" w:hAnsi="黑体" w:eastAsia="黑体"/>
          <w:sz w:val="32"/>
          <w:szCs w:val="32"/>
        </w:rPr>
      </w:pPr>
      <w:r>
        <w:rPr>
          <w:rFonts w:hint="eastAsia" w:ascii="黑体" w:hAnsi="黑体" w:eastAsia="黑体"/>
          <w:sz w:val="32"/>
          <w:szCs w:val="32"/>
        </w:rPr>
        <w:t>目录</w:t>
      </w:r>
    </w:p>
    <w:p>
      <w:pPr>
        <w:spacing w:line="560" w:lineRule="exact"/>
        <w:jc w:val="center"/>
        <w:rPr>
          <w:rFonts w:hint="eastAsia" w:ascii="黑体" w:hAnsi="黑体" w:eastAsia="黑体"/>
          <w:sz w:val="32"/>
          <w:szCs w:val="32"/>
        </w:rPr>
      </w:pPr>
    </w:p>
    <w:p>
      <w:pPr>
        <w:pStyle w:val="11"/>
        <w:pageBreakBefore w:val="0"/>
        <w:widowControl w:val="0"/>
        <w:tabs>
          <w:tab w:val="right" w:leader="dot" w:pos="8296"/>
        </w:tabs>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TOC \o "1-3" \h \z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"_Toc130547973" </w:instrText>
      </w:r>
      <w:r>
        <w:rPr>
          <w:rFonts w:hint="eastAsia" w:ascii="仿宋" w:hAnsi="仿宋" w:eastAsia="仿宋" w:cs="仿宋"/>
          <w:sz w:val="28"/>
          <w:szCs w:val="28"/>
        </w:rPr>
        <w:fldChar w:fldCharType="separate"/>
      </w:r>
      <w:r>
        <w:rPr>
          <w:rStyle w:val="16"/>
          <w:rFonts w:hint="eastAsia" w:ascii="仿宋" w:hAnsi="仿宋" w:eastAsia="仿宋" w:cs="仿宋"/>
          <w:sz w:val="28"/>
          <w:szCs w:val="28"/>
        </w:rPr>
        <w:t>一、事项名称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_Toc130547973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"_Toc130547974" </w:instrText>
      </w:r>
      <w:r>
        <w:rPr>
          <w:rFonts w:hint="eastAsia" w:ascii="仿宋" w:hAnsi="仿宋" w:eastAsia="仿宋" w:cs="仿宋"/>
          <w:sz w:val="28"/>
          <w:szCs w:val="28"/>
        </w:rPr>
        <w:fldChar w:fldCharType="separate"/>
      </w:r>
      <w:r>
        <w:rPr>
          <w:rStyle w:val="16"/>
          <w:rFonts w:hint="eastAsia" w:ascii="仿宋" w:hAnsi="仿宋" w:eastAsia="仿宋" w:cs="仿宋"/>
          <w:sz w:val="28"/>
          <w:szCs w:val="28"/>
        </w:rPr>
        <w:t>二、规则依据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_Toc130547974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"_Toc130547975" </w:instrText>
      </w:r>
      <w:r>
        <w:rPr>
          <w:rFonts w:hint="eastAsia" w:ascii="仿宋" w:hAnsi="仿宋" w:eastAsia="仿宋" w:cs="仿宋"/>
          <w:sz w:val="28"/>
          <w:szCs w:val="28"/>
        </w:rPr>
        <w:fldChar w:fldCharType="separate"/>
      </w:r>
      <w:r>
        <w:rPr>
          <w:rStyle w:val="16"/>
          <w:rFonts w:hint="eastAsia" w:ascii="仿宋" w:hAnsi="仿宋" w:eastAsia="仿宋" w:cs="仿宋"/>
          <w:sz w:val="28"/>
          <w:szCs w:val="28"/>
        </w:rPr>
        <w:t>三、受理部门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_Toc130547975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"_Toc130547976" </w:instrText>
      </w:r>
      <w:r>
        <w:rPr>
          <w:rFonts w:hint="eastAsia" w:ascii="仿宋" w:hAnsi="仿宋" w:eastAsia="仿宋" w:cs="仿宋"/>
          <w:sz w:val="28"/>
          <w:szCs w:val="28"/>
        </w:rPr>
        <w:fldChar w:fldCharType="separate"/>
      </w:r>
      <w:r>
        <w:rPr>
          <w:rStyle w:val="16"/>
          <w:rFonts w:hint="eastAsia" w:ascii="仿宋" w:hAnsi="仿宋" w:eastAsia="仿宋" w:cs="仿宋"/>
          <w:sz w:val="28"/>
          <w:szCs w:val="28"/>
        </w:rPr>
        <w:t>四、办理部门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_Toc130547976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"_Toc130547977" </w:instrText>
      </w:r>
      <w:r>
        <w:rPr>
          <w:rFonts w:hint="eastAsia" w:ascii="仿宋" w:hAnsi="仿宋" w:eastAsia="仿宋" w:cs="仿宋"/>
          <w:sz w:val="28"/>
          <w:szCs w:val="28"/>
        </w:rPr>
        <w:fldChar w:fldCharType="separate"/>
      </w:r>
      <w:r>
        <w:rPr>
          <w:rStyle w:val="16"/>
          <w:rFonts w:hint="eastAsia" w:ascii="仿宋" w:hAnsi="仿宋" w:eastAsia="仿宋" w:cs="仿宋"/>
          <w:sz w:val="28"/>
          <w:szCs w:val="28"/>
        </w:rPr>
        <w:t>五、收费标准及依据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_Toc130547977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"_Toc130547978" </w:instrText>
      </w:r>
      <w:r>
        <w:rPr>
          <w:rFonts w:hint="eastAsia" w:ascii="仿宋" w:hAnsi="仿宋" w:eastAsia="仿宋" w:cs="仿宋"/>
          <w:sz w:val="28"/>
          <w:szCs w:val="28"/>
        </w:rPr>
        <w:fldChar w:fldCharType="separate"/>
      </w:r>
      <w:r>
        <w:rPr>
          <w:rStyle w:val="16"/>
          <w:rFonts w:hint="eastAsia" w:ascii="仿宋" w:hAnsi="仿宋" w:eastAsia="仿宋" w:cs="仿宋"/>
          <w:sz w:val="28"/>
          <w:szCs w:val="28"/>
        </w:rPr>
        <w:t>六、办理时限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_Toc130547978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"_Toc130547979" </w:instrText>
      </w:r>
      <w:r>
        <w:rPr>
          <w:rFonts w:hint="eastAsia" w:ascii="仿宋" w:hAnsi="仿宋" w:eastAsia="仿宋" w:cs="仿宋"/>
          <w:sz w:val="28"/>
          <w:szCs w:val="28"/>
        </w:rPr>
        <w:fldChar w:fldCharType="separate"/>
      </w:r>
      <w:r>
        <w:rPr>
          <w:rStyle w:val="16"/>
          <w:rFonts w:hint="eastAsia" w:ascii="仿宋" w:hAnsi="仿宋" w:eastAsia="仿宋" w:cs="仿宋"/>
          <w:sz w:val="28"/>
          <w:szCs w:val="28"/>
        </w:rPr>
        <w:t>七、办理情形和条件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_Toc130547979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"_Toc130547980" </w:instrText>
      </w:r>
      <w:r>
        <w:rPr>
          <w:rFonts w:hint="eastAsia" w:ascii="仿宋" w:hAnsi="仿宋" w:eastAsia="仿宋" w:cs="仿宋"/>
          <w:sz w:val="28"/>
          <w:szCs w:val="28"/>
        </w:rPr>
        <w:fldChar w:fldCharType="separate"/>
      </w:r>
      <w:r>
        <w:rPr>
          <w:rStyle w:val="16"/>
          <w:rFonts w:hint="eastAsia" w:ascii="仿宋" w:hAnsi="仿宋" w:eastAsia="仿宋" w:cs="仿宋"/>
          <w:sz w:val="28"/>
          <w:szCs w:val="28"/>
        </w:rPr>
        <w:t>（一）办理情形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_Toc130547980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"_Toc130547981" </w:instrText>
      </w:r>
      <w:r>
        <w:rPr>
          <w:rFonts w:hint="eastAsia" w:ascii="仿宋" w:hAnsi="仿宋" w:eastAsia="仿宋" w:cs="仿宋"/>
          <w:sz w:val="28"/>
          <w:szCs w:val="28"/>
        </w:rPr>
        <w:fldChar w:fldCharType="separate"/>
      </w:r>
      <w:r>
        <w:rPr>
          <w:rStyle w:val="16"/>
          <w:rFonts w:hint="eastAsia" w:ascii="仿宋" w:hAnsi="仿宋" w:eastAsia="仿宋" w:cs="仿宋"/>
          <w:sz w:val="28"/>
          <w:szCs w:val="28"/>
        </w:rPr>
        <w:t>（二）办理条件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_Toc130547981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"_Toc130547982" </w:instrText>
      </w:r>
      <w:r>
        <w:rPr>
          <w:rFonts w:hint="eastAsia" w:ascii="仿宋" w:hAnsi="仿宋" w:eastAsia="仿宋" w:cs="仿宋"/>
          <w:sz w:val="28"/>
          <w:szCs w:val="28"/>
        </w:rPr>
        <w:fldChar w:fldCharType="separate"/>
      </w:r>
      <w:r>
        <w:rPr>
          <w:rStyle w:val="16"/>
          <w:rFonts w:hint="eastAsia" w:ascii="仿宋" w:hAnsi="仿宋" w:eastAsia="仿宋" w:cs="仿宋"/>
          <w:sz w:val="28"/>
          <w:szCs w:val="28"/>
        </w:rPr>
        <w:t>八、不予受理情形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_Toc130547982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"_Toc130547983" </w:instrText>
      </w:r>
      <w:r>
        <w:rPr>
          <w:rFonts w:hint="eastAsia" w:ascii="仿宋" w:hAnsi="仿宋" w:eastAsia="仿宋" w:cs="仿宋"/>
          <w:sz w:val="28"/>
          <w:szCs w:val="28"/>
        </w:rPr>
        <w:fldChar w:fldCharType="separate"/>
      </w:r>
      <w:r>
        <w:rPr>
          <w:rStyle w:val="16"/>
          <w:rFonts w:hint="eastAsia" w:ascii="仿宋" w:hAnsi="仿宋" w:eastAsia="仿宋" w:cs="仿宋"/>
          <w:sz w:val="28"/>
          <w:szCs w:val="28"/>
        </w:rPr>
        <w:t>九、申请材料清单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_Toc130547983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"_Toc130547984" </w:instrText>
      </w:r>
      <w:r>
        <w:rPr>
          <w:rFonts w:hint="eastAsia" w:ascii="仿宋" w:hAnsi="仿宋" w:eastAsia="仿宋" w:cs="仿宋"/>
          <w:sz w:val="28"/>
          <w:szCs w:val="28"/>
        </w:rPr>
        <w:fldChar w:fldCharType="separate"/>
      </w:r>
      <w:r>
        <w:rPr>
          <w:rStyle w:val="16"/>
          <w:rFonts w:hint="eastAsia" w:ascii="仿宋" w:hAnsi="仿宋" w:eastAsia="仿宋" w:cs="仿宋"/>
          <w:sz w:val="28"/>
          <w:szCs w:val="28"/>
        </w:rPr>
        <w:t>十、申请接收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_Toc130547984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"_Toc130547985" </w:instrText>
      </w:r>
      <w:r>
        <w:rPr>
          <w:rFonts w:hint="eastAsia" w:ascii="仿宋" w:hAnsi="仿宋" w:eastAsia="仿宋" w:cs="仿宋"/>
          <w:sz w:val="28"/>
          <w:szCs w:val="28"/>
        </w:rPr>
        <w:fldChar w:fldCharType="separate"/>
      </w:r>
      <w:r>
        <w:rPr>
          <w:rStyle w:val="16"/>
          <w:rFonts w:hint="eastAsia" w:ascii="仿宋" w:hAnsi="仿宋" w:eastAsia="仿宋" w:cs="仿宋"/>
          <w:sz w:val="28"/>
          <w:szCs w:val="28"/>
        </w:rPr>
        <w:t>十一、办理流程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_Toc130547985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"_Toc130547986" </w:instrText>
      </w:r>
      <w:r>
        <w:rPr>
          <w:rFonts w:hint="eastAsia" w:ascii="仿宋" w:hAnsi="仿宋" w:eastAsia="仿宋" w:cs="仿宋"/>
          <w:sz w:val="28"/>
          <w:szCs w:val="28"/>
        </w:rPr>
        <w:fldChar w:fldCharType="separate"/>
      </w:r>
      <w:r>
        <w:rPr>
          <w:rStyle w:val="16"/>
          <w:rFonts w:hint="eastAsia" w:ascii="仿宋" w:hAnsi="仿宋" w:eastAsia="仿宋" w:cs="仿宋"/>
          <w:sz w:val="28"/>
          <w:szCs w:val="28"/>
        </w:rPr>
        <w:t>（一）受理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_Toc130547986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"_Toc130547987" </w:instrText>
      </w:r>
      <w:r>
        <w:rPr>
          <w:rFonts w:hint="eastAsia" w:ascii="仿宋" w:hAnsi="仿宋" w:eastAsia="仿宋" w:cs="仿宋"/>
          <w:sz w:val="28"/>
          <w:szCs w:val="28"/>
        </w:rPr>
        <w:fldChar w:fldCharType="separate"/>
      </w:r>
      <w:r>
        <w:rPr>
          <w:rStyle w:val="16"/>
          <w:rFonts w:hint="eastAsia" w:ascii="仿宋" w:hAnsi="仿宋" w:eastAsia="仿宋" w:cs="仿宋"/>
          <w:sz w:val="28"/>
          <w:szCs w:val="28"/>
        </w:rPr>
        <w:t>（二）审核与反馈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_Toc130547987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"_Toc130547988" </w:instrText>
      </w:r>
      <w:r>
        <w:rPr>
          <w:rFonts w:hint="eastAsia" w:ascii="仿宋" w:hAnsi="仿宋" w:eastAsia="仿宋" w:cs="仿宋"/>
          <w:sz w:val="28"/>
          <w:szCs w:val="28"/>
        </w:rPr>
        <w:fldChar w:fldCharType="separate"/>
      </w:r>
      <w:r>
        <w:rPr>
          <w:rStyle w:val="16"/>
          <w:rFonts w:hint="eastAsia" w:ascii="仿宋" w:hAnsi="仿宋" w:eastAsia="仿宋" w:cs="仿宋"/>
          <w:sz w:val="28"/>
          <w:szCs w:val="28"/>
        </w:rPr>
        <w:t>（三）决定</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_Toc130547988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"_Toc130547989" </w:instrText>
      </w:r>
      <w:r>
        <w:rPr>
          <w:rFonts w:hint="eastAsia" w:ascii="仿宋" w:hAnsi="仿宋" w:eastAsia="仿宋" w:cs="仿宋"/>
          <w:sz w:val="28"/>
          <w:szCs w:val="28"/>
        </w:rPr>
        <w:fldChar w:fldCharType="separate"/>
      </w:r>
      <w:r>
        <w:rPr>
          <w:rStyle w:val="16"/>
          <w:rFonts w:hint="eastAsia" w:ascii="仿宋" w:hAnsi="仿宋" w:eastAsia="仿宋" w:cs="仿宋"/>
          <w:sz w:val="28"/>
          <w:szCs w:val="28"/>
        </w:rPr>
        <w:t>（四）期后事项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_Toc130547989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"_Toc130547990" </w:instrText>
      </w:r>
      <w:r>
        <w:rPr>
          <w:rFonts w:hint="eastAsia" w:ascii="仿宋" w:hAnsi="仿宋" w:eastAsia="仿宋" w:cs="仿宋"/>
          <w:sz w:val="28"/>
          <w:szCs w:val="28"/>
        </w:rPr>
        <w:fldChar w:fldCharType="separate"/>
      </w:r>
      <w:r>
        <w:rPr>
          <w:rStyle w:val="16"/>
          <w:rFonts w:hint="eastAsia" w:ascii="仿宋" w:hAnsi="仿宋" w:eastAsia="仿宋" w:cs="仿宋"/>
          <w:sz w:val="28"/>
          <w:szCs w:val="28"/>
        </w:rPr>
        <w:t>十二、办理结果及送达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_Toc130547990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"_Toc130547991" </w:instrText>
      </w:r>
      <w:r>
        <w:rPr>
          <w:rFonts w:hint="eastAsia" w:ascii="仿宋" w:hAnsi="仿宋" w:eastAsia="仿宋" w:cs="仿宋"/>
          <w:sz w:val="28"/>
          <w:szCs w:val="28"/>
        </w:rPr>
        <w:fldChar w:fldCharType="separate"/>
      </w:r>
      <w:r>
        <w:rPr>
          <w:rStyle w:val="16"/>
          <w:rFonts w:hint="eastAsia" w:ascii="仿宋" w:hAnsi="仿宋" w:eastAsia="仿宋" w:cs="仿宋"/>
          <w:sz w:val="28"/>
          <w:szCs w:val="28"/>
        </w:rPr>
        <w:t>十三、咨询途径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_Toc130547991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pageBreakBefore w:val="0"/>
        <w:widowControl w:val="0"/>
        <w:tabs>
          <w:tab w:val="right" w:leader="dot" w:pos="8296"/>
        </w:tabs>
        <w:kinsoku/>
        <w:wordWrap/>
        <w:overflowPunct/>
        <w:topLinePunct w:val="0"/>
        <w:autoSpaceDE/>
        <w:autoSpaceDN/>
        <w:bidi w:val="0"/>
        <w:adjustRightInd/>
        <w:snapToGrid/>
        <w:spacing w:line="400" w:lineRule="exact"/>
        <w:ind w:left="0" w:left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"_Toc130547992" </w:instrText>
      </w:r>
      <w:r>
        <w:rPr>
          <w:rFonts w:hint="eastAsia" w:ascii="仿宋" w:hAnsi="仿宋" w:eastAsia="仿宋" w:cs="仿宋"/>
          <w:sz w:val="28"/>
          <w:szCs w:val="28"/>
        </w:rPr>
        <w:fldChar w:fldCharType="separate"/>
      </w:r>
      <w:r>
        <w:rPr>
          <w:rStyle w:val="16"/>
          <w:rFonts w:hint="eastAsia" w:ascii="仿宋" w:hAnsi="仿宋" w:eastAsia="仿宋" w:cs="仿宋"/>
          <w:sz w:val="28"/>
          <w:szCs w:val="28"/>
        </w:rPr>
        <w:t>十四、办理地点和时间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_Toc130547992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
        <w:pageBreakBefore w:val="0"/>
        <w:widowControl w:val="0"/>
        <w:kinsoku/>
        <w:wordWrap/>
        <w:overflowPunct/>
        <w:topLinePunct w:val="0"/>
        <w:autoSpaceDE/>
        <w:autoSpaceDN/>
        <w:bidi w:val="0"/>
        <w:adjustRightInd/>
        <w:snapToGrid/>
        <w:spacing w:line="400" w:lineRule="exact"/>
        <w:ind w:left="0" w:leftChars="0"/>
        <w:textAlignment w:val="auto"/>
        <w:rPr>
          <w:rFonts w:ascii="仿宋" w:hAnsi="仿宋" w:eastAsia="仿宋"/>
          <w:sz w:val="40"/>
        </w:rPr>
      </w:pPr>
      <w:r>
        <w:rPr>
          <w:rFonts w:hint="eastAsia" w:ascii="仿宋" w:hAnsi="仿宋" w:eastAsia="仿宋" w:cs="仿宋"/>
          <w:sz w:val="28"/>
          <w:szCs w:val="28"/>
        </w:rPr>
        <w:fldChar w:fldCharType="end"/>
      </w:r>
    </w:p>
    <w:p>
      <w:pPr>
        <w:widowControl/>
        <w:jc w:val="left"/>
        <w:rPr>
          <w:rFonts w:ascii="仿宋" w:hAnsi="仿宋" w:eastAsia="仿宋" w:cstheme="majorBidi"/>
          <w:bCs/>
          <w:sz w:val="40"/>
          <w:szCs w:val="32"/>
        </w:rPr>
      </w:pPr>
      <w:r>
        <w:rPr>
          <w:rFonts w:ascii="仿宋" w:hAnsi="仿宋" w:eastAsia="仿宋"/>
          <w:sz w:val="40"/>
        </w:rPr>
        <w:br w:type="page"/>
      </w:r>
    </w:p>
    <w:p>
      <w:pPr>
        <w:pStyle w:val="3"/>
        <w:pageBreakBefore w:val="0"/>
        <w:widowControl w:val="0"/>
        <w:kinsoku/>
        <w:wordWrap/>
        <w:overflowPunct/>
        <w:topLinePunct w:val="0"/>
        <w:bidi w:val="0"/>
        <w:snapToGrid/>
        <w:spacing w:line="560" w:lineRule="exact"/>
        <w:ind w:left="0" w:firstLine="640" w:firstLineChars="200"/>
      </w:pPr>
      <w:bookmarkStart w:id="0" w:name="_Toc130547973"/>
      <w:r>
        <w:rPr>
          <w:rFonts w:hint="eastAsia"/>
        </w:rPr>
        <w:t>一、事项名称</w:t>
      </w:r>
      <w:bookmarkEnd w:id="0"/>
    </w:p>
    <w:p>
      <w:pPr>
        <w:pageBreakBefore w:val="0"/>
        <w:widowControl w:val="0"/>
        <w:kinsoku/>
        <w:wordWrap/>
        <w:overflowPunct/>
        <w:topLinePunct w:val="0"/>
        <w:bidi w:val="0"/>
        <w:snapToGrid/>
        <w:spacing w:line="560" w:lineRule="exact"/>
        <w:ind w:left="0" w:firstLine="640" w:firstLineChars="200"/>
        <w:rPr>
          <w:rFonts w:ascii="仿宋" w:hAnsi="仿宋" w:eastAsia="仿宋"/>
          <w:sz w:val="32"/>
          <w:szCs w:val="32"/>
        </w:rPr>
      </w:pPr>
      <w:r>
        <w:rPr>
          <w:rFonts w:hint="eastAsia" w:ascii="仿宋" w:hAnsi="仿宋" w:eastAsia="仿宋"/>
          <w:sz w:val="32"/>
          <w:szCs w:val="32"/>
        </w:rPr>
        <w:t>公开募集基础设施证券投资基金上市及基础设施资产支持证券挂牌申请（审核阶段）</w:t>
      </w:r>
    </w:p>
    <w:p>
      <w:pPr>
        <w:pageBreakBefore w:val="0"/>
        <w:widowControl w:val="0"/>
        <w:kinsoku/>
        <w:wordWrap/>
        <w:overflowPunct/>
        <w:topLinePunct w:val="0"/>
        <w:bidi w:val="0"/>
        <w:snapToGrid/>
        <w:spacing w:line="560" w:lineRule="exact"/>
        <w:ind w:left="0" w:firstLine="640" w:firstLineChars="200"/>
        <w:rPr>
          <w:rFonts w:ascii="仿宋" w:hAnsi="仿宋" w:eastAsia="仿宋"/>
          <w:sz w:val="32"/>
          <w:szCs w:val="32"/>
        </w:rPr>
      </w:pPr>
    </w:p>
    <w:p>
      <w:pPr>
        <w:pStyle w:val="3"/>
        <w:pageBreakBefore w:val="0"/>
        <w:widowControl w:val="0"/>
        <w:kinsoku/>
        <w:wordWrap/>
        <w:overflowPunct/>
        <w:topLinePunct w:val="0"/>
        <w:bidi w:val="0"/>
        <w:snapToGrid/>
        <w:spacing w:line="560" w:lineRule="exact"/>
        <w:ind w:left="0" w:firstLine="640" w:firstLineChars="200"/>
      </w:pPr>
      <w:bookmarkStart w:id="1" w:name="_Toc130547974"/>
      <w:r>
        <w:rPr>
          <w:rFonts w:hint="eastAsia"/>
        </w:rPr>
        <w:t>二、规则依据</w:t>
      </w:r>
      <w:bookmarkEnd w:id="1"/>
    </w:p>
    <w:p>
      <w:pPr>
        <w:pageBreakBefore w:val="0"/>
        <w:widowControl w:val="0"/>
        <w:kinsoku/>
        <w:wordWrap/>
        <w:overflowPunct/>
        <w:topLinePunct w:val="0"/>
        <w:bidi w:val="0"/>
        <w:snapToGrid/>
        <w:spacing w:line="560" w:lineRule="exact"/>
        <w:ind w:left="0" w:firstLine="640" w:firstLineChars="200"/>
        <w:rPr>
          <w:rFonts w:ascii="仿宋" w:hAnsi="仿宋" w:eastAsia="仿宋"/>
          <w:sz w:val="32"/>
          <w:szCs w:val="32"/>
        </w:rPr>
      </w:pPr>
      <w:r>
        <w:rPr>
          <w:rFonts w:hint="eastAsia" w:ascii="仿宋" w:hAnsi="仿宋" w:eastAsia="仿宋"/>
          <w:sz w:val="32"/>
          <w:szCs w:val="32"/>
        </w:rPr>
        <w:t>《深圳证券交易所公开募集基础设施证券投资基金业务办法（试行）》</w:t>
      </w:r>
    </w:p>
    <w:p>
      <w:pPr>
        <w:pageBreakBefore w:val="0"/>
        <w:widowControl w:val="0"/>
        <w:kinsoku/>
        <w:wordWrap/>
        <w:overflowPunct/>
        <w:topLinePunct w:val="0"/>
        <w:bidi w:val="0"/>
        <w:snapToGrid/>
        <w:spacing w:line="560" w:lineRule="exact"/>
        <w:ind w:left="0" w:firstLine="640" w:firstLineChars="200"/>
        <w:rPr>
          <w:rFonts w:ascii="仿宋" w:hAnsi="仿宋" w:eastAsia="仿宋"/>
          <w:sz w:val="32"/>
          <w:szCs w:val="32"/>
        </w:rPr>
      </w:pPr>
    </w:p>
    <w:p>
      <w:pPr>
        <w:pStyle w:val="3"/>
        <w:pageBreakBefore w:val="0"/>
        <w:widowControl w:val="0"/>
        <w:kinsoku/>
        <w:wordWrap/>
        <w:overflowPunct/>
        <w:topLinePunct w:val="0"/>
        <w:bidi w:val="0"/>
        <w:snapToGrid/>
        <w:spacing w:line="560" w:lineRule="exact"/>
        <w:ind w:left="0" w:firstLine="640" w:firstLineChars="200"/>
      </w:pPr>
      <w:bookmarkStart w:id="2" w:name="_Toc130547975"/>
      <w:r>
        <w:rPr>
          <w:rFonts w:hint="eastAsia"/>
        </w:rPr>
        <w:t>三、受理部门</w:t>
      </w:r>
      <w:bookmarkEnd w:id="2"/>
    </w:p>
    <w:p>
      <w:pPr>
        <w:pageBreakBefore w:val="0"/>
        <w:widowControl w:val="0"/>
        <w:kinsoku/>
        <w:wordWrap/>
        <w:overflowPunct/>
        <w:topLinePunct w:val="0"/>
        <w:bidi w:val="0"/>
        <w:snapToGrid/>
        <w:spacing w:line="560" w:lineRule="exact"/>
        <w:ind w:left="0" w:firstLine="640" w:firstLineChars="200"/>
        <w:rPr>
          <w:rFonts w:ascii="仿宋" w:hAnsi="仿宋" w:eastAsia="仿宋"/>
          <w:sz w:val="32"/>
          <w:szCs w:val="32"/>
        </w:rPr>
      </w:pPr>
      <w:r>
        <w:rPr>
          <w:rFonts w:hint="eastAsia" w:ascii="仿宋" w:hAnsi="仿宋" w:eastAsia="仿宋"/>
          <w:sz w:val="32"/>
          <w:szCs w:val="32"/>
        </w:rPr>
        <w:t>深圳证券交易所债券业务部、基金管理部</w:t>
      </w:r>
    </w:p>
    <w:p>
      <w:pPr>
        <w:pageBreakBefore w:val="0"/>
        <w:widowControl w:val="0"/>
        <w:kinsoku/>
        <w:wordWrap/>
        <w:overflowPunct/>
        <w:topLinePunct w:val="0"/>
        <w:bidi w:val="0"/>
        <w:snapToGrid/>
        <w:spacing w:line="560" w:lineRule="exact"/>
        <w:ind w:left="0" w:firstLine="640" w:firstLineChars="200"/>
        <w:rPr>
          <w:rFonts w:ascii="仿宋" w:hAnsi="仿宋" w:eastAsia="仿宋"/>
          <w:sz w:val="32"/>
          <w:szCs w:val="32"/>
        </w:rPr>
      </w:pPr>
    </w:p>
    <w:p>
      <w:pPr>
        <w:pStyle w:val="3"/>
        <w:pageBreakBefore w:val="0"/>
        <w:widowControl w:val="0"/>
        <w:kinsoku/>
        <w:wordWrap/>
        <w:overflowPunct/>
        <w:topLinePunct w:val="0"/>
        <w:bidi w:val="0"/>
        <w:snapToGrid/>
        <w:spacing w:line="560" w:lineRule="exact"/>
        <w:ind w:left="0" w:firstLine="640" w:firstLineChars="200"/>
      </w:pPr>
      <w:bookmarkStart w:id="3" w:name="_Toc130547976"/>
      <w:r>
        <w:rPr>
          <w:rFonts w:hint="eastAsia"/>
        </w:rPr>
        <w:t>四、办理部门</w:t>
      </w:r>
      <w:bookmarkEnd w:id="3"/>
    </w:p>
    <w:p>
      <w:pPr>
        <w:pageBreakBefore w:val="0"/>
        <w:widowControl w:val="0"/>
        <w:kinsoku/>
        <w:wordWrap/>
        <w:overflowPunct/>
        <w:topLinePunct w:val="0"/>
        <w:bidi w:val="0"/>
        <w:snapToGrid/>
        <w:spacing w:line="560" w:lineRule="exact"/>
        <w:ind w:left="0" w:firstLine="640" w:firstLineChars="200"/>
        <w:rPr>
          <w:rFonts w:ascii="仿宋" w:hAnsi="仿宋" w:eastAsia="仿宋"/>
          <w:sz w:val="32"/>
          <w:szCs w:val="32"/>
        </w:rPr>
      </w:pPr>
      <w:r>
        <w:rPr>
          <w:rFonts w:hint="eastAsia" w:ascii="仿宋" w:hAnsi="仿宋" w:eastAsia="仿宋"/>
          <w:sz w:val="32"/>
          <w:szCs w:val="32"/>
        </w:rPr>
        <w:t>深圳证券交易所债券业务部、基金管理部</w:t>
      </w:r>
    </w:p>
    <w:p>
      <w:pPr>
        <w:pageBreakBefore w:val="0"/>
        <w:widowControl w:val="0"/>
        <w:kinsoku/>
        <w:wordWrap/>
        <w:overflowPunct/>
        <w:topLinePunct w:val="0"/>
        <w:bidi w:val="0"/>
        <w:snapToGrid/>
        <w:spacing w:line="560" w:lineRule="exact"/>
        <w:ind w:left="0" w:firstLine="640" w:firstLineChars="200"/>
        <w:rPr>
          <w:rFonts w:ascii="仿宋" w:hAnsi="仿宋" w:eastAsia="仿宋"/>
          <w:sz w:val="32"/>
          <w:szCs w:val="32"/>
        </w:rPr>
      </w:pPr>
    </w:p>
    <w:p>
      <w:pPr>
        <w:pStyle w:val="3"/>
        <w:pageBreakBefore w:val="0"/>
        <w:widowControl w:val="0"/>
        <w:kinsoku/>
        <w:wordWrap/>
        <w:overflowPunct/>
        <w:topLinePunct w:val="0"/>
        <w:bidi w:val="0"/>
        <w:snapToGrid/>
        <w:spacing w:line="560" w:lineRule="exact"/>
        <w:ind w:left="0" w:firstLine="640" w:firstLineChars="200"/>
      </w:pPr>
      <w:bookmarkStart w:id="4" w:name="_Toc130547977"/>
      <w:r>
        <w:rPr>
          <w:rFonts w:hint="eastAsia"/>
        </w:rPr>
        <w:t>五、收费标准及依据</w:t>
      </w:r>
      <w:bookmarkEnd w:id="4"/>
    </w:p>
    <w:p>
      <w:pPr>
        <w:pageBreakBefore w:val="0"/>
        <w:widowControl w:val="0"/>
        <w:kinsoku/>
        <w:wordWrap/>
        <w:overflowPunct/>
        <w:topLinePunct w:val="0"/>
        <w:bidi w:val="0"/>
        <w:snapToGrid/>
        <w:spacing w:line="560" w:lineRule="exact"/>
        <w:ind w:left="0"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不收费</w:t>
      </w:r>
    </w:p>
    <w:p>
      <w:pPr>
        <w:pageBreakBefore w:val="0"/>
        <w:widowControl w:val="0"/>
        <w:kinsoku/>
        <w:wordWrap/>
        <w:overflowPunct/>
        <w:topLinePunct w:val="0"/>
        <w:bidi w:val="0"/>
        <w:snapToGrid/>
        <w:spacing w:line="560" w:lineRule="exact"/>
        <w:ind w:left="0" w:firstLine="640" w:firstLineChars="200"/>
        <w:rPr>
          <w:rFonts w:ascii="仿宋" w:hAnsi="仿宋" w:eastAsia="仿宋"/>
          <w:sz w:val="32"/>
          <w:szCs w:val="32"/>
        </w:rPr>
      </w:pPr>
    </w:p>
    <w:p>
      <w:pPr>
        <w:pStyle w:val="3"/>
        <w:pageBreakBefore w:val="0"/>
        <w:widowControl w:val="0"/>
        <w:kinsoku/>
        <w:wordWrap/>
        <w:overflowPunct/>
        <w:topLinePunct w:val="0"/>
        <w:bidi w:val="0"/>
        <w:snapToGrid/>
        <w:spacing w:line="560" w:lineRule="exact"/>
        <w:ind w:left="0" w:firstLine="640" w:firstLineChars="200"/>
      </w:pPr>
      <w:bookmarkStart w:id="5" w:name="_Toc130547978"/>
      <w:r>
        <w:rPr>
          <w:rFonts w:hint="eastAsia"/>
        </w:rPr>
        <w:t>六、办理时限</w:t>
      </w:r>
      <w:bookmarkEnd w:id="5"/>
    </w:p>
    <w:p>
      <w:pPr>
        <w:pageBreakBefore w:val="0"/>
        <w:widowControl w:val="0"/>
        <w:kinsoku/>
        <w:wordWrap/>
        <w:overflowPunct/>
        <w:topLinePunct w:val="0"/>
        <w:bidi w:val="0"/>
        <w:snapToGrid/>
        <w:spacing w:line="560" w:lineRule="exact"/>
        <w:ind w:left="0" w:firstLine="640" w:firstLineChars="200"/>
        <w:rPr>
          <w:rFonts w:ascii="仿宋" w:hAnsi="仿宋" w:eastAsia="仿宋"/>
          <w:sz w:val="32"/>
          <w:szCs w:val="32"/>
        </w:rPr>
      </w:pPr>
      <w:r>
        <w:rPr>
          <w:rFonts w:hint="eastAsia" w:ascii="仿宋" w:hAnsi="仿宋" w:eastAsia="仿宋"/>
          <w:sz w:val="32"/>
          <w:szCs w:val="32"/>
        </w:rPr>
        <w:t>本所接收申请文件后，在5个工作日内对申请文件是否齐备和符合形式要求进行形式审核。文件齐备的，予以受理；文件不齐备或不符合形式要求的，一次性告知补正。</w:t>
      </w:r>
    </w:p>
    <w:p>
      <w:pPr>
        <w:pageBreakBefore w:val="0"/>
        <w:widowControl w:val="0"/>
        <w:kinsoku/>
        <w:wordWrap/>
        <w:overflowPunct/>
        <w:topLinePunct w:val="0"/>
        <w:bidi w:val="0"/>
        <w:snapToGrid/>
        <w:spacing w:line="560" w:lineRule="exact"/>
        <w:ind w:left="0" w:firstLine="640" w:firstLineChars="200"/>
        <w:rPr>
          <w:rFonts w:ascii="仿宋" w:hAnsi="仿宋" w:eastAsia="仿宋"/>
          <w:sz w:val="32"/>
          <w:szCs w:val="32"/>
        </w:rPr>
      </w:pPr>
      <w:r>
        <w:rPr>
          <w:rFonts w:hint="eastAsia" w:ascii="仿宋" w:hAnsi="仿宋" w:eastAsia="仿宋"/>
          <w:sz w:val="32"/>
          <w:szCs w:val="32"/>
        </w:rPr>
        <w:t>本所自受理之日起30个工作日内出具首次书面反馈意见；无需出具反馈意见的，通知基金管理人、资产支持证券管理人。</w:t>
      </w:r>
    </w:p>
    <w:p>
      <w:pPr>
        <w:pageBreakBefore w:val="0"/>
        <w:widowControl w:val="0"/>
        <w:kinsoku/>
        <w:wordWrap/>
        <w:overflowPunct/>
        <w:topLinePunct w:val="0"/>
        <w:bidi w:val="0"/>
        <w:snapToGrid/>
        <w:spacing w:line="560" w:lineRule="exact"/>
        <w:ind w:left="0" w:firstLine="640" w:firstLineChars="200"/>
        <w:rPr>
          <w:rFonts w:ascii="仿宋" w:hAnsi="仿宋" w:eastAsia="仿宋"/>
          <w:sz w:val="32"/>
          <w:szCs w:val="32"/>
        </w:rPr>
      </w:pPr>
      <w:r>
        <w:rPr>
          <w:rFonts w:hint="eastAsia" w:ascii="仿宋" w:hAnsi="仿宋" w:eastAsia="仿宋"/>
          <w:sz w:val="32"/>
          <w:szCs w:val="32"/>
        </w:rPr>
        <w:t>基金管理人、资产支持证券管理人应当在收到书面反馈意见后30个工作日内予以书面回复。基金管理人、资产支持证券管理人不能在规定期限内予以回复的，应当向本所提出延期回复申请，并说明理由和拟回复时间，延期时间不得超过30个工作日。</w:t>
      </w:r>
    </w:p>
    <w:p>
      <w:pPr>
        <w:pageBreakBefore w:val="0"/>
        <w:widowControl w:val="0"/>
        <w:kinsoku/>
        <w:wordWrap/>
        <w:overflowPunct/>
        <w:topLinePunct w:val="0"/>
        <w:bidi w:val="0"/>
        <w:snapToGrid/>
        <w:spacing w:line="560" w:lineRule="exact"/>
        <w:ind w:left="0" w:firstLine="640" w:firstLineChars="200"/>
        <w:rPr>
          <w:rFonts w:ascii="仿宋" w:hAnsi="仿宋" w:eastAsia="仿宋"/>
          <w:sz w:val="32"/>
          <w:szCs w:val="32"/>
        </w:rPr>
      </w:pPr>
      <w:r>
        <w:rPr>
          <w:rFonts w:hint="eastAsia" w:ascii="仿宋" w:hAnsi="仿宋" w:eastAsia="仿宋"/>
          <w:sz w:val="32"/>
          <w:szCs w:val="32"/>
        </w:rPr>
        <w:t>本所对回复意见文件进行审核，不符合要求的，可再次出具反馈意见；不需要基金管理人和资产支持证券管理人进一步落实或反馈的，依程序进行评议。</w:t>
      </w:r>
    </w:p>
    <w:p>
      <w:pPr>
        <w:pageBreakBefore w:val="0"/>
        <w:widowControl w:val="0"/>
        <w:kinsoku/>
        <w:wordWrap/>
        <w:overflowPunct/>
        <w:topLinePunct w:val="0"/>
        <w:bidi w:val="0"/>
        <w:snapToGrid/>
        <w:spacing w:line="560" w:lineRule="exact"/>
        <w:ind w:left="0" w:firstLine="640" w:firstLineChars="200"/>
        <w:rPr>
          <w:rFonts w:ascii="仿宋" w:hAnsi="仿宋" w:eastAsia="仿宋" w:cs="方正仿宋简体"/>
          <w:sz w:val="32"/>
          <w:szCs w:val="32"/>
        </w:rPr>
      </w:pPr>
      <w:r>
        <w:rPr>
          <w:rFonts w:hint="eastAsia" w:ascii="仿宋" w:hAnsi="仿宋" w:eastAsia="仿宋"/>
          <w:sz w:val="32"/>
          <w:szCs w:val="32"/>
        </w:rPr>
        <w:t>本所根据评议结果出具基础设施资产支持证券挂牌和基础设施基金在本所上市的无异议函或者作出终止审核的决定，并通知基金管理人和资产支持证券管理人。</w:t>
      </w:r>
    </w:p>
    <w:p>
      <w:pPr>
        <w:pageBreakBefore w:val="0"/>
        <w:widowControl w:val="0"/>
        <w:kinsoku/>
        <w:wordWrap/>
        <w:overflowPunct/>
        <w:topLinePunct w:val="0"/>
        <w:bidi w:val="0"/>
        <w:snapToGrid/>
        <w:spacing w:line="560" w:lineRule="exact"/>
        <w:ind w:left="0" w:firstLine="640" w:firstLineChars="200"/>
        <w:rPr>
          <w:rFonts w:ascii="仿宋" w:hAnsi="仿宋" w:eastAsia="仿宋" w:cs="方正仿宋简体"/>
          <w:sz w:val="32"/>
          <w:szCs w:val="32"/>
        </w:rPr>
      </w:pPr>
    </w:p>
    <w:p>
      <w:pPr>
        <w:pStyle w:val="3"/>
        <w:pageBreakBefore w:val="0"/>
        <w:widowControl w:val="0"/>
        <w:kinsoku/>
        <w:wordWrap/>
        <w:overflowPunct/>
        <w:topLinePunct w:val="0"/>
        <w:bidi w:val="0"/>
        <w:snapToGrid/>
        <w:spacing w:line="560" w:lineRule="exact"/>
        <w:ind w:left="0" w:firstLine="640" w:firstLineChars="200"/>
      </w:pPr>
      <w:bookmarkStart w:id="6" w:name="_Toc130547979"/>
      <w:r>
        <w:rPr>
          <w:rFonts w:hint="eastAsia"/>
        </w:rPr>
        <w:t>七、办理情形和条件</w:t>
      </w:r>
      <w:bookmarkEnd w:id="6"/>
    </w:p>
    <w:p>
      <w:pPr>
        <w:pStyle w:val="4"/>
        <w:pageBreakBefore w:val="0"/>
        <w:widowControl w:val="0"/>
        <w:kinsoku/>
        <w:wordWrap/>
        <w:overflowPunct/>
        <w:topLinePunct w:val="0"/>
        <w:bidi w:val="0"/>
        <w:snapToGrid/>
        <w:spacing w:line="560" w:lineRule="exact"/>
        <w:ind w:left="0" w:firstLine="643" w:firstLineChars="200"/>
      </w:pPr>
      <w:bookmarkStart w:id="7" w:name="_Toc130547980"/>
      <w:r>
        <w:rPr>
          <w:rFonts w:hint="eastAsia"/>
        </w:rPr>
        <w:t>（一）办理情形</w:t>
      </w:r>
      <w:bookmarkEnd w:id="7"/>
    </w:p>
    <w:p>
      <w:pPr>
        <w:pageBreakBefore w:val="0"/>
        <w:widowControl w:val="0"/>
        <w:kinsoku/>
        <w:wordWrap/>
        <w:overflowPunct/>
        <w:topLinePunct w:val="0"/>
        <w:bidi w:val="0"/>
        <w:snapToGrid/>
        <w:spacing w:line="560" w:lineRule="exact"/>
        <w:ind w:left="0" w:firstLine="640" w:firstLineChars="200"/>
        <w:rPr>
          <w:rFonts w:ascii="仿宋" w:hAnsi="仿宋" w:eastAsia="仿宋"/>
          <w:sz w:val="32"/>
          <w:szCs w:val="32"/>
        </w:rPr>
      </w:pPr>
      <w:r>
        <w:rPr>
          <w:rFonts w:hint="eastAsia" w:ascii="仿宋" w:hAnsi="仿宋" w:eastAsia="仿宋"/>
          <w:sz w:val="32"/>
          <w:szCs w:val="32"/>
        </w:rPr>
        <w:t>基础设施基金份额在本所的发售、上市交易以及基础设施资产支持证券在本所的挂牌转让等业务活动，本所比照公开发行证券要求建立基础设施资产支持证券挂牌及基金上市审查制度。相关工作流程信息对外披露，接受社会监督。</w:t>
      </w:r>
    </w:p>
    <w:p>
      <w:pPr>
        <w:pStyle w:val="4"/>
        <w:pageBreakBefore w:val="0"/>
        <w:widowControl w:val="0"/>
        <w:numPr>
          <w:ilvl w:val="0"/>
          <w:numId w:val="1"/>
        </w:numPr>
        <w:kinsoku/>
        <w:wordWrap/>
        <w:overflowPunct/>
        <w:topLinePunct w:val="0"/>
        <w:bidi w:val="0"/>
        <w:snapToGrid/>
        <w:spacing w:line="560" w:lineRule="exact"/>
        <w:ind w:left="0" w:firstLine="643" w:firstLineChars="200"/>
      </w:pPr>
      <w:bookmarkStart w:id="8" w:name="_Toc130547981"/>
      <w:r>
        <w:rPr>
          <w:rFonts w:hint="eastAsia"/>
        </w:rPr>
        <w:t>办理条件</w:t>
      </w:r>
      <w:bookmarkEnd w:id="8"/>
    </w:p>
    <w:p>
      <w:pPr>
        <w:pageBreakBefore w:val="0"/>
        <w:widowControl w:val="0"/>
        <w:kinsoku/>
        <w:wordWrap/>
        <w:overflowPunct/>
        <w:topLinePunct w:val="0"/>
        <w:bidi w:val="0"/>
        <w:snapToGrid/>
        <w:spacing w:line="560" w:lineRule="exact"/>
        <w:ind w:left="0" w:firstLine="640" w:firstLineChars="200"/>
        <w:rPr>
          <w:rFonts w:ascii="仿宋" w:hAnsi="仿宋" w:eastAsia="仿宋"/>
          <w:sz w:val="32"/>
          <w:szCs w:val="32"/>
        </w:rPr>
      </w:pPr>
      <w:r>
        <w:rPr>
          <w:rFonts w:hint="eastAsia" w:ascii="仿宋" w:hAnsi="仿宋" w:eastAsia="仿宋"/>
          <w:sz w:val="32"/>
          <w:szCs w:val="32"/>
        </w:rPr>
        <w:t>基础设施基金申请在本所上市及基础设施资产支持证券申请在本所挂牌的，应当符合《公开募集基础设施证券投资基金指引（试行）》《证券公司及基金管理公司子公司资产证券化业务管理规定》和本所《深圳证券交易所公开募集基础设施证券投资基金业务办法（试行）》《深圳证券交易所公开募集基础设施证券投资基金业务指引第1号—审核关注事项（试行）(2023年修订)》等相关业务规则规定的</w:t>
      </w:r>
      <w:r>
        <w:rPr>
          <w:rFonts w:ascii="仿宋" w:hAnsi="仿宋" w:eastAsia="仿宋"/>
          <w:sz w:val="32"/>
          <w:szCs w:val="32"/>
        </w:rPr>
        <w:t>条件</w:t>
      </w:r>
      <w:r>
        <w:rPr>
          <w:rFonts w:hint="eastAsia" w:ascii="仿宋" w:hAnsi="仿宋" w:eastAsia="仿宋"/>
          <w:sz w:val="32"/>
          <w:szCs w:val="32"/>
        </w:rPr>
        <w:t>。</w:t>
      </w:r>
    </w:p>
    <w:p>
      <w:pPr>
        <w:pageBreakBefore w:val="0"/>
        <w:widowControl w:val="0"/>
        <w:kinsoku/>
        <w:wordWrap/>
        <w:overflowPunct/>
        <w:topLinePunct w:val="0"/>
        <w:bidi w:val="0"/>
        <w:snapToGrid/>
        <w:spacing w:line="560" w:lineRule="exact"/>
        <w:ind w:left="0" w:firstLine="640" w:firstLineChars="200"/>
        <w:rPr>
          <w:rFonts w:ascii="仿宋" w:hAnsi="仿宋" w:eastAsia="仿宋"/>
          <w:sz w:val="32"/>
          <w:szCs w:val="32"/>
        </w:rPr>
      </w:pPr>
    </w:p>
    <w:p>
      <w:pPr>
        <w:pStyle w:val="3"/>
        <w:pageBreakBefore w:val="0"/>
        <w:widowControl w:val="0"/>
        <w:kinsoku/>
        <w:wordWrap/>
        <w:overflowPunct/>
        <w:topLinePunct w:val="0"/>
        <w:bidi w:val="0"/>
        <w:snapToGrid/>
        <w:spacing w:line="560" w:lineRule="exact"/>
        <w:ind w:left="0" w:firstLine="640" w:firstLineChars="200"/>
      </w:pPr>
      <w:bookmarkStart w:id="9" w:name="_Toc130547982"/>
      <w:r>
        <w:rPr>
          <w:rFonts w:hint="eastAsia"/>
        </w:rPr>
        <w:t>八、不予受理情形</w:t>
      </w:r>
      <w:bookmarkEnd w:id="9"/>
    </w:p>
    <w:p>
      <w:pPr>
        <w:pageBreakBefore w:val="0"/>
        <w:widowControl w:val="0"/>
        <w:kinsoku/>
        <w:wordWrap/>
        <w:overflowPunct/>
        <w:topLinePunct w:val="0"/>
        <w:bidi w:val="0"/>
        <w:snapToGrid/>
        <w:spacing w:line="560" w:lineRule="exact"/>
        <w:ind w:left="0" w:firstLine="640" w:firstLineChars="200"/>
        <w:rPr>
          <w:rFonts w:ascii="仿宋" w:hAnsi="仿宋" w:eastAsia="仿宋"/>
          <w:sz w:val="32"/>
          <w:szCs w:val="32"/>
        </w:rPr>
      </w:pPr>
      <w:r>
        <w:rPr>
          <w:rFonts w:hint="eastAsia" w:ascii="仿宋" w:hAnsi="仿宋" w:eastAsia="仿宋"/>
          <w:sz w:val="32"/>
          <w:szCs w:val="32"/>
        </w:rPr>
        <w:t>本所接收申请文件后，在5个工作日内对申请文件是否齐备和符合形式要求进行形式审核。文件不齐备或不符合形式要求的，一次性告知补正。</w:t>
      </w:r>
    </w:p>
    <w:p>
      <w:pPr>
        <w:pageBreakBefore w:val="0"/>
        <w:widowControl w:val="0"/>
        <w:kinsoku/>
        <w:wordWrap/>
        <w:overflowPunct/>
        <w:topLinePunct w:val="0"/>
        <w:bidi w:val="0"/>
        <w:snapToGrid/>
        <w:spacing w:line="560" w:lineRule="exact"/>
        <w:ind w:left="0" w:firstLine="640" w:firstLineChars="200"/>
        <w:rPr>
          <w:rFonts w:ascii="仿宋" w:hAnsi="仿宋" w:eastAsia="仿宋"/>
          <w:sz w:val="32"/>
          <w:szCs w:val="32"/>
        </w:rPr>
      </w:pPr>
    </w:p>
    <w:p>
      <w:pPr>
        <w:pStyle w:val="3"/>
        <w:pageBreakBefore w:val="0"/>
        <w:widowControl w:val="0"/>
        <w:kinsoku/>
        <w:wordWrap/>
        <w:overflowPunct/>
        <w:topLinePunct w:val="0"/>
        <w:bidi w:val="0"/>
        <w:snapToGrid/>
        <w:spacing w:line="560" w:lineRule="exact"/>
        <w:ind w:left="0" w:firstLine="640" w:firstLineChars="200"/>
      </w:pPr>
      <w:bookmarkStart w:id="10" w:name="_Toc130547983"/>
      <w:r>
        <w:rPr>
          <w:rFonts w:hint="eastAsia"/>
        </w:rPr>
        <w:t>九、申请材料清单</w:t>
      </w:r>
      <w:bookmarkEnd w:id="10"/>
    </w:p>
    <w:p>
      <w:pPr>
        <w:pageBreakBefore w:val="0"/>
        <w:widowControl w:val="0"/>
        <w:kinsoku/>
        <w:wordWrap/>
        <w:overflowPunct/>
        <w:topLinePunct w:val="0"/>
        <w:bidi w:val="0"/>
        <w:snapToGrid/>
        <w:spacing w:line="560" w:lineRule="exact"/>
        <w:ind w:left="0" w:firstLine="643" w:firstLineChars="200"/>
        <w:rPr>
          <w:rFonts w:ascii="仿宋" w:hAnsi="仿宋" w:eastAsia="仿宋"/>
          <w:b/>
          <w:bCs/>
          <w:sz w:val="32"/>
          <w:szCs w:val="32"/>
        </w:rPr>
      </w:pPr>
      <w:r>
        <w:rPr>
          <w:rFonts w:hint="eastAsia" w:ascii="仿宋" w:hAnsi="仿宋" w:eastAsia="仿宋"/>
          <w:b/>
          <w:bCs/>
          <w:sz w:val="32"/>
          <w:szCs w:val="32"/>
        </w:rPr>
        <w:t>（一）基金上市申请材料</w:t>
      </w:r>
    </w:p>
    <w:p>
      <w:pPr>
        <w:pStyle w:val="29"/>
        <w:pageBreakBefore w:val="0"/>
        <w:widowControl w:val="0"/>
        <w:numPr>
          <w:ilvl w:val="0"/>
          <w:numId w:val="2"/>
        </w:numPr>
        <w:kinsoku/>
        <w:wordWrap/>
        <w:overflowPunct/>
        <w:topLinePunct w:val="0"/>
        <w:bidi w:val="0"/>
        <w:adjustRightInd/>
        <w:snapToGrid/>
        <w:spacing w:line="560" w:lineRule="exact"/>
        <w:ind w:left="0" w:firstLine="640" w:firstLineChars="200"/>
        <w:textAlignment w:val="auto"/>
        <w:rPr>
          <w:rFonts w:ascii="仿宋" w:hAnsi="仿宋" w:eastAsia="仿宋"/>
          <w:sz w:val="32"/>
          <w:szCs w:val="32"/>
        </w:rPr>
      </w:pPr>
      <w:r>
        <w:rPr>
          <w:rFonts w:hint="eastAsia" w:ascii="仿宋" w:hAnsi="仿宋" w:eastAsia="仿宋"/>
          <w:sz w:val="32"/>
          <w:szCs w:val="32"/>
        </w:rPr>
        <w:t>基金上市申请书</w:t>
      </w:r>
    </w:p>
    <w:p>
      <w:pPr>
        <w:pStyle w:val="29"/>
        <w:pageBreakBefore w:val="0"/>
        <w:widowControl w:val="0"/>
        <w:numPr>
          <w:ilvl w:val="0"/>
          <w:numId w:val="2"/>
        </w:numPr>
        <w:kinsoku/>
        <w:wordWrap/>
        <w:overflowPunct/>
        <w:topLinePunct w:val="0"/>
        <w:bidi w:val="0"/>
        <w:adjustRightInd/>
        <w:snapToGrid/>
        <w:spacing w:line="560" w:lineRule="exact"/>
        <w:ind w:left="0" w:firstLine="640" w:firstLineChars="200"/>
        <w:textAlignment w:val="auto"/>
        <w:rPr>
          <w:rFonts w:ascii="仿宋" w:hAnsi="仿宋" w:eastAsia="仿宋"/>
          <w:sz w:val="32"/>
          <w:szCs w:val="32"/>
        </w:rPr>
      </w:pPr>
      <w:r>
        <w:rPr>
          <w:rFonts w:hint="eastAsia" w:ascii="仿宋" w:hAnsi="仿宋" w:eastAsia="仿宋"/>
          <w:sz w:val="32"/>
          <w:szCs w:val="32"/>
        </w:rPr>
        <w:t>基金合同草案</w:t>
      </w:r>
    </w:p>
    <w:p>
      <w:pPr>
        <w:pStyle w:val="29"/>
        <w:pageBreakBefore w:val="0"/>
        <w:widowControl w:val="0"/>
        <w:numPr>
          <w:ilvl w:val="0"/>
          <w:numId w:val="2"/>
        </w:numPr>
        <w:kinsoku/>
        <w:wordWrap/>
        <w:overflowPunct/>
        <w:topLinePunct w:val="0"/>
        <w:bidi w:val="0"/>
        <w:adjustRightInd/>
        <w:snapToGrid/>
        <w:spacing w:line="560" w:lineRule="exact"/>
        <w:ind w:left="0" w:firstLine="640" w:firstLineChars="200"/>
        <w:textAlignment w:val="auto"/>
        <w:rPr>
          <w:rFonts w:ascii="仿宋" w:hAnsi="仿宋" w:eastAsia="仿宋"/>
          <w:sz w:val="32"/>
          <w:szCs w:val="32"/>
        </w:rPr>
      </w:pPr>
      <w:r>
        <w:rPr>
          <w:rFonts w:hint="eastAsia" w:ascii="仿宋" w:hAnsi="仿宋" w:eastAsia="仿宋"/>
          <w:sz w:val="32"/>
          <w:szCs w:val="32"/>
        </w:rPr>
        <w:t>基金托管协议草案</w:t>
      </w:r>
    </w:p>
    <w:p>
      <w:pPr>
        <w:pStyle w:val="29"/>
        <w:pageBreakBefore w:val="0"/>
        <w:widowControl w:val="0"/>
        <w:numPr>
          <w:ilvl w:val="0"/>
          <w:numId w:val="2"/>
        </w:numPr>
        <w:kinsoku/>
        <w:wordWrap/>
        <w:overflowPunct/>
        <w:topLinePunct w:val="0"/>
        <w:bidi w:val="0"/>
        <w:adjustRightInd/>
        <w:snapToGrid/>
        <w:spacing w:line="560" w:lineRule="exact"/>
        <w:ind w:left="0" w:firstLine="640" w:firstLineChars="200"/>
        <w:textAlignment w:val="auto"/>
        <w:rPr>
          <w:rFonts w:ascii="仿宋" w:hAnsi="仿宋" w:eastAsia="仿宋"/>
          <w:sz w:val="32"/>
          <w:szCs w:val="32"/>
        </w:rPr>
      </w:pPr>
      <w:r>
        <w:rPr>
          <w:rFonts w:hint="eastAsia" w:ascii="仿宋" w:hAnsi="仿宋" w:eastAsia="仿宋"/>
          <w:sz w:val="32"/>
          <w:szCs w:val="32"/>
        </w:rPr>
        <w:t>基金招募说明书草案</w:t>
      </w:r>
    </w:p>
    <w:p>
      <w:pPr>
        <w:pStyle w:val="29"/>
        <w:pageBreakBefore w:val="0"/>
        <w:widowControl w:val="0"/>
        <w:numPr>
          <w:ilvl w:val="0"/>
          <w:numId w:val="2"/>
        </w:numPr>
        <w:kinsoku/>
        <w:wordWrap/>
        <w:overflowPunct/>
        <w:topLinePunct w:val="0"/>
        <w:bidi w:val="0"/>
        <w:adjustRightInd/>
        <w:snapToGrid/>
        <w:spacing w:line="560" w:lineRule="exact"/>
        <w:ind w:left="0" w:firstLine="640" w:firstLineChars="200"/>
        <w:textAlignment w:val="auto"/>
        <w:rPr>
          <w:rFonts w:ascii="仿宋" w:hAnsi="仿宋" w:eastAsia="仿宋"/>
          <w:sz w:val="32"/>
          <w:szCs w:val="32"/>
        </w:rPr>
      </w:pPr>
      <w:r>
        <w:rPr>
          <w:rFonts w:hint="eastAsia" w:ascii="仿宋" w:hAnsi="仿宋" w:eastAsia="仿宋"/>
          <w:sz w:val="32"/>
          <w:szCs w:val="32"/>
        </w:rPr>
        <w:t>律师事务所对基金出具的法律意见书</w:t>
      </w:r>
    </w:p>
    <w:p>
      <w:pPr>
        <w:pStyle w:val="29"/>
        <w:pageBreakBefore w:val="0"/>
        <w:widowControl w:val="0"/>
        <w:numPr>
          <w:ilvl w:val="0"/>
          <w:numId w:val="2"/>
        </w:numPr>
        <w:kinsoku/>
        <w:wordWrap/>
        <w:overflowPunct/>
        <w:topLinePunct w:val="0"/>
        <w:bidi w:val="0"/>
        <w:adjustRightInd/>
        <w:snapToGrid/>
        <w:spacing w:line="560" w:lineRule="exact"/>
        <w:ind w:left="0" w:firstLine="640" w:firstLineChars="200"/>
        <w:textAlignment w:val="auto"/>
        <w:rPr>
          <w:rFonts w:ascii="仿宋" w:hAnsi="仿宋" w:eastAsia="仿宋"/>
          <w:sz w:val="32"/>
          <w:szCs w:val="32"/>
        </w:rPr>
      </w:pPr>
      <w:r>
        <w:rPr>
          <w:rFonts w:hint="eastAsia" w:ascii="仿宋" w:hAnsi="仿宋" w:eastAsia="仿宋"/>
          <w:sz w:val="32"/>
          <w:szCs w:val="32"/>
        </w:rPr>
        <w:t>基金管理人及资产支持证券管理人相关说明材料，包括但不限于：投资管理、项目运营、风险控制制度和流程，部门设置与人员配备，同类产品与业务管理情况等。</w:t>
      </w:r>
    </w:p>
    <w:p>
      <w:pPr>
        <w:pStyle w:val="29"/>
        <w:pageBreakBefore w:val="0"/>
        <w:widowControl w:val="0"/>
        <w:numPr>
          <w:ilvl w:val="0"/>
          <w:numId w:val="2"/>
        </w:numPr>
        <w:kinsoku/>
        <w:wordWrap/>
        <w:overflowPunct/>
        <w:topLinePunct w:val="0"/>
        <w:bidi w:val="0"/>
        <w:adjustRightInd/>
        <w:snapToGrid/>
        <w:spacing w:line="560" w:lineRule="exact"/>
        <w:ind w:left="0" w:firstLine="640" w:firstLineChars="200"/>
        <w:textAlignment w:val="auto"/>
        <w:rPr>
          <w:rFonts w:ascii="仿宋" w:hAnsi="仿宋" w:eastAsia="仿宋"/>
          <w:sz w:val="32"/>
          <w:szCs w:val="32"/>
        </w:rPr>
      </w:pPr>
      <w:r>
        <w:rPr>
          <w:rFonts w:hint="eastAsia" w:ascii="仿宋" w:hAnsi="仿宋" w:eastAsia="仿宋"/>
          <w:sz w:val="32"/>
          <w:szCs w:val="32"/>
        </w:rPr>
        <w:t>拟投资基础设施资产支持证券认购协议</w:t>
      </w:r>
    </w:p>
    <w:p>
      <w:pPr>
        <w:pStyle w:val="29"/>
        <w:pageBreakBefore w:val="0"/>
        <w:widowControl w:val="0"/>
        <w:numPr>
          <w:ilvl w:val="0"/>
          <w:numId w:val="2"/>
        </w:numPr>
        <w:kinsoku/>
        <w:wordWrap/>
        <w:overflowPunct/>
        <w:topLinePunct w:val="0"/>
        <w:bidi w:val="0"/>
        <w:adjustRightInd/>
        <w:snapToGrid/>
        <w:spacing w:line="560" w:lineRule="exact"/>
        <w:ind w:left="0" w:firstLine="640" w:firstLineChars="200"/>
        <w:textAlignment w:val="auto"/>
        <w:rPr>
          <w:rFonts w:ascii="仿宋" w:hAnsi="仿宋" w:eastAsia="仿宋"/>
          <w:sz w:val="32"/>
          <w:szCs w:val="32"/>
        </w:rPr>
      </w:pPr>
      <w:r>
        <w:rPr>
          <w:rFonts w:hint="eastAsia" w:ascii="仿宋" w:hAnsi="仿宋" w:eastAsia="仿宋"/>
          <w:sz w:val="32"/>
          <w:szCs w:val="32"/>
        </w:rPr>
        <w:t>基金管理人尽职调查报告</w:t>
      </w:r>
    </w:p>
    <w:p>
      <w:pPr>
        <w:pStyle w:val="29"/>
        <w:pageBreakBefore w:val="0"/>
        <w:widowControl w:val="0"/>
        <w:numPr>
          <w:ilvl w:val="0"/>
          <w:numId w:val="2"/>
        </w:numPr>
        <w:kinsoku/>
        <w:wordWrap/>
        <w:overflowPunct/>
        <w:topLinePunct w:val="0"/>
        <w:bidi w:val="0"/>
        <w:adjustRightInd/>
        <w:snapToGrid/>
        <w:spacing w:line="560" w:lineRule="exact"/>
        <w:ind w:left="0" w:firstLine="640" w:firstLineChars="200"/>
        <w:textAlignment w:val="auto"/>
        <w:rPr>
          <w:rFonts w:ascii="仿宋" w:hAnsi="仿宋" w:eastAsia="仿宋"/>
          <w:sz w:val="32"/>
          <w:szCs w:val="32"/>
        </w:rPr>
      </w:pPr>
      <w:r>
        <w:rPr>
          <w:rFonts w:hint="eastAsia" w:ascii="仿宋" w:hAnsi="仿宋" w:eastAsia="仿宋"/>
          <w:sz w:val="32"/>
          <w:szCs w:val="32"/>
        </w:rPr>
        <w:t>基金可供分配金额测算报告</w:t>
      </w:r>
    </w:p>
    <w:p>
      <w:pPr>
        <w:pStyle w:val="29"/>
        <w:pageBreakBefore w:val="0"/>
        <w:widowControl w:val="0"/>
        <w:numPr>
          <w:ilvl w:val="0"/>
          <w:numId w:val="2"/>
        </w:numPr>
        <w:kinsoku/>
        <w:wordWrap/>
        <w:overflowPunct/>
        <w:topLinePunct w:val="0"/>
        <w:bidi w:val="0"/>
        <w:adjustRightInd/>
        <w:snapToGrid/>
        <w:spacing w:line="560" w:lineRule="exact"/>
        <w:ind w:left="0" w:firstLine="640" w:firstLineChars="200"/>
        <w:textAlignment w:val="auto"/>
        <w:rPr>
          <w:rFonts w:ascii="仿宋" w:hAnsi="仿宋" w:eastAsia="仿宋"/>
          <w:sz w:val="32"/>
          <w:szCs w:val="32"/>
        </w:rPr>
      </w:pPr>
      <w:r>
        <w:rPr>
          <w:rFonts w:hint="eastAsia" w:ascii="仿宋" w:hAnsi="仿宋" w:eastAsia="仿宋"/>
          <w:sz w:val="32"/>
          <w:szCs w:val="32"/>
        </w:rPr>
        <w:t>基础设施项目运营管理服务协议</w:t>
      </w:r>
    </w:p>
    <w:p>
      <w:pPr>
        <w:pStyle w:val="29"/>
        <w:pageBreakBefore w:val="0"/>
        <w:widowControl w:val="0"/>
        <w:numPr>
          <w:ilvl w:val="0"/>
          <w:numId w:val="2"/>
        </w:numPr>
        <w:kinsoku/>
        <w:wordWrap/>
        <w:overflowPunct/>
        <w:topLinePunct w:val="0"/>
        <w:bidi w:val="0"/>
        <w:adjustRightInd/>
        <w:snapToGrid/>
        <w:spacing w:line="560" w:lineRule="exact"/>
        <w:ind w:left="0" w:firstLine="640" w:firstLineChars="200"/>
        <w:textAlignment w:val="auto"/>
        <w:rPr>
          <w:rFonts w:ascii="仿宋" w:hAnsi="仿宋" w:eastAsia="仿宋"/>
          <w:sz w:val="32"/>
          <w:szCs w:val="32"/>
        </w:rPr>
      </w:pPr>
      <w:r>
        <w:rPr>
          <w:rFonts w:hint="eastAsia" w:ascii="仿宋" w:hAnsi="仿宋" w:eastAsia="仿宋"/>
          <w:sz w:val="32"/>
          <w:szCs w:val="32"/>
        </w:rPr>
        <w:t>基金流动性服务协议或流动性服务相关安排的说明</w:t>
      </w:r>
    </w:p>
    <w:p>
      <w:pPr>
        <w:pStyle w:val="29"/>
        <w:pageBreakBefore w:val="0"/>
        <w:widowControl w:val="0"/>
        <w:numPr>
          <w:ilvl w:val="0"/>
          <w:numId w:val="2"/>
        </w:numPr>
        <w:kinsoku/>
        <w:wordWrap/>
        <w:overflowPunct/>
        <w:topLinePunct w:val="0"/>
        <w:bidi w:val="0"/>
        <w:adjustRightInd/>
        <w:snapToGrid/>
        <w:spacing w:line="560" w:lineRule="exact"/>
        <w:ind w:left="0" w:firstLine="640" w:firstLineChars="200"/>
        <w:textAlignment w:val="auto"/>
        <w:rPr>
          <w:rFonts w:ascii="仿宋" w:hAnsi="仿宋" w:eastAsia="仿宋"/>
          <w:sz w:val="32"/>
          <w:szCs w:val="32"/>
        </w:rPr>
      </w:pPr>
      <w:r>
        <w:rPr>
          <w:rFonts w:hint="eastAsia" w:ascii="仿宋" w:hAnsi="仿宋" w:eastAsia="仿宋"/>
          <w:sz w:val="32"/>
          <w:szCs w:val="32"/>
        </w:rPr>
        <w:t>基金管理人董事会决议或经董事会授权的管理层决议</w:t>
      </w:r>
    </w:p>
    <w:p>
      <w:pPr>
        <w:pStyle w:val="29"/>
        <w:pageBreakBefore w:val="0"/>
        <w:widowControl w:val="0"/>
        <w:numPr>
          <w:ilvl w:val="0"/>
          <w:numId w:val="2"/>
        </w:numPr>
        <w:kinsoku/>
        <w:wordWrap/>
        <w:overflowPunct/>
        <w:topLinePunct w:val="0"/>
        <w:bidi w:val="0"/>
        <w:adjustRightInd/>
        <w:snapToGrid/>
        <w:spacing w:line="560" w:lineRule="exact"/>
        <w:ind w:left="0" w:firstLine="640" w:firstLineChars="200"/>
        <w:textAlignment w:val="auto"/>
        <w:rPr>
          <w:rFonts w:ascii="仿宋" w:hAnsi="仿宋" w:eastAsia="仿宋"/>
          <w:sz w:val="32"/>
          <w:szCs w:val="32"/>
        </w:rPr>
      </w:pPr>
      <w:r>
        <w:rPr>
          <w:rFonts w:hint="eastAsia" w:ascii="仿宋" w:hAnsi="仿宋" w:eastAsia="仿宋"/>
          <w:sz w:val="32"/>
          <w:szCs w:val="32"/>
        </w:rPr>
        <w:t>基金管理人聘请财务顾问的协议文件（如有）</w:t>
      </w:r>
    </w:p>
    <w:p>
      <w:pPr>
        <w:pStyle w:val="29"/>
        <w:pageBreakBefore w:val="0"/>
        <w:widowControl w:val="0"/>
        <w:numPr>
          <w:ilvl w:val="0"/>
          <w:numId w:val="2"/>
        </w:numPr>
        <w:kinsoku/>
        <w:wordWrap/>
        <w:overflowPunct/>
        <w:topLinePunct w:val="0"/>
        <w:bidi w:val="0"/>
        <w:adjustRightInd/>
        <w:snapToGrid/>
        <w:spacing w:line="560" w:lineRule="exact"/>
        <w:ind w:left="0" w:firstLine="640" w:firstLineChars="200"/>
        <w:textAlignment w:val="auto"/>
        <w:rPr>
          <w:rFonts w:ascii="仿宋" w:hAnsi="仿宋" w:eastAsia="仿宋"/>
          <w:sz w:val="32"/>
          <w:szCs w:val="32"/>
        </w:rPr>
      </w:pPr>
      <w:r>
        <w:rPr>
          <w:rFonts w:hint="eastAsia" w:ascii="仿宋" w:hAnsi="仿宋" w:eastAsia="仿宋"/>
          <w:sz w:val="32"/>
          <w:szCs w:val="32"/>
        </w:rPr>
        <w:t>财务顾问报告（如有）</w:t>
      </w:r>
    </w:p>
    <w:p>
      <w:pPr>
        <w:pStyle w:val="29"/>
        <w:pageBreakBefore w:val="0"/>
        <w:widowControl w:val="0"/>
        <w:numPr>
          <w:ilvl w:val="0"/>
          <w:numId w:val="2"/>
        </w:numPr>
        <w:kinsoku/>
        <w:wordWrap/>
        <w:overflowPunct/>
        <w:topLinePunct w:val="0"/>
        <w:bidi w:val="0"/>
        <w:adjustRightInd/>
        <w:snapToGrid/>
        <w:spacing w:line="560" w:lineRule="exact"/>
        <w:ind w:left="0" w:firstLine="640" w:firstLineChars="200"/>
        <w:textAlignment w:val="auto"/>
        <w:rPr>
          <w:rFonts w:ascii="仿宋" w:hAnsi="仿宋" w:eastAsia="仿宋"/>
          <w:sz w:val="32"/>
          <w:szCs w:val="32"/>
        </w:rPr>
      </w:pPr>
      <w:r>
        <w:rPr>
          <w:rFonts w:hint="eastAsia" w:ascii="仿宋" w:hAnsi="仿宋" w:eastAsia="仿宋"/>
          <w:sz w:val="32"/>
          <w:szCs w:val="32"/>
        </w:rPr>
        <w:t>基金管理人与主要参与机构签订的其他协议文件</w:t>
      </w:r>
    </w:p>
    <w:p>
      <w:pPr>
        <w:pageBreakBefore w:val="0"/>
        <w:widowControl w:val="0"/>
        <w:kinsoku/>
        <w:wordWrap/>
        <w:overflowPunct/>
        <w:topLinePunct w:val="0"/>
        <w:bidi w:val="0"/>
        <w:snapToGrid/>
        <w:spacing w:line="560" w:lineRule="exact"/>
        <w:ind w:left="0" w:firstLine="643" w:firstLineChars="200"/>
        <w:rPr>
          <w:rFonts w:ascii="仿宋" w:hAnsi="仿宋" w:eastAsia="仿宋"/>
          <w:b/>
          <w:bCs/>
          <w:sz w:val="32"/>
          <w:szCs w:val="32"/>
        </w:rPr>
      </w:pPr>
      <w:r>
        <w:rPr>
          <w:rFonts w:hint="eastAsia" w:ascii="仿宋" w:hAnsi="仿宋" w:eastAsia="仿宋"/>
          <w:b/>
          <w:bCs/>
          <w:sz w:val="32"/>
          <w:szCs w:val="32"/>
        </w:rPr>
        <w:t>（二）资产支持证券挂牌条件确认申请</w:t>
      </w:r>
    </w:p>
    <w:p>
      <w:pPr>
        <w:pStyle w:val="29"/>
        <w:pageBreakBefore w:val="0"/>
        <w:widowControl w:val="0"/>
        <w:numPr>
          <w:ilvl w:val="0"/>
          <w:numId w:val="3"/>
        </w:numPr>
        <w:kinsoku/>
        <w:wordWrap/>
        <w:overflowPunct/>
        <w:topLinePunct w:val="0"/>
        <w:bidi w:val="0"/>
        <w:adjustRightInd/>
        <w:snapToGrid/>
        <w:spacing w:line="560" w:lineRule="exact"/>
        <w:ind w:left="0" w:firstLine="640" w:firstLineChars="200"/>
        <w:textAlignment w:val="auto"/>
        <w:rPr>
          <w:rFonts w:ascii="仿宋" w:hAnsi="仿宋" w:eastAsia="仿宋"/>
          <w:sz w:val="32"/>
          <w:szCs w:val="32"/>
        </w:rPr>
      </w:pPr>
      <w:r>
        <w:rPr>
          <w:rFonts w:hint="eastAsia" w:ascii="仿宋" w:hAnsi="仿宋" w:eastAsia="仿宋"/>
          <w:sz w:val="32"/>
          <w:szCs w:val="32"/>
        </w:rPr>
        <w:t>关于确认“XX资产支持专项计划”是否符合深圳证券交易所挂牌条件的申请</w:t>
      </w:r>
    </w:p>
    <w:p>
      <w:pPr>
        <w:pStyle w:val="29"/>
        <w:pageBreakBefore w:val="0"/>
        <w:widowControl w:val="0"/>
        <w:numPr>
          <w:ilvl w:val="0"/>
          <w:numId w:val="3"/>
        </w:numPr>
        <w:kinsoku/>
        <w:wordWrap/>
        <w:overflowPunct/>
        <w:topLinePunct w:val="0"/>
        <w:bidi w:val="0"/>
        <w:adjustRightInd/>
        <w:snapToGrid/>
        <w:spacing w:line="560" w:lineRule="exact"/>
        <w:ind w:left="0" w:firstLine="640" w:firstLineChars="200"/>
        <w:textAlignment w:val="auto"/>
        <w:rPr>
          <w:rFonts w:ascii="仿宋" w:hAnsi="仿宋" w:eastAsia="仿宋"/>
          <w:sz w:val="32"/>
          <w:szCs w:val="32"/>
        </w:rPr>
      </w:pPr>
      <w:r>
        <w:rPr>
          <w:rFonts w:hint="eastAsia" w:ascii="仿宋" w:hAnsi="仿宋" w:eastAsia="仿宋"/>
          <w:sz w:val="32"/>
          <w:szCs w:val="32"/>
        </w:rPr>
        <w:t>资产支持证券管理人合规审查意见</w:t>
      </w:r>
    </w:p>
    <w:p>
      <w:pPr>
        <w:pStyle w:val="29"/>
        <w:pageBreakBefore w:val="0"/>
        <w:widowControl w:val="0"/>
        <w:numPr>
          <w:ilvl w:val="0"/>
          <w:numId w:val="3"/>
        </w:numPr>
        <w:kinsoku/>
        <w:wordWrap/>
        <w:overflowPunct/>
        <w:topLinePunct w:val="0"/>
        <w:bidi w:val="0"/>
        <w:adjustRightInd/>
        <w:snapToGrid/>
        <w:spacing w:line="560" w:lineRule="exact"/>
        <w:ind w:left="0" w:firstLine="640" w:firstLineChars="200"/>
        <w:textAlignment w:val="auto"/>
        <w:rPr>
          <w:rFonts w:ascii="仿宋" w:hAnsi="仿宋" w:eastAsia="仿宋"/>
          <w:sz w:val="32"/>
          <w:szCs w:val="32"/>
        </w:rPr>
      </w:pPr>
      <w:r>
        <w:rPr>
          <w:rFonts w:hint="eastAsia" w:ascii="仿宋" w:hAnsi="仿宋" w:eastAsia="仿宋"/>
          <w:sz w:val="32"/>
          <w:szCs w:val="32"/>
        </w:rPr>
        <w:t>专项计划说明书</w:t>
      </w:r>
    </w:p>
    <w:p>
      <w:pPr>
        <w:pStyle w:val="29"/>
        <w:pageBreakBefore w:val="0"/>
        <w:widowControl w:val="0"/>
        <w:numPr>
          <w:ilvl w:val="0"/>
          <w:numId w:val="3"/>
        </w:numPr>
        <w:kinsoku/>
        <w:wordWrap/>
        <w:overflowPunct/>
        <w:topLinePunct w:val="0"/>
        <w:bidi w:val="0"/>
        <w:adjustRightInd/>
        <w:snapToGrid/>
        <w:spacing w:line="560" w:lineRule="exact"/>
        <w:ind w:left="0" w:firstLine="640" w:firstLineChars="200"/>
        <w:textAlignment w:val="auto"/>
        <w:rPr>
          <w:rFonts w:ascii="仿宋" w:hAnsi="仿宋" w:eastAsia="仿宋"/>
          <w:sz w:val="32"/>
          <w:szCs w:val="32"/>
        </w:rPr>
      </w:pPr>
      <w:r>
        <w:rPr>
          <w:rFonts w:hint="eastAsia" w:ascii="仿宋" w:hAnsi="仿宋" w:eastAsia="仿宋"/>
          <w:sz w:val="32"/>
          <w:szCs w:val="32"/>
        </w:rPr>
        <w:t>专项计划标准条款（如有）</w:t>
      </w:r>
    </w:p>
    <w:p>
      <w:pPr>
        <w:pStyle w:val="29"/>
        <w:pageBreakBefore w:val="0"/>
        <w:widowControl w:val="0"/>
        <w:numPr>
          <w:ilvl w:val="0"/>
          <w:numId w:val="3"/>
        </w:numPr>
        <w:kinsoku/>
        <w:wordWrap/>
        <w:overflowPunct/>
        <w:topLinePunct w:val="0"/>
        <w:bidi w:val="0"/>
        <w:adjustRightInd/>
        <w:snapToGrid/>
        <w:spacing w:line="560" w:lineRule="exact"/>
        <w:ind w:left="0" w:firstLine="640" w:firstLineChars="200"/>
        <w:textAlignment w:val="auto"/>
        <w:rPr>
          <w:rFonts w:ascii="仿宋" w:hAnsi="仿宋" w:eastAsia="仿宋"/>
          <w:sz w:val="32"/>
          <w:szCs w:val="32"/>
        </w:rPr>
      </w:pPr>
      <w:r>
        <w:rPr>
          <w:rFonts w:hint="eastAsia" w:ascii="仿宋" w:hAnsi="仿宋" w:eastAsia="仿宋"/>
          <w:sz w:val="32"/>
          <w:szCs w:val="32"/>
        </w:rPr>
        <w:t>专项计划基础资产买卖协议</w:t>
      </w:r>
    </w:p>
    <w:p>
      <w:pPr>
        <w:pStyle w:val="29"/>
        <w:pageBreakBefore w:val="0"/>
        <w:widowControl w:val="0"/>
        <w:numPr>
          <w:ilvl w:val="0"/>
          <w:numId w:val="3"/>
        </w:numPr>
        <w:kinsoku/>
        <w:wordWrap/>
        <w:overflowPunct/>
        <w:topLinePunct w:val="0"/>
        <w:bidi w:val="0"/>
        <w:adjustRightInd/>
        <w:snapToGrid/>
        <w:spacing w:line="560" w:lineRule="exact"/>
        <w:ind w:left="0" w:firstLine="640" w:firstLineChars="200"/>
        <w:textAlignment w:val="auto"/>
        <w:rPr>
          <w:rFonts w:ascii="仿宋" w:hAnsi="仿宋" w:eastAsia="仿宋"/>
          <w:sz w:val="32"/>
          <w:szCs w:val="32"/>
        </w:rPr>
      </w:pPr>
      <w:r>
        <w:rPr>
          <w:rFonts w:hint="eastAsia" w:ascii="仿宋" w:hAnsi="仿宋" w:eastAsia="仿宋"/>
          <w:sz w:val="32"/>
          <w:szCs w:val="32"/>
        </w:rPr>
        <w:t>专项计划托管协议</w:t>
      </w:r>
    </w:p>
    <w:p>
      <w:pPr>
        <w:pStyle w:val="29"/>
        <w:pageBreakBefore w:val="0"/>
        <w:widowControl w:val="0"/>
        <w:numPr>
          <w:ilvl w:val="0"/>
          <w:numId w:val="3"/>
        </w:numPr>
        <w:kinsoku/>
        <w:wordWrap/>
        <w:overflowPunct/>
        <w:topLinePunct w:val="0"/>
        <w:bidi w:val="0"/>
        <w:adjustRightInd/>
        <w:snapToGrid/>
        <w:spacing w:line="560" w:lineRule="exact"/>
        <w:ind w:left="0" w:firstLine="640" w:firstLineChars="200"/>
        <w:textAlignment w:val="auto"/>
        <w:rPr>
          <w:rFonts w:ascii="仿宋" w:hAnsi="仿宋" w:eastAsia="仿宋"/>
          <w:sz w:val="32"/>
          <w:szCs w:val="32"/>
        </w:rPr>
      </w:pPr>
      <w:r>
        <w:rPr>
          <w:rFonts w:hint="eastAsia" w:ascii="仿宋" w:hAnsi="仿宋" w:eastAsia="仿宋"/>
          <w:sz w:val="32"/>
          <w:szCs w:val="32"/>
        </w:rPr>
        <w:t>专项计划监管协议（如有）</w:t>
      </w:r>
    </w:p>
    <w:p>
      <w:pPr>
        <w:pStyle w:val="29"/>
        <w:pageBreakBefore w:val="0"/>
        <w:widowControl w:val="0"/>
        <w:numPr>
          <w:ilvl w:val="0"/>
          <w:numId w:val="3"/>
        </w:numPr>
        <w:kinsoku/>
        <w:wordWrap/>
        <w:overflowPunct/>
        <w:topLinePunct w:val="0"/>
        <w:bidi w:val="0"/>
        <w:adjustRightInd/>
        <w:snapToGrid/>
        <w:spacing w:line="560" w:lineRule="exact"/>
        <w:ind w:left="0" w:firstLine="640" w:firstLineChars="200"/>
        <w:textAlignment w:val="auto"/>
        <w:rPr>
          <w:rFonts w:ascii="仿宋" w:hAnsi="仿宋" w:eastAsia="仿宋"/>
          <w:sz w:val="32"/>
          <w:szCs w:val="32"/>
        </w:rPr>
      </w:pPr>
      <w:r>
        <w:rPr>
          <w:rFonts w:hint="eastAsia" w:ascii="仿宋" w:hAnsi="仿宋" w:eastAsia="仿宋"/>
          <w:sz w:val="32"/>
          <w:szCs w:val="32"/>
        </w:rPr>
        <w:t>专项计划资产服务协议（如有）</w:t>
      </w:r>
    </w:p>
    <w:p>
      <w:pPr>
        <w:pStyle w:val="29"/>
        <w:pageBreakBefore w:val="0"/>
        <w:widowControl w:val="0"/>
        <w:numPr>
          <w:ilvl w:val="0"/>
          <w:numId w:val="3"/>
        </w:numPr>
        <w:kinsoku/>
        <w:wordWrap/>
        <w:overflowPunct/>
        <w:topLinePunct w:val="0"/>
        <w:bidi w:val="0"/>
        <w:adjustRightInd/>
        <w:snapToGrid/>
        <w:spacing w:line="560" w:lineRule="exact"/>
        <w:ind w:left="0" w:firstLine="640" w:firstLineChars="200"/>
        <w:textAlignment w:val="auto"/>
        <w:rPr>
          <w:rFonts w:ascii="仿宋" w:hAnsi="仿宋" w:eastAsia="仿宋"/>
          <w:sz w:val="32"/>
          <w:szCs w:val="32"/>
        </w:rPr>
      </w:pPr>
      <w:r>
        <w:rPr>
          <w:rFonts w:hint="eastAsia" w:ascii="仿宋" w:hAnsi="仿宋" w:eastAsia="仿宋"/>
          <w:sz w:val="32"/>
          <w:szCs w:val="32"/>
        </w:rPr>
        <w:t>专项计划其他合同文本</w:t>
      </w:r>
    </w:p>
    <w:p>
      <w:pPr>
        <w:pStyle w:val="29"/>
        <w:pageBreakBefore w:val="0"/>
        <w:widowControl w:val="0"/>
        <w:numPr>
          <w:ilvl w:val="0"/>
          <w:numId w:val="3"/>
        </w:numPr>
        <w:kinsoku/>
        <w:wordWrap/>
        <w:overflowPunct/>
        <w:topLinePunct w:val="0"/>
        <w:bidi w:val="0"/>
        <w:adjustRightInd/>
        <w:snapToGrid/>
        <w:spacing w:line="560" w:lineRule="exact"/>
        <w:ind w:left="0" w:firstLine="640" w:firstLineChars="200"/>
        <w:textAlignment w:val="auto"/>
        <w:rPr>
          <w:rFonts w:ascii="仿宋" w:hAnsi="仿宋" w:eastAsia="仿宋"/>
          <w:sz w:val="32"/>
          <w:szCs w:val="32"/>
        </w:rPr>
      </w:pPr>
      <w:r>
        <w:rPr>
          <w:rFonts w:hint="eastAsia" w:ascii="仿宋" w:hAnsi="仿宋" w:eastAsia="仿宋"/>
          <w:sz w:val="32"/>
          <w:szCs w:val="32"/>
        </w:rPr>
        <w:t>律师事务所对专项计划出具的法律意见书</w:t>
      </w:r>
    </w:p>
    <w:p>
      <w:pPr>
        <w:pStyle w:val="29"/>
        <w:pageBreakBefore w:val="0"/>
        <w:widowControl w:val="0"/>
        <w:numPr>
          <w:ilvl w:val="0"/>
          <w:numId w:val="3"/>
        </w:numPr>
        <w:kinsoku/>
        <w:wordWrap/>
        <w:overflowPunct/>
        <w:topLinePunct w:val="0"/>
        <w:bidi w:val="0"/>
        <w:adjustRightInd/>
        <w:snapToGrid/>
        <w:spacing w:line="560" w:lineRule="exact"/>
        <w:ind w:left="0" w:firstLine="640" w:firstLineChars="200"/>
        <w:textAlignment w:val="auto"/>
        <w:rPr>
          <w:rFonts w:ascii="仿宋" w:hAnsi="仿宋" w:eastAsia="仿宋"/>
          <w:sz w:val="32"/>
          <w:szCs w:val="32"/>
        </w:rPr>
      </w:pPr>
      <w:r>
        <w:rPr>
          <w:rFonts w:hint="eastAsia" w:ascii="仿宋" w:hAnsi="仿宋" w:eastAsia="仿宋"/>
          <w:sz w:val="32"/>
          <w:szCs w:val="32"/>
        </w:rPr>
        <w:t>基础设施项目最近3年及一期的财务报告及审计报告，如无法提供，应当提供最近1年及一期的财务报告及审计报告，相关材料仍无法提供的，应当至少提供最近1年及一期经审计的备考财务报表</w:t>
      </w:r>
    </w:p>
    <w:p>
      <w:pPr>
        <w:pStyle w:val="29"/>
        <w:pageBreakBefore w:val="0"/>
        <w:widowControl w:val="0"/>
        <w:numPr>
          <w:ilvl w:val="0"/>
          <w:numId w:val="3"/>
        </w:numPr>
        <w:kinsoku/>
        <w:wordWrap/>
        <w:overflowPunct/>
        <w:topLinePunct w:val="0"/>
        <w:bidi w:val="0"/>
        <w:adjustRightInd/>
        <w:snapToGrid/>
        <w:spacing w:line="560" w:lineRule="exact"/>
        <w:ind w:left="0" w:firstLine="640" w:firstLineChars="200"/>
        <w:textAlignment w:val="auto"/>
        <w:rPr>
          <w:rFonts w:ascii="仿宋" w:hAnsi="仿宋" w:eastAsia="仿宋"/>
          <w:sz w:val="32"/>
          <w:szCs w:val="32"/>
        </w:rPr>
      </w:pPr>
      <w:r>
        <w:rPr>
          <w:rFonts w:hint="eastAsia" w:ascii="仿宋" w:hAnsi="仿宋" w:eastAsia="仿宋"/>
          <w:sz w:val="32"/>
          <w:szCs w:val="32"/>
        </w:rPr>
        <w:t>基础设施项目评估报告</w:t>
      </w:r>
    </w:p>
    <w:p>
      <w:pPr>
        <w:pStyle w:val="29"/>
        <w:pageBreakBefore w:val="0"/>
        <w:widowControl w:val="0"/>
        <w:numPr>
          <w:ilvl w:val="0"/>
          <w:numId w:val="3"/>
        </w:numPr>
        <w:kinsoku/>
        <w:wordWrap/>
        <w:overflowPunct/>
        <w:topLinePunct w:val="0"/>
        <w:bidi w:val="0"/>
        <w:adjustRightInd/>
        <w:snapToGrid/>
        <w:spacing w:line="560" w:lineRule="exact"/>
        <w:ind w:left="0" w:firstLine="640" w:firstLineChars="200"/>
        <w:textAlignment w:val="auto"/>
        <w:rPr>
          <w:rFonts w:ascii="仿宋" w:hAnsi="仿宋" w:eastAsia="仿宋"/>
          <w:sz w:val="32"/>
          <w:szCs w:val="32"/>
        </w:rPr>
      </w:pPr>
      <w:r>
        <w:rPr>
          <w:rFonts w:hint="eastAsia" w:ascii="仿宋" w:hAnsi="仿宋" w:eastAsia="仿宋"/>
          <w:sz w:val="32"/>
          <w:szCs w:val="32"/>
        </w:rPr>
        <w:t>专项计划尽职调查报告</w:t>
      </w:r>
    </w:p>
    <w:p>
      <w:pPr>
        <w:pStyle w:val="29"/>
        <w:pageBreakBefore w:val="0"/>
        <w:widowControl w:val="0"/>
        <w:numPr>
          <w:ilvl w:val="0"/>
          <w:numId w:val="3"/>
        </w:numPr>
        <w:kinsoku/>
        <w:wordWrap/>
        <w:overflowPunct/>
        <w:topLinePunct w:val="0"/>
        <w:bidi w:val="0"/>
        <w:adjustRightInd/>
        <w:snapToGrid/>
        <w:spacing w:line="560" w:lineRule="exact"/>
        <w:ind w:left="0" w:firstLine="640" w:firstLineChars="200"/>
        <w:textAlignment w:val="auto"/>
        <w:rPr>
          <w:rFonts w:ascii="仿宋" w:hAnsi="仿宋" w:eastAsia="仿宋"/>
          <w:sz w:val="32"/>
          <w:szCs w:val="32"/>
        </w:rPr>
      </w:pPr>
      <w:r>
        <w:rPr>
          <w:rFonts w:hint="eastAsia" w:ascii="仿宋" w:hAnsi="仿宋" w:eastAsia="仿宋"/>
          <w:sz w:val="32"/>
          <w:szCs w:val="32"/>
        </w:rPr>
        <w:t>关于专项计划相关会计处理意见的说明（如有）</w:t>
      </w:r>
    </w:p>
    <w:p>
      <w:pPr>
        <w:pStyle w:val="29"/>
        <w:pageBreakBefore w:val="0"/>
        <w:widowControl w:val="0"/>
        <w:numPr>
          <w:ilvl w:val="0"/>
          <w:numId w:val="3"/>
        </w:numPr>
        <w:kinsoku/>
        <w:wordWrap/>
        <w:overflowPunct/>
        <w:topLinePunct w:val="0"/>
        <w:bidi w:val="0"/>
        <w:adjustRightInd/>
        <w:snapToGrid/>
        <w:spacing w:line="560" w:lineRule="exact"/>
        <w:ind w:left="0" w:firstLine="640" w:firstLineChars="200"/>
        <w:textAlignment w:val="auto"/>
        <w:rPr>
          <w:rFonts w:ascii="仿宋" w:hAnsi="仿宋" w:eastAsia="仿宋"/>
          <w:sz w:val="32"/>
          <w:szCs w:val="32"/>
        </w:rPr>
      </w:pPr>
      <w:r>
        <w:rPr>
          <w:rFonts w:hint="eastAsia" w:ascii="仿宋" w:hAnsi="仿宋" w:eastAsia="仿宋"/>
          <w:sz w:val="32"/>
          <w:szCs w:val="32"/>
        </w:rPr>
        <w:t>基础资产未被列入负面清单的专项说明</w:t>
      </w:r>
    </w:p>
    <w:p>
      <w:pPr>
        <w:pStyle w:val="29"/>
        <w:pageBreakBefore w:val="0"/>
        <w:widowControl w:val="0"/>
        <w:numPr>
          <w:ilvl w:val="0"/>
          <w:numId w:val="1"/>
        </w:numPr>
        <w:kinsoku/>
        <w:wordWrap/>
        <w:overflowPunct/>
        <w:topLinePunct w:val="0"/>
        <w:bidi w:val="0"/>
        <w:snapToGrid/>
        <w:spacing w:line="560" w:lineRule="exact"/>
        <w:ind w:left="0" w:firstLine="643" w:firstLineChars="200"/>
        <w:rPr>
          <w:rFonts w:ascii="仿宋" w:hAnsi="仿宋" w:eastAsia="仿宋"/>
          <w:b/>
          <w:bCs/>
          <w:sz w:val="32"/>
          <w:szCs w:val="32"/>
        </w:rPr>
      </w:pPr>
      <w:r>
        <w:rPr>
          <w:rFonts w:hint="eastAsia" w:ascii="仿宋" w:hAnsi="仿宋" w:eastAsia="仿宋" w:cs="宋体"/>
          <w:b/>
          <w:bCs/>
          <w:sz w:val="32"/>
          <w:szCs w:val="32"/>
        </w:rPr>
        <w:t>其他</w:t>
      </w:r>
    </w:p>
    <w:p>
      <w:pPr>
        <w:pStyle w:val="29"/>
        <w:pageBreakBefore w:val="0"/>
        <w:widowControl w:val="0"/>
        <w:numPr>
          <w:ilvl w:val="0"/>
          <w:numId w:val="4"/>
        </w:numPr>
        <w:kinsoku/>
        <w:wordWrap/>
        <w:overflowPunct/>
        <w:topLinePunct w:val="0"/>
        <w:bidi w:val="0"/>
        <w:adjustRightInd/>
        <w:snapToGrid/>
        <w:spacing w:line="560" w:lineRule="exact"/>
        <w:ind w:left="0" w:firstLine="640" w:firstLineChars="200"/>
        <w:textAlignment w:val="auto"/>
        <w:rPr>
          <w:rFonts w:ascii="仿宋" w:hAnsi="仿宋" w:eastAsia="仿宋"/>
          <w:sz w:val="32"/>
          <w:szCs w:val="32"/>
        </w:rPr>
      </w:pPr>
      <w:r>
        <w:rPr>
          <w:rFonts w:hint="eastAsia" w:ascii="仿宋" w:hAnsi="仿宋" w:eastAsia="仿宋"/>
          <w:sz w:val="32"/>
          <w:szCs w:val="32"/>
        </w:rPr>
        <w:t>法律法规或原始权益人公司章程规定的有权机构作出的关于开展基础设施REITs融资相关事宜的决议</w:t>
      </w:r>
    </w:p>
    <w:p>
      <w:pPr>
        <w:pStyle w:val="29"/>
        <w:pageBreakBefore w:val="0"/>
        <w:widowControl w:val="0"/>
        <w:numPr>
          <w:ilvl w:val="0"/>
          <w:numId w:val="4"/>
        </w:numPr>
        <w:kinsoku/>
        <w:wordWrap/>
        <w:overflowPunct/>
        <w:topLinePunct w:val="0"/>
        <w:bidi w:val="0"/>
        <w:adjustRightInd/>
        <w:snapToGrid/>
        <w:spacing w:line="560" w:lineRule="exact"/>
        <w:ind w:left="0" w:firstLine="640" w:firstLineChars="200"/>
        <w:textAlignment w:val="auto"/>
        <w:rPr>
          <w:rFonts w:ascii="仿宋" w:hAnsi="仿宋" w:eastAsia="仿宋"/>
          <w:sz w:val="32"/>
          <w:szCs w:val="32"/>
        </w:rPr>
      </w:pPr>
      <w:r>
        <w:rPr>
          <w:rFonts w:hint="eastAsia" w:ascii="仿宋" w:hAnsi="仿宋" w:eastAsia="仿宋"/>
          <w:sz w:val="32"/>
          <w:szCs w:val="32"/>
        </w:rPr>
        <w:t>原始权益人及其控股股东、实际控制人对相关事项的承诺</w:t>
      </w:r>
    </w:p>
    <w:p>
      <w:pPr>
        <w:pStyle w:val="29"/>
        <w:pageBreakBefore w:val="0"/>
        <w:widowControl w:val="0"/>
        <w:numPr>
          <w:ilvl w:val="0"/>
          <w:numId w:val="4"/>
        </w:numPr>
        <w:kinsoku/>
        <w:wordWrap/>
        <w:overflowPunct/>
        <w:topLinePunct w:val="0"/>
        <w:bidi w:val="0"/>
        <w:adjustRightInd/>
        <w:snapToGrid/>
        <w:spacing w:line="560" w:lineRule="exact"/>
        <w:ind w:left="0" w:firstLine="640" w:firstLineChars="200"/>
        <w:textAlignment w:val="auto"/>
        <w:rPr>
          <w:rFonts w:ascii="仿宋" w:hAnsi="仿宋" w:eastAsia="仿宋"/>
          <w:sz w:val="32"/>
          <w:szCs w:val="32"/>
        </w:rPr>
      </w:pPr>
      <w:r>
        <w:rPr>
          <w:rFonts w:hint="eastAsia" w:ascii="仿宋" w:hAnsi="仿宋" w:eastAsia="仿宋"/>
          <w:sz w:val="32"/>
          <w:szCs w:val="32"/>
        </w:rPr>
        <w:t>原始权益人最近三年及一期的财务报告及审计报告</w:t>
      </w:r>
    </w:p>
    <w:p>
      <w:pPr>
        <w:pStyle w:val="29"/>
        <w:pageBreakBefore w:val="0"/>
        <w:widowControl w:val="0"/>
        <w:numPr>
          <w:ilvl w:val="0"/>
          <w:numId w:val="4"/>
        </w:numPr>
        <w:kinsoku/>
        <w:wordWrap/>
        <w:overflowPunct/>
        <w:topLinePunct w:val="0"/>
        <w:bidi w:val="0"/>
        <w:adjustRightInd/>
        <w:snapToGrid/>
        <w:spacing w:line="560" w:lineRule="exact"/>
        <w:ind w:left="0" w:firstLine="640" w:firstLineChars="200"/>
        <w:textAlignment w:val="auto"/>
        <w:rPr>
          <w:rFonts w:ascii="仿宋" w:hAnsi="仿宋" w:eastAsia="仿宋"/>
          <w:sz w:val="32"/>
          <w:szCs w:val="32"/>
        </w:rPr>
      </w:pPr>
      <w:r>
        <w:rPr>
          <w:rFonts w:hint="eastAsia" w:ascii="仿宋" w:hAnsi="仿宋" w:eastAsia="仿宋"/>
          <w:sz w:val="32"/>
          <w:szCs w:val="32"/>
        </w:rPr>
        <w:t>电子封卷相关事项承诺函</w:t>
      </w:r>
    </w:p>
    <w:p>
      <w:pPr>
        <w:pStyle w:val="29"/>
        <w:pageBreakBefore w:val="0"/>
        <w:widowControl w:val="0"/>
        <w:numPr>
          <w:ilvl w:val="0"/>
          <w:numId w:val="4"/>
        </w:numPr>
        <w:kinsoku/>
        <w:wordWrap/>
        <w:overflowPunct/>
        <w:topLinePunct w:val="0"/>
        <w:bidi w:val="0"/>
        <w:adjustRightInd/>
        <w:snapToGrid/>
        <w:spacing w:line="560" w:lineRule="exact"/>
        <w:ind w:left="0" w:firstLine="640" w:firstLineChars="200"/>
        <w:textAlignment w:val="auto"/>
        <w:rPr>
          <w:rFonts w:ascii="仿宋" w:hAnsi="仿宋" w:eastAsia="仿宋"/>
          <w:sz w:val="32"/>
          <w:szCs w:val="32"/>
        </w:rPr>
      </w:pPr>
      <w:r>
        <w:rPr>
          <w:rFonts w:hint="eastAsia" w:ascii="仿宋" w:hAnsi="仿宋" w:eastAsia="仿宋"/>
          <w:sz w:val="32"/>
          <w:szCs w:val="32"/>
        </w:rPr>
        <w:t>证监会或交易所要求的其他材料</w:t>
      </w:r>
    </w:p>
    <w:p>
      <w:pPr>
        <w:pStyle w:val="27"/>
        <w:pageBreakBefore w:val="0"/>
        <w:widowControl w:val="0"/>
        <w:kinsoku/>
        <w:wordWrap/>
        <w:overflowPunct/>
        <w:topLinePunct w:val="0"/>
        <w:bidi w:val="0"/>
        <w:snapToGrid/>
        <w:spacing w:line="560" w:lineRule="exact"/>
        <w:ind w:left="0" w:firstLine="643" w:firstLineChars="200"/>
        <w:rPr>
          <w:rFonts w:eastAsia="方正仿宋简体" w:cs="Times New Roman"/>
          <w:b/>
          <w:sz w:val="32"/>
          <w:szCs w:val="32"/>
        </w:rPr>
      </w:pPr>
    </w:p>
    <w:p>
      <w:pPr>
        <w:pStyle w:val="3"/>
        <w:pageBreakBefore w:val="0"/>
        <w:widowControl w:val="0"/>
        <w:kinsoku/>
        <w:wordWrap/>
        <w:overflowPunct/>
        <w:topLinePunct w:val="0"/>
        <w:bidi w:val="0"/>
        <w:snapToGrid/>
        <w:spacing w:line="560" w:lineRule="exact"/>
        <w:ind w:left="0" w:firstLine="640" w:firstLineChars="200"/>
      </w:pPr>
      <w:bookmarkStart w:id="11" w:name="_Toc130547984"/>
      <w:r>
        <w:rPr>
          <w:rFonts w:hint="eastAsia"/>
        </w:rPr>
        <w:t>十、申请接收</w:t>
      </w:r>
      <w:bookmarkEnd w:id="11"/>
    </w:p>
    <w:p>
      <w:pPr>
        <w:pStyle w:val="28"/>
        <w:pageBreakBefore w:val="0"/>
        <w:widowControl w:val="0"/>
        <w:kinsoku/>
        <w:wordWrap/>
        <w:overflowPunct/>
        <w:topLinePunct w:val="0"/>
        <w:bidi w:val="0"/>
        <w:snapToGrid/>
        <w:spacing w:line="560" w:lineRule="exact"/>
        <w:ind w:left="0" w:firstLine="640" w:firstLineChars="200"/>
        <w:rPr>
          <w:rFonts w:hint="eastAsia" w:ascii="仿宋" w:hAnsi="仿宋" w:eastAsia="仿宋" w:cs="仿宋"/>
          <w:b/>
          <w:kern w:val="2"/>
        </w:rPr>
      </w:pPr>
      <w:bookmarkStart w:id="12" w:name="_Toc54364211"/>
      <w:r>
        <w:rPr>
          <w:rFonts w:hint="eastAsia" w:ascii="仿宋" w:hAnsi="仿宋" w:eastAsia="仿宋" w:cs="仿宋"/>
          <w:color w:val="auto"/>
          <w:kern w:val="2"/>
          <w:sz w:val="32"/>
          <w:szCs w:val="32"/>
        </w:rPr>
        <w:t>基金管理人、资产支持证券管理人通过本所公募REITs信息平台（https://sso.szse.cn/sso/login）提交公开募集基础设施证券投资基金上市及基础设施资产支持证券挂牌申请相关材料。</w:t>
      </w:r>
      <w:bookmarkEnd w:id="12"/>
    </w:p>
    <w:p>
      <w:pPr>
        <w:pStyle w:val="27"/>
        <w:pageBreakBefore w:val="0"/>
        <w:widowControl w:val="0"/>
        <w:kinsoku/>
        <w:wordWrap/>
        <w:overflowPunct/>
        <w:topLinePunct w:val="0"/>
        <w:bidi w:val="0"/>
        <w:snapToGrid/>
        <w:spacing w:line="560" w:lineRule="exact"/>
        <w:ind w:left="0" w:firstLine="422" w:firstLineChars="200"/>
        <w:rPr>
          <w:rFonts w:eastAsia="方正仿宋简体" w:cs="Times New Roman"/>
          <w:b/>
        </w:rPr>
      </w:pPr>
    </w:p>
    <w:p>
      <w:pPr>
        <w:pStyle w:val="3"/>
        <w:pageBreakBefore w:val="0"/>
        <w:widowControl w:val="0"/>
        <w:kinsoku/>
        <w:wordWrap/>
        <w:overflowPunct/>
        <w:topLinePunct w:val="0"/>
        <w:bidi w:val="0"/>
        <w:snapToGrid/>
        <w:spacing w:line="560" w:lineRule="exact"/>
        <w:ind w:left="0" w:firstLine="640" w:firstLineChars="200"/>
      </w:pPr>
      <w:bookmarkStart w:id="13" w:name="_Toc130547985"/>
      <w:r>
        <w:rPr>
          <w:rFonts w:hint="eastAsia"/>
        </w:rPr>
        <w:t>十一、办理流程</w:t>
      </w:r>
      <w:bookmarkEnd w:id="13"/>
    </w:p>
    <w:p>
      <w:pPr>
        <w:pStyle w:val="4"/>
        <w:pageBreakBefore w:val="0"/>
        <w:widowControl w:val="0"/>
        <w:kinsoku/>
        <w:wordWrap/>
        <w:overflowPunct/>
        <w:topLinePunct w:val="0"/>
        <w:bidi w:val="0"/>
        <w:snapToGrid/>
        <w:spacing w:line="560" w:lineRule="exact"/>
        <w:ind w:left="0" w:firstLine="643" w:firstLineChars="200"/>
        <w:rPr>
          <w:rFonts w:hint="eastAsia" w:ascii="仿宋" w:hAnsi="仿宋" w:eastAsia="仿宋" w:cs="仿宋"/>
        </w:rPr>
      </w:pPr>
      <w:bookmarkStart w:id="14" w:name="_Toc130547986"/>
      <w:r>
        <w:rPr>
          <w:rFonts w:hint="eastAsia" w:ascii="仿宋" w:hAnsi="仿宋" w:eastAsia="仿宋" w:cs="仿宋"/>
        </w:rPr>
        <w:t>（一）受理</w:t>
      </w:r>
      <w:bookmarkEnd w:id="14"/>
    </w:p>
    <w:p>
      <w:pPr>
        <w:pStyle w:val="28"/>
        <w:pageBreakBefore w:val="0"/>
        <w:widowControl w:val="0"/>
        <w:kinsoku/>
        <w:wordWrap/>
        <w:overflowPunct/>
        <w:topLinePunct w:val="0"/>
        <w:bidi w:val="0"/>
        <w:snapToGrid/>
        <w:spacing w:line="560" w:lineRule="exact"/>
        <w:ind w:left="0" w:firstLine="640" w:firstLineChars="20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基金管理人、资产支持证券管理人提交申请文件后，</w:t>
      </w:r>
      <w:r>
        <w:rPr>
          <w:rFonts w:hint="eastAsia" w:ascii="仿宋" w:hAnsi="仿宋" w:eastAsia="仿宋" w:cs="仿宋"/>
          <w:sz w:val="32"/>
          <w:szCs w:val="32"/>
        </w:rPr>
        <w:t>受理人员</w:t>
      </w:r>
      <w:r>
        <w:rPr>
          <w:rFonts w:hint="eastAsia" w:ascii="仿宋" w:hAnsi="仿宋" w:eastAsia="仿宋" w:cs="仿宋"/>
          <w:color w:val="auto"/>
          <w:kern w:val="2"/>
          <w:sz w:val="32"/>
          <w:szCs w:val="32"/>
        </w:rPr>
        <w:t>于收到申请文件之日起5个工作日内对申请文件是否齐备和符合形式要求进行核对，并出具受理通知、补正通知或不予受理通知。</w:t>
      </w:r>
    </w:p>
    <w:p>
      <w:pPr>
        <w:pStyle w:val="4"/>
        <w:pageBreakBefore w:val="0"/>
        <w:widowControl w:val="0"/>
        <w:kinsoku/>
        <w:wordWrap/>
        <w:overflowPunct/>
        <w:topLinePunct w:val="0"/>
        <w:bidi w:val="0"/>
        <w:snapToGrid/>
        <w:spacing w:line="560" w:lineRule="exact"/>
        <w:ind w:left="0" w:firstLine="643" w:firstLineChars="200"/>
      </w:pPr>
      <w:bookmarkStart w:id="15" w:name="_Toc130547987"/>
      <w:r>
        <w:rPr>
          <w:rFonts w:hint="eastAsia"/>
        </w:rPr>
        <w:t>（二）审核与反馈</w:t>
      </w:r>
      <w:bookmarkEnd w:id="15"/>
    </w:p>
    <w:p>
      <w:pPr>
        <w:pStyle w:val="28"/>
        <w:pageBreakBefore w:val="0"/>
        <w:widowControl w:val="0"/>
        <w:kinsoku/>
        <w:wordWrap/>
        <w:overflowPunct/>
        <w:topLinePunct w:val="0"/>
        <w:bidi w:val="0"/>
        <w:snapToGrid/>
        <w:spacing w:line="560" w:lineRule="exact"/>
        <w:ind w:left="0" w:firstLine="640" w:firstLineChars="20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本所受理申请后确定审核人员对申请材料进行审核。本所自受理</w:t>
      </w:r>
      <w:r>
        <w:rPr>
          <w:rFonts w:hint="eastAsia" w:ascii="仿宋" w:hAnsi="仿宋" w:eastAsia="仿宋" w:cs="仿宋"/>
          <w:color w:val="auto"/>
          <w:kern w:val="2"/>
          <w:sz w:val="32"/>
          <w:szCs w:val="32"/>
        </w:rPr>
        <w:t>之日起30个工作日内出具首次书面反馈意见；无需出具反馈意见的，应当通知基金管理人、资产支持证券管理人。</w:t>
      </w:r>
    </w:p>
    <w:p>
      <w:pPr>
        <w:pStyle w:val="28"/>
        <w:pageBreakBefore w:val="0"/>
        <w:widowControl w:val="0"/>
        <w:kinsoku/>
        <w:wordWrap/>
        <w:overflowPunct/>
        <w:topLinePunct w:val="0"/>
        <w:bidi w:val="0"/>
        <w:snapToGrid/>
        <w:spacing w:line="560" w:lineRule="exact"/>
        <w:ind w:left="0" w:firstLine="640" w:firstLineChars="200"/>
        <w:rPr>
          <w:rFonts w:hint="eastAsia" w:ascii="仿宋" w:hAnsi="仿宋" w:eastAsia="仿宋" w:cs="仿宋"/>
          <w:color w:val="auto"/>
          <w:kern w:val="2"/>
          <w:sz w:val="32"/>
          <w:szCs w:val="32"/>
        </w:rPr>
      </w:pPr>
      <w:r>
        <w:rPr>
          <w:rFonts w:hint="eastAsia" w:ascii="仿宋" w:hAnsi="仿宋" w:eastAsia="仿宋" w:cs="仿宋"/>
          <w:sz w:val="32"/>
          <w:szCs w:val="32"/>
        </w:rPr>
        <w:t>基金管理人、资产支持证券管理人应当在收到书面反馈意见后30个工作日内予以书面回复。基金管理人、资产支持证券管理人不能在规定期限内予以回复的，应当向本所提出延期回复申请，并说明理由和拟回复时间，延期时间不得超过30个工作日。</w:t>
      </w:r>
    </w:p>
    <w:p>
      <w:pPr>
        <w:pStyle w:val="4"/>
        <w:pageBreakBefore w:val="0"/>
        <w:widowControl w:val="0"/>
        <w:kinsoku/>
        <w:wordWrap/>
        <w:overflowPunct/>
        <w:topLinePunct w:val="0"/>
        <w:bidi w:val="0"/>
        <w:snapToGrid/>
        <w:spacing w:line="560" w:lineRule="exact"/>
        <w:ind w:left="0" w:firstLine="643" w:firstLineChars="200"/>
        <w:rPr>
          <w:rFonts w:hint="eastAsia" w:ascii="仿宋" w:hAnsi="仿宋" w:eastAsia="仿宋" w:cs="仿宋"/>
        </w:rPr>
      </w:pPr>
      <w:bookmarkStart w:id="16" w:name="_Toc130547988"/>
      <w:r>
        <w:rPr>
          <w:rFonts w:hint="eastAsia" w:ascii="仿宋" w:hAnsi="仿宋" w:eastAsia="仿宋" w:cs="仿宋"/>
        </w:rPr>
        <w:t>（三）决定</w:t>
      </w:r>
      <w:bookmarkEnd w:id="16"/>
    </w:p>
    <w:p>
      <w:pPr>
        <w:pStyle w:val="28"/>
        <w:pageBreakBefore w:val="0"/>
        <w:widowControl w:val="0"/>
        <w:kinsoku/>
        <w:wordWrap/>
        <w:overflowPunct/>
        <w:topLinePunct w:val="0"/>
        <w:bidi w:val="0"/>
        <w:snapToGrid/>
        <w:spacing w:line="560" w:lineRule="exact"/>
        <w:ind w:left="0" w:firstLine="640" w:firstLineChars="20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本所对回复意见文件进行审核，不符合要求的，可再次出具反馈意见；不需要基金管理人和资产支持证券管理人进一步落实或反馈的，依程序进行评议。</w:t>
      </w:r>
    </w:p>
    <w:p>
      <w:pPr>
        <w:pStyle w:val="28"/>
        <w:pageBreakBefore w:val="0"/>
        <w:widowControl w:val="0"/>
        <w:kinsoku/>
        <w:wordWrap/>
        <w:overflowPunct/>
        <w:topLinePunct w:val="0"/>
        <w:bidi w:val="0"/>
        <w:snapToGrid/>
        <w:spacing w:line="560" w:lineRule="exact"/>
        <w:ind w:left="0" w:firstLine="640" w:firstLineChars="20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本所根据评议结果出具基础设施资产支持证券挂牌和基础设施基金在本所上市的无异议函或者作出终止审核的决定，并通知基金管理人和资产支持证券管理人。</w:t>
      </w:r>
    </w:p>
    <w:p>
      <w:pPr>
        <w:pStyle w:val="4"/>
        <w:pageBreakBefore w:val="0"/>
        <w:widowControl w:val="0"/>
        <w:kinsoku/>
        <w:wordWrap/>
        <w:overflowPunct/>
        <w:topLinePunct w:val="0"/>
        <w:bidi w:val="0"/>
        <w:snapToGrid/>
        <w:spacing w:line="560" w:lineRule="exact"/>
        <w:ind w:left="0" w:firstLine="643" w:firstLineChars="200"/>
        <w:rPr>
          <w:rFonts w:hint="eastAsia" w:ascii="仿宋" w:hAnsi="仿宋" w:eastAsia="仿宋" w:cs="仿宋"/>
        </w:rPr>
      </w:pPr>
      <w:bookmarkStart w:id="17" w:name="_Toc54968031"/>
      <w:bookmarkStart w:id="18" w:name="_Toc130547989"/>
      <w:r>
        <w:rPr>
          <w:rFonts w:hint="eastAsia" w:ascii="仿宋" w:hAnsi="仿宋" w:eastAsia="仿宋" w:cs="仿宋"/>
        </w:rPr>
        <w:t>（四）</w:t>
      </w:r>
      <w:bookmarkEnd w:id="17"/>
      <w:r>
        <w:rPr>
          <w:rFonts w:hint="eastAsia" w:ascii="仿宋" w:hAnsi="仿宋" w:eastAsia="仿宋" w:cs="仿宋"/>
        </w:rPr>
        <w:t>期后事项</w:t>
      </w:r>
      <w:bookmarkEnd w:id="18"/>
    </w:p>
    <w:p>
      <w:pPr>
        <w:pStyle w:val="28"/>
        <w:pageBreakBefore w:val="0"/>
        <w:widowControl w:val="0"/>
        <w:kinsoku/>
        <w:wordWrap/>
        <w:overflowPunct/>
        <w:topLinePunct w:val="0"/>
        <w:bidi w:val="0"/>
        <w:snapToGrid/>
        <w:spacing w:line="560" w:lineRule="exact"/>
        <w:ind w:left="0" w:firstLine="640" w:firstLineChars="200"/>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本所出具无异议函后至基础设施基金上市前，发生可能对基础设施基金投资价值及投资决策判断有重大影响的事项的，基金管理人、资产支持证券管理人等相关业务参与机构应当及时向本所报告，必要时应当聘请专业机构进行核查，本所依相关程序处理，并视情况向中国证监会报告。</w:t>
      </w:r>
    </w:p>
    <w:p>
      <w:pPr>
        <w:pStyle w:val="28"/>
        <w:pageBreakBefore w:val="0"/>
        <w:widowControl w:val="0"/>
        <w:kinsoku/>
        <w:wordWrap/>
        <w:overflowPunct/>
        <w:topLinePunct w:val="0"/>
        <w:bidi w:val="0"/>
        <w:snapToGrid/>
        <w:spacing w:line="560" w:lineRule="exact"/>
        <w:ind w:left="0" w:firstLine="640" w:firstLineChars="200"/>
        <w:rPr>
          <w:rFonts w:eastAsia="方正仿宋简体" w:asciiTheme="minorHAnsi" w:cstheme="minorBidi"/>
          <w:color w:val="auto"/>
          <w:kern w:val="2"/>
          <w:sz w:val="32"/>
          <w:szCs w:val="32"/>
        </w:rPr>
      </w:pPr>
    </w:p>
    <w:p>
      <w:pPr>
        <w:pStyle w:val="3"/>
        <w:pageBreakBefore w:val="0"/>
        <w:widowControl w:val="0"/>
        <w:kinsoku/>
        <w:wordWrap/>
        <w:overflowPunct/>
        <w:topLinePunct w:val="0"/>
        <w:bidi w:val="0"/>
        <w:snapToGrid/>
        <w:spacing w:line="560" w:lineRule="exact"/>
        <w:ind w:left="0" w:firstLine="640" w:firstLineChars="200"/>
      </w:pPr>
      <w:bookmarkStart w:id="19" w:name="_Toc130547990"/>
      <w:r>
        <w:rPr>
          <w:rFonts w:hint="eastAsia"/>
        </w:rPr>
        <w:t>十二、办理结果及送达</w:t>
      </w:r>
      <w:bookmarkEnd w:id="19"/>
    </w:p>
    <w:p>
      <w:pPr>
        <w:pageBreakBefore w:val="0"/>
        <w:widowControl w:val="0"/>
        <w:kinsoku/>
        <w:wordWrap/>
        <w:overflowPunct/>
        <w:topLinePunct w:val="0"/>
        <w:bidi w:val="0"/>
        <w:snapToGrid/>
        <w:spacing w:line="560" w:lineRule="exact"/>
        <w:ind w:left="0" w:firstLine="640" w:firstLineChars="200"/>
        <w:rPr>
          <w:rFonts w:ascii="仿宋" w:hAnsi="仿宋" w:eastAsia="仿宋"/>
          <w:kern w:val="0"/>
          <w:sz w:val="32"/>
          <w:szCs w:val="32"/>
        </w:rPr>
      </w:pPr>
      <w:r>
        <w:rPr>
          <w:rFonts w:hint="eastAsia" w:ascii="仿宋" w:hAnsi="仿宋" w:eastAsia="仿宋"/>
          <w:sz w:val="32"/>
          <w:szCs w:val="32"/>
        </w:rPr>
        <w:t>本所根据评议结果出具基础设施资产支持证券挂牌和基础设施基金在本所上市的无异议函或者作出终止审核的决定，并通过公募REITs信息平台通知基金管理人和资产支持证券管理人。</w:t>
      </w:r>
    </w:p>
    <w:p>
      <w:pPr>
        <w:pageBreakBefore w:val="0"/>
        <w:widowControl w:val="0"/>
        <w:kinsoku/>
        <w:wordWrap/>
        <w:overflowPunct/>
        <w:topLinePunct w:val="0"/>
        <w:bidi w:val="0"/>
        <w:snapToGrid/>
        <w:spacing w:line="560" w:lineRule="exact"/>
        <w:ind w:left="0" w:firstLine="640" w:firstLineChars="200"/>
        <w:rPr>
          <w:rFonts w:ascii="仿宋" w:hAnsi="仿宋" w:eastAsia="仿宋"/>
          <w:sz w:val="32"/>
          <w:szCs w:val="32"/>
        </w:rPr>
      </w:pPr>
    </w:p>
    <w:p>
      <w:pPr>
        <w:pStyle w:val="3"/>
        <w:pageBreakBefore w:val="0"/>
        <w:widowControl w:val="0"/>
        <w:kinsoku/>
        <w:wordWrap/>
        <w:overflowPunct/>
        <w:topLinePunct w:val="0"/>
        <w:bidi w:val="0"/>
        <w:snapToGrid/>
        <w:spacing w:line="560" w:lineRule="exact"/>
        <w:ind w:left="0" w:firstLine="640" w:firstLineChars="200"/>
      </w:pPr>
      <w:bookmarkStart w:id="20" w:name="_Toc130547991"/>
      <w:r>
        <w:rPr>
          <w:rFonts w:hint="eastAsia"/>
        </w:rPr>
        <w:t>十三、咨询途径</w:t>
      </w:r>
      <w:bookmarkEnd w:id="20"/>
    </w:p>
    <w:p>
      <w:pPr>
        <w:pageBreakBefore w:val="0"/>
        <w:widowControl w:val="0"/>
        <w:kinsoku/>
        <w:wordWrap/>
        <w:overflowPunct/>
        <w:topLinePunct w:val="0"/>
        <w:bidi w:val="0"/>
        <w:snapToGrid/>
        <w:spacing w:line="560" w:lineRule="exact"/>
        <w:ind w:left="0" w:firstLine="640" w:firstLineChars="200"/>
        <w:rPr>
          <w:rFonts w:hint="eastAsia" w:ascii="仿宋" w:hAnsi="仿宋" w:eastAsia="仿宋" w:cs="仿宋"/>
          <w:sz w:val="32"/>
          <w:szCs w:val="32"/>
        </w:rPr>
      </w:pPr>
      <w:bookmarkStart w:id="21" w:name="_Toc54364215"/>
      <w:r>
        <w:rPr>
          <w:rFonts w:hint="eastAsia" w:ascii="仿宋" w:hAnsi="仿宋" w:eastAsia="仿宋" w:cs="仿宋"/>
          <w:sz w:val="32"/>
          <w:szCs w:val="32"/>
        </w:rPr>
        <w:t>陈女士 电话：0755-8866 6784 邮箱：chenyuan@szse.cn</w:t>
      </w:r>
      <w:bookmarkEnd w:id="21"/>
    </w:p>
    <w:p>
      <w:pPr>
        <w:pageBreakBefore w:val="0"/>
        <w:widowControl w:val="0"/>
        <w:kinsoku/>
        <w:wordWrap/>
        <w:overflowPunct/>
        <w:topLinePunct w:val="0"/>
        <w:bidi w:val="0"/>
        <w:snapToGrid/>
        <w:spacing w:line="560" w:lineRule="exact"/>
        <w:ind w:left="0" w:firstLine="640" w:firstLineChars="200"/>
        <w:rPr>
          <w:rFonts w:ascii="仿宋" w:hAnsi="仿宋" w:eastAsia="仿宋" w:cs="Arial Unicode MS"/>
          <w:color w:val="000000"/>
          <w:kern w:val="0"/>
          <w:sz w:val="32"/>
          <w:szCs w:val="32"/>
        </w:rPr>
      </w:pPr>
    </w:p>
    <w:p>
      <w:pPr>
        <w:pStyle w:val="3"/>
        <w:pageBreakBefore w:val="0"/>
        <w:widowControl w:val="0"/>
        <w:kinsoku/>
        <w:wordWrap/>
        <w:overflowPunct/>
        <w:topLinePunct w:val="0"/>
        <w:bidi w:val="0"/>
        <w:snapToGrid/>
        <w:spacing w:line="560" w:lineRule="exact"/>
        <w:ind w:left="0" w:firstLine="640" w:firstLineChars="200"/>
      </w:pPr>
      <w:bookmarkStart w:id="22" w:name="_Toc130547992"/>
      <w:r>
        <w:rPr>
          <w:rFonts w:hint="eastAsia"/>
        </w:rPr>
        <w:t>十四、办理地点和时间</w:t>
      </w:r>
      <w:bookmarkEnd w:id="22"/>
    </w:p>
    <w:p>
      <w:pPr>
        <w:pStyle w:val="3"/>
        <w:pageBreakBefore w:val="0"/>
        <w:widowControl w:val="0"/>
        <w:kinsoku/>
        <w:wordWrap/>
        <w:overflowPunct/>
        <w:topLinePunct w:val="0"/>
        <w:bidi w:val="0"/>
        <w:snapToGrid/>
        <w:spacing w:line="560" w:lineRule="exact"/>
        <w:ind w:left="0" w:firstLine="640" w:firstLineChars="200"/>
      </w:pPr>
      <w:r>
        <w:rPr>
          <w:rFonts w:hint="eastAsia" w:ascii="仿宋" w:hAnsi="仿宋" w:eastAsia="仿宋" w:cs="仿宋"/>
        </w:rPr>
        <w:t>本所公募REITs信息平台7×24小时接受公开募集基础设施证券投资基金上市及基础设施资产支持</w:t>
      </w:r>
      <w:r>
        <w:rPr>
          <w:rFonts w:hint="eastAsia" w:eastAsia="方正仿宋简体" w:asciiTheme="minorHAnsi" w:cstheme="minorBidi"/>
        </w:rPr>
        <w:t>证券挂牌申请。</w:t>
      </w:r>
    </w:p>
    <w:p>
      <w:pPr>
        <w:pStyle w:val="28"/>
        <w:pageBreakBefore w:val="0"/>
        <w:widowControl w:val="0"/>
        <w:kinsoku/>
        <w:wordWrap/>
        <w:overflowPunct/>
        <w:topLinePunct w:val="0"/>
        <w:bidi w:val="0"/>
        <w:snapToGrid/>
        <w:spacing w:line="560" w:lineRule="exact"/>
        <w:ind w:left="0" w:firstLine="640" w:firstLineChars="200"/>
        <w:rPr>
          <w:rFonts w:eastAsia="方正仿宋简体" w:asciiTheme="minorHAnsi" w:cstheme="minorBidi"/>
          <w:color w:val="auto"/>
          <w:kern w:val="2"/>
          <w:sz w:val="32"/>
          <w:szCs w:val="32"/>
        </w:rPr>
      </w:pPr>
    </w:p>
    <w:p>
      <w:pPr>
        <w:jc w:val="center"/>
        <w:rPr>
          <w:rFonts w:ascii="仿宋" w:hAnsi="仿宋" w:eastAsia="仿宋"/>
          <w:sz w:val="32"/>
          <w:szCs w:val="32"/>
        </w:rPr>
      </w:pPr>
      <w:bookmarkStart w:id="23" w:name="_Toc17996920"/>
      <w:bookmarkEnd w:id="23"/>
      <w:bookmarkStart w:id="24" w:name="_Toc17995945"/>
      <w:bookmarkEnd w:id="24"/>
      <w:bookmarkStart w:id="25" w:name="_Toc17995922"/>
      <w:bookmarkEnd w:id="25"/>
      <w:bookmarkStart w:id="26" w:name="_Toc17996421"/>
      <w:bookmarkEnd w:id="26"/>
      <w:bookmarkStart w:id="27" w:name="_Toc17997013"/>
      <w:bookmarkEnd w:id="27"/>
      <w:bookmarkStart w:id="28" w:name="_Toc17996496"/>
      <w:bookmarkEnd w:id="28"/>
      <w:bookmarkStart w:id="29" w:name="_Toc17996459"/>
      <w:bookmarkEnd w:id="29"/>
      <w:bookmarkStart w:id="30" w:name="_Toc17996398"/>
      <w:bookmarkEnd w:id="30"/>
      <w:bookmarkStart w:id="31" w:name="_Toc17996927"/>
      <w:bookmarkEnd w:id="31"/>
      <w:bookmarkStart w:id="32" w:name="_Toc17996507"/>
      <w:bookmarkEnd w:id="32"/>
      <w:bookmarkStart w:id="33" w:name="_Toc17996981"/>
      <w:bookmarkEnd w:id="33"/>
      <w:bookmarkStart w:id="34" w:name="_Toc17996995"/>
      <w:bookmarkEnd w:id="34"/>
      <w:bookmarkStart w:id="35" w:name="_Toc17996397"/>
      <w:bookmarkEnd w:id="35"/>
      <w:bookmarkStart w:id="36" w:name="_Toc17996467"/>
      <w:bookmarkEnd w:id="36"/>
      <w:bookmarkStart w:id="37" w:name="_Toc17995979"/>
      <w:bookmarkEnd w:id="37"/>
      <w:bookmarkStart w:id="38" w:name="_Toc17995964"/>
      <w:bookmarkEnd w:id="38"/>
      <w:bookmarkStart w:id="39" w:name="_Toc17996977"/>
      <w:bookmarkEnd w:id="39"/>
      <w:bookmarkStart w:id="40" w:name="_Toc17996898"/>
      <w:bookmarkEnd w:id="40"/>
      <w:bookmarkStart w:id="41" w:name="_Toc17997002"/>
      <w:bookmarkEnd w:id="41"/>
      <w:bookmarkStart w:id="42" w:name="_Toc17995990"/>
      <w:bookmarkEnd w:id="42"/>
      <w:bookmarkStart w:id="43" w:name="_Toc17996913"/>
      <w:bookmarkEnd w:id="43"/>
      <w:bookmarkStart w:id="44" w:name="_Toc17996958"/>
      <w:bookmarkEnd w:id="44"/>
      <w:bookmarkStart w:id="45" w:name="_Toc17995960"/>
      <w:bookmarkEnd w:id="45"/>
      <w:bookmarkStart w:id="46" w:name="_Toc17995983"/>
      <w:bookmarkEnd w:id="46"/>
      <w:bookmarkStart w:id="47" w:name="_Toc17996489"/>
      <w:bookmarkEnd w:id="47"/>
      <w:bookmarkStart w:id="48" w:name="_Toc17997028"/>
      <w:bookmarkEnd w:id="48"/>
      <w:bookmarkStart w:id="49" w:name="_Toc17996008"/>
      <w:bookmarkEnd w:id="49"/>
      <w:bookmarkStart w:id="50" w:name="_Toc17996004"/>
      <w:bookmarkEnd w:id="50"/>
      <w:bookmarkStart w:id="51" w:name="_Toc17996031"/>
      <w:bookmarkEnd w:id="51"/>
      <w:bookmarkStart w:id="52" w:name="_Toc17996482"/>
      <w:bookmarkEnd w:id="52"/>
      <w:bookmarkStart w:id="53" w:name="_Toc17995900"/>
      <w:bookmarkEnd w:id="53"/>
      <w:bookmarkStart w:id="54" w:name="_Toc17996015"/>
      <w:bookmarkEnd w:id="54"/>
      <w:bookmarkStart w:id="55" w:name="_Toc17996988"/>
      <w:bookmarkEnd w:id="55"/>
      <w:bookmarkStart w:id="56" w:name="_Toc17995898"/>
      <w:bookmarkEnd w:id="56"/>
      <w:bookmarkStart w:id="57" w:name="_Toc17995968"/>
      <w:bookmarkEnd w:id="57"/>
      <w:bookmarkStart w:id="58" w:name="_Toc17996969"/>
      <w:bookmarkEnd w:id="58"/>
      <w:bookmarkStart w:id="59" w:name="_Toc17997006"/>
      <w:bookmarkEnd w:id="59"/>
      <w:bookmarkStart w:id="60" w:name="_Toc17996529"/>
      <w:bookmarkEnd w:id="60"/>
      <w:bookmarkStart w:id="61" w:name="_Toc17996896"/>
      <w:bookmarkEnd w:id="61"/>
      <w:bookmarkStart w:id="62" w:name="_Toc17996444"/>
      <w:bookmarkEnd w:id="62"/>
      <w:bookmarkStart w:id="63" w:name="_Toc17996514"/>
      <w:bookmarkEnd w:id="63"/>
      <w:bookmarkStart w:id="64" w:name="_Toc17996463"/>
      <w:bookmarkEnd w:id="64"/>
      <w:bookmarkStart w:id="65" w:name="_Toc17996897"/>
      <w:bookmarkEnd w:id="65"/>
      <w:bookmarkStart w:id="66" w:name="_Toc17996399"/>
      <w:bookmarkEnd w:id="66"/>
      <w:bookmarkStart w:id="67" w:name="_Toc17996962"/>
      <w:bookmarkEnd w:id="67"/>
      <w:bookmarkStart w:id="68" w:name="_Toc17995915"/>
      <w:bookmarkEnd w:id="68"/>
      <w:bookmarkStart w:id="69" w:name="_Toc17996478"/>
      <w:bookmarkEnd w:id="69"/>
      <w:bookmarkStart w:id="70" w:name="_Toc17997029"/>
      <w:bookmarkEnd w:id="70"/>
      <w:bookmarkStart w:id="71" w:name="_Toc17995971"/>
      <w:bookmarkEnd w:id="71"/>
      <w:bookmarkStart w:id="72" w:name="_Toc17996943"/>
      <w:bookmarkEnd w:id="72"/>
      <w:bookmarkStart w:id="73" w:name="_Toc17996030"/>
      <w:bookmarkEnd w:id="73"/>
      <w:bookmarkStart w:id="74" w:name="_Toc17996503"/>
      <w:bookmarkEnd w:id="74"/>
      <w:bookmarkStart w:id="75" w:name="_Toc17996414"/>
      <w:bookmarkEnd w:id="75"/>
      <w:bookmarkStart w:id="76" w:name="_Toc17996530"/>
      <w:bookmarkEnd w:id="76"/>
      <w:bookmarkStart w:id="77" w:name="_Toc17996470"/>
      <w:bookmarkEnd w:id="77"/>
      <w:bookmarkStart w:id="78" w:name="_Toc17995899"/>
      <w:bookmarkEnd w:id="78"/>
      <w:bookmarkStart w:id="79" w:name="_Toc17995997"/>
      <w:bookmarkEnd w:id="79"/>
      <w:bookmarkStart w:id="80" w:name="_Toc17995929"/>
      <w:bookmarkEnd w:id="80"/>
      <w:bookmarkStart w:id="81" w:name="_Toc17996428"/>
      <w:bookmarkEnd w:id="81"/>
      <w:bookmarkStart w:id="82" w:name="_Toc17996966"/>
      <w:bookmarkEnd w:id="8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00000000000000000"/>
    <w:charset w:val="86"/>
    <w:family w:val="auto"/>
    <w:pitch w:val="default"/>
    <w:sig w:usb0="00000001" w:usb1="08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9721012"/>
      <w:docPartObj>
        <w:docPartGallery w:val="autotext"/>
      </w:docPartObj>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F66E53"/>
    <w:multiLevelType w:val="multilevel"/>
    <w:tmpl w:val="10F66E53"/>
    <w:lvl w:ilvl="0" w:tentative="0">
      <w:start w:val="1"/>
      <w:numFmt w:val="decimal"/>
      <w:lvlText w:val="%1."/>
      <w:lvlJc w:val="left"/>
      <w:pPr>
        <w:ind w:left="1146" w:hanging="720"/>
      </w:pPr>
      <w:rPr>
        <w:rFonts w:hint="default"/>
        <w:b w:val="0"/>
        <w:color w:val="auto"/>
        <w:sz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280F7238"/>
    <w:multiLevelType w:val="multilevel"/>
    <w:tmpl w:val="280F7238"/>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2AA52F24"/>
    <w:multiLevelType w:val="multilevel"/>
    <w:tmpl w:val="2AA52F24"/>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364252AD"/>
    <w:multiLevelType w:val="multilevel"/>
    <w:tmpl w:val="364252AD"/>
    <w:lvl w:ilvl="0" w:tentative="0">
      <w:start w:val="2"/>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CA5"/>
    <w:rsid w:val="00071200"/>
    <w:rsid w:val="00097D1A"/>
    <w:rsid w:val="000C2C1C"/>
    <w:rsid w:val="000E0F4D"/>
    <w:rsid w:val="00120C60"/>
    <w:rsid w:val="001266EB"/>
    <w:rsid w:val="00127F8E"/>
    <w:rsid w:val="001C4A48"/>
    <w:rsid w:val="0020392E"/>
    <w:rsid w:val="00207932"/>
    <w:rsid w:val="00214E37"/>
    <w:rsid w:val="00291DB5"/>
    <w:rsid w:val="002B05ED"/>
    <w:rsid w:val="002F099F"/>
    <w:rsid w:val="0037072B"/>
    <w:rsid w:val="003B368E"/>
    <w:rsid w:val="00411D74"/>
    <w:rsid w:val="00442850"/>
    <w:rsid w:val="004B03FD"/>
    <w:rsid w:val="004B6376"/>
    <w:rsid w:val="004C3225"/>
    <w:rsid w:val="004C3321"/>
    <w:rsid w:val="004C50C1"/>
    <w:rsid w:val="004F7BB5"/>
    <w:rsid w:val="00505EDA"/>
    <w:rsid w:val="00591A1F"/>
    <w:rsid w:val="005C1454"/>
    <w:rsid w:val="005D2D2C"/>
    <w:rsid w:val="005E27ED"/>
    <w:rsid w:val="00617A53"/>
    <w:rsid w:val="0063239D"/>
    <w:rsid w:val="006769B7"/>
    <w:rsid w:val="006B03CA"/>
    <w:rsid w:val="006D6FA0"/>
    <w:rsid w:val="00714090"/>
    <w:rsid w:val="00850688"/>
    <w:rsid w:val="00896086"/>
    <w:rsid w:val="008D6ADC"/>
    <w:rsid w:val="00907800"/>
    <w:rsid w:val="009474E7"/>
    <w:rsid w:val="009555F2"/>
    <w:rsid w:val="00964B26"/>
    <w:rsid w:val="009A238B"/>
    <w:rsid w:val="009F5CA5"/>
    <w:rsid w:val="00A3112B"/>
    <w:rsid w:val="00A565D5"/>
    <w:rsid w:val="00A56924"/>
    <w:rsid w:val="00A75E43"/>
    <w:rsid w:val="00AB37E0"/>
    <w:rsid w:val="00AD6478"/>
    <w:rsid w:val="00AE7475"/>
    <w:rsid w:val="00B56E42"/>
    <w:rsid w:val="00BD3ACF"/>
    <w:rsid w:val="00C02FF7"/>
    <w:rsid w:val="00C42561"/>
    <w:rsid w:val="00C85E03"/>
    <w:rsid w:val="00CA7DCD"/>
    <w:rsid w:val="00CD147B"/>
    <w:rsid w:val="00CF24AA"/>
    <w:rsid w:val="00D479A2"/>
    <w:rsid w:val="00D90F8F"/>
    <w:rsid w:val="00DB3166"/>
    <w:rsid w:val="00DB682A"/>
    <w:rsid w:val="00E81E80"/>
    <w:rsid w:val="00EE1594"/>
    <w:rsid w:val="00EE2E31"/>
    <w:rsid w:val="00F320C8"/>
    <w:rsid w:val="00F67B7D"/>
    <w:rsid w:val="00F74234"/>
    <w:rsid w:val="00F748C5"/>
    <w:rsid w:val="00FB1AED"/>
    <w:rsid w:val="00FF6F84"/>
    <w:rsid w:val="067F2257"/>
    <w:rsid w:val="0FEE43F4"/>
    <w:rsid w:val="30E5227A"/>
    <w:rsid w:val="52EA00C9"/>
    <w:rsid w:val="6C504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line="560" w:lineRule="exact"/>
      <w:outlineLvl w:val="1"/>
    </w:pPr>
    <w:rPr>
      <w:rFonts w:eastAsia="黑体" w:asciiTheme="majorHAnsi" w:hAnsiTheme="majorHAnsi" w:cstheme="majorBidi"/>
      <w:bCs/>
      <w:sz w:val="32"/>
      <w:szCs w:val="32"/>
    </w:rPr>
  </w:style>
  <w:style w:type="paragraph" w:styleId="4">
    <w:name w:val="heading 3"/>
    <w:basedOn w:val="1"/>
    <w:next w:val="1"/>
    <w:link w:val="25"/>
    <w:unhideWhenUsed/>
    <w:qFormat/>
    <w:uiPriority w:val="9"/>
    <w:pPr>
      <w:keepNext/>
      <w:keepLines/>
      <w:spacing w:line="560" w:lineRule="exact"/>
      <w:outlineLvl w:val="2"/>
    </w:pPr>
    <w:rPr>
      <w:rFonts w:eastAsia="仿宋"/>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1"/>
    <w:semiHidden/>
    <w:unhideWhenUsed/>
    <w:qFormat/>
    <w:uiPriority w:val="99"/>
    <w:pPr>
      <w:jc w:val="left"/>
    </w:p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3"/>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1"/>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annotation subject"/>
    <w:basedOn w:val="5"/>
    <w:next w:val="5"/>
    <w:link w:val="22"/>
    <w:semiHidden/>
    <w:unhideWhenUsed/>
    <w:qFormat/>
    <w:uiPriority w:val="99"/>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styleId="18">
    <w:name w:val="footnote reference"/>
    <w:basedOn w:val="15"/>
    <w:semiHidden/>
    <w:unhideWhenUsed/>
    <w:qFormat/>
    <w:uiPriority w:val="99"/>
    <w:rPr>
      <w:vertAlign w:val="superscript"/>
    </w:rPr>
  </w:style>
  <w:style w:type="character" w:customStyle="1" w:styleId="19">
    <w:name w:val="页眉 Char"/>
    <w:basedOn w:val="15"/>
    <w:link w:val="9"/>
    <w:qFormat/>
    <w:uiPriority w:val="99"/>
    <w:rPr>
      <w:sz w:val="18"/>
      <w:szCs w:val="18"/>
    </w:rPr>
  </w:style>
  <w:style w:type="character" w:customStyle="1" w:styleId="20">
    <w:name w:val="页脚 Char"/>
    <w:basedOn w:val="15"/>
    <w:link w:val="8"/>
    <w:qFormat/>
    <w:uiPriority w:val="99"/>
    <w:rPr>
      <w:sz w:val="18"/>
      <w:szCs w:val="18"/>
    </w:rPr>
  </w:style>
  <w:style w:type="character" w:customStyle="1" w:styleId="21">
    <w:name w:val="批注文字 Char"/>
    <w:basedOn w:val="15"/>
    <w:link w:val="5"/>
    <w:semiHidden/>
    <w:qFormat/>
    <w:uiPriority w:val="99"/>
  </w:style>
  <w:style w:type="character" w:customStyle="1" w:styleId="22">
    <w:name w:val="批注主题 Char"/>
    <w:basedOn w:val="21"/>
    <w:link w:val="12"/>
    <w:semiHidden/>
    <w:qFormat/>
    <w:uiPriority w:val="99"/>
    <w:rPr>
      <w:b/>
      <w:bCs/>
    </w:rPr>
  </w:style>
  <w:style w:type="character" w:customStyle="1" w:styleId="23">
    <w:name w:val="批注框文本 Char"/>
    <w:basedOn w:val="15"/>
    <w:link w:val="7"/>
    <w:semiHidden/>
    <w:qFormat/>
    <w:uiPriority w:val="99"/>
    <w:rPr>
      <w:sz w:val="18"/>
      <w:szCs w:val="18"/>
    </w:rPr>
  </w:style>
  <w:style w:type="character" w:customStyle="1" w:styleId="24">
    <w:name w:val="标题 2 Char"/>
    <w:basedOn w:val="15"/>
    <w:link w:val="3"/>
    <w:qFormat/>
    <w:uiPriority w:val="9"/>
    <w:rPr>
      <w:rFonts w:eastAsia="黑体" w:asciiTheme="majorHAnsi" w:hAnsiTheme="majorHAnsi" w:cstheme="majorBidi"/>
      <w:bCs/>
      <w:sz w:val="32"/>
      <w:szCs w:val="32"/>
    </w:rPr>
  </w:style>
  <w:style w:type="character" w:customStyle="1" w:styleId="25">
    <w:name w:val="标题 3 Char"/>
    <w:basedOn w:val="15"/>
    <w:link w:val="4"/>
    <w:qFormat/>
    <w:uiPriority w:val="9"/>
    <w:rPr>
      <w:rFonts w:eastAsia="仿宋"/>
      <w:b/>
      <w:bCs/>
      <w:sz w:val="32"/>
      <w:szCs w:val="32"/>
    </w:rPr>
  </w:style>
  <w:style w:type="character" w:customStyle="1" w:styleId="26">
    <w:name w:val="标题 1 Char"/>
    <w:basedOn w:val="15"/>
    <w:link w:val="2"/>
    <w:qFormat/>
    <w:uiPriority w:val="9"/>
    <w:rPr>
      <w:b/>
      <w:bCs/>
      <w:kern w:val="44"/>
      <w:sz w:val="44"/>
      <w:szCs w:val="44"/>
    </w:rPr>
  </w:style>
  <w:style w:type="paragraph" w:customStyle="1" w:styleId="27">
    <w:name w:val="List Paragraph1"/>
    <w:basedOn w:val="1"/>
    <w:qFormat/>
    <w:uiPriority w:val="99"/>
    <w:pPr>
      <w:adjustRightInd w:val="0"/>
      <w:spacing w:line="360" w:lineRule="atLeast"/>
      <w:ind w:firstLine="420" w:firstLineChars="200"/>
      <w:textAlignment w:val="baseline"/>
    </w:pPr>
    <w:rPr>
      <w:rFonts w:ascii="Times New Roman" w:hAnsi="Times New Roman" w:eastAsia="Times New Roman" w:cs="黑体"/>
      <w:szCs w:val="24"/>
    </w:rPr>
  </w:style>
  <w:style w:type="paragraph" w:customStyle="1" w:styleId="28">
    <w:name w:val="Default"/>
    <w:qFormat/>
    <w:uiPriority w:val="0"/>
    <w:pPr>
      <w:widowControl w:val="0"/>
      <w:autoSpaceDE w:val="0"/>
      <w:autoSpaceDN w:val="0"/>
      <w:adjustRightInd w:val="0"/>
    </w:pPr>
    <w:rPr>
      <w:rFonts w:ascii="Arial Unicode MS" w:eastAsia="Arial Unicode MS" w:cs="Arial Unicode MS" w:hAnsiTheme="minorHAnsi"/>
      <w:color w:val="000000"/>
      <w:kern w:val="0"/>
      <w:sz w:val="24"/>
      <w:szCs w:val="24"/>
      <w:lang w:val="en-US" w:eastAsia="zh-CN" w:bidi="ar-SA"/>
    </w:rPr>
  </w:style>
  <w:style w:type="paragraph" w:styleId="29">
    <w:name w:val="List Paragraph"/>
    <w:basedOn w:val="1"/>
    <w:link w:val="32"/>
    <w:qFormat/>
    <w:uiPriority w:val="34"/>
    <w:pPr>
      <w:adjustRightInd w:val="0"/>
      <w:spacing w:line="360" w:lineRule="atLeast"/>
      <w:ind w:firstLine="420" w:firstLineChars="200"/>
      <w:textAlignment w:val="baseline"/>
    </w:pPr>
    <w:rPr>
      <w:rFonts w:ascii="Calibri" w:hAnsi="Calibri" w:eastAsia="Times New Roman" w:cs="Times New Roman"/>
    </w:rPr>
  </w:style>
  <w:style w:type="character" w:customStyle="1" w:styleId="30">
    <w:name w:val="Subtle Emphasis"/>
    <w:basedOn w:val="15"/>
    <w:qFormat/>
    <w:uiPriority w:val="19"/>
    <w:rPr>
      <w:i/>
      <w:iCs/>
      <w:color w:val="808080"/>
    </w:rPr>
  </w:style>
  <w:style w:type="character" w:customStyle="1" w:styleId="31">
    <w:name w:val="脚注文本 Char"/>
    <w:basedOn w:val="15"/>
    <w:link w:val="10"/>
    <w:semiHidden/>
    <w:qFormat/>
    <w:uiPriority w:val="99"/>
    <w:rPr>
      <w:sz w:val="18"/>
      <w:szCs w:val="18"/>
    </w:rPr>
  </w:style>
  <w:style w:type="character" w:customStyle="1" w:styleId="32">
    <w:name w:val="列出段落 Char"/>
    <w:link w:val="29"/>
    <w:qFormat/>
    <w:uiPriority w:val="1"/>
    <w:rPr>
      <w:rFonts w:ascii="Calibri" w:hAnsi="Calibri" w:eastAsia="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57F9F-0E20-42AD-BA39-4AD7152069D9}">
  <ds:schemaRefs/>
</ds:datastoreItem>
</file>

<file path=docProps/app.xml><?xml version="1.0" encoding="utf-8"?>
<Properties xmlns="http://schemas.openxmlformats.org/officeDocument/2006/extended-properties" xmlns:vt="http://schemas.openxmlformats.org/officeDocument/2006/docPropsVTypes">
  <Template>Normal.dotm</Template>
  <Pages>8</Pages>
  <Words>616</Words>
  <Characters>3516</Characters>
  <Lines>29</Lines>
  <Paragraphs>8</Paragraphs>
  <TotalTime>2</TotalTime>
  <ScaleCrop>false</ScaleCrop>
  <LinksUpToDate>false</LinksUpToDate>
  <CharactersWithSpaces>4124</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2023-03-15T08:30:00Z</dcterms:created>
  <dc:creator>张畅[zhangchang]</dc:creator>
  <cp:lastModifiedBy>xxb19</cp:lastModifiedBy>
  <cp:lastPrinted>2020-10-15T08:19:00Z</cp:lastPrinted>
  <dcterms:modified xsi:type="dcterms:W3CDTF">2023-09-09T03:05:57Z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2052-11.8.2.12080</vt:lpwstr>
  </property>
  <property fmtid="{D5CDD505-2E9C-101B-9397-08002B2CF9AE}" pid="3" name="ICV">
    <vt:lpwstr>7D2095A1DAE848B8B18B4CBF1B2DFDCC</vt:lpwstr>
  </property>
</Properties>
</file>