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监管服务事项办事指南</w:t>
      </w:r>
    </w:p>
    <w:p>
      <w:pPr>
        <w:spacing w:line="560" w:lineRule="exact"/>
        <w:jc w:val="center"/>
        <w:rPr>
          <w:rFonts w:hint="eastAsia" w:ascii="仿宋" w:hAnsi="仿宋" w:eastAsia="仿宋"/>
          <w:b/>
          <w:sz w:val="44"/>
          <w:szCs w:val="44"/>
        </w:rPr>
      </w:pPr>
      <w:r>
        <w:rPr>
          <w:rFonts w:hint="eastAsia" w:ascii="仿宋" w:hAnsi="仿宋" w:eastAsia="仿宋"/>
          <w:b/>
          <w:sz w:val="44"/>
          <w:szCs w:val="44"/>
        </w:rPr>
        <w:t>公开募集基础设施证券投资基金上市申请（上市阶段）</w:t>
      </w:r>
    </w:p>
    <w:p>
      <w:pPr>
        <w:spacing w:line="560" w:lineRule="exact"/>
        <w:jc w:val="center"/>
        <w:rPr>
          <w:rFonts w:hint="eastAsia" w:ascii="仿宋" w:hAnsi="仿宋" w:eastAsia="仿宋"/>
          <w:b/>
          <w:sz w:val="44"/>
          <w:szCs w:val="44"/>
        </w:rPr>
      </w:pPr>
    </w:p>
    <w:p>
      <w:pPr>
        <w:spacing w:line="560" w:lineRule="exact"/>
        <w:jc w:val="center"/>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目录</w:t>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asciiTheme="minorEastAsia" w:hAnsiTheme="minorEastAsia"/>
          <w:b/>
          <w:sz w:val="36"/>
          <w:szCs w:val="24"/>
        </w:rPr>
        <w:fldChar w:fldCharType="begin"/>
      </w:r>
      <w:r>
        <w:rPr>
          <w:rFonts w:asciiTheme="minorEastAsia" w:hAnsiTheme="minorEastAsia"/>
          <w:b/>
          <w:sz w:val="36"/>
          <w:szCs w:val="24"/>
        </w:rPr>
        <w:instrText xml:space="preserve"> TOC \o "1-3" \h \z \u </w:instrText>
      </w:r>
      <w:r>
        <w:rPr>
          <w:rFonts w:asciiTheme="minorEastAsia" w:hAnsiTheme="minorEastAsia"/>
          <w:b/>
          <w:sz w:val="36"/>
          <w:szCs w:val="24"/>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"_Toc55896161"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一、事项名称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_Toc55896161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"_Toc55896162"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二、规则依据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_Toc55896162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"_Toc55896163"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三、受理部门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_Toc55896163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"_Toc55896164"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四、办理部门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_Toc55896164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"_Toc55896165"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五、收费标准及依据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_Toc55896165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"_Toc55896166"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（一）收费标准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_Toc55896166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"_Toc55896167"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（二）收费依据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_Toc55896167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"_Toc55896168"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六、办理时限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_Toc55896168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"_Toc55896169"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七、申请材料清单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_Toc55896169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"_Toc55896170"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八、申请接收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_Toc55896170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"_Toc55896171"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九、办理流程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_Toc55896171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"_Toc55896172"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十、办理结果及送达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_Toc55896172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"_Toc55896174" </w:instrText>
      </w:r>
      <w:r>
        <w:rPr>
          <w:rFonts w:hint="eastAsia" w:ascii="仿宋" w:hAnsi="仿宋" w:eastAsia="仿宋" w:cs="仿宋"/>
          <w:sz w:val="28"/>
          <w:szCs w:val="28"/>
        </w:rPr>
        <w:fldChar w:fldCharType="separate"/>
      </w:r>
      <w:r>
        <w:rPr>
          <w:rStyle w:val="11"/>
          <w:rFonts w:hint="eastAsia" w:ascii="仿宋" w:hAnsi="仿宋" w:eastAsia="仿宋" w:cs="仿宋"/>
          <w:bCs/>
          <w:sz w:val="28"/>
          <w:szCs w:val="28"/>
        </w:rPr>
        <w:t>十一、咨询途径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_Toc55896174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"_Toc55896175" </w:instrText>
      </w:r>
      <w:r>
        <w:rPr>
          <w:rFonts w:hint="eastAsia" w:ascii="仿宋" w:hAnsi="仿宋" w:eastAsia="仿宋" w:cs="仿宋"/>
          <w:sz w:val="28"/>
          <w:szCs w:val="28"/>
        </w:rPr>
        <w:fldChar w:fldCharType="separate"/>
      </w:r>
      <w:r>
        <w:rPr>
          <w:rStyle w:val="11"/>
          <w:rFonts w:hint="eastAsia" w:ascii="仿宋" w:hAnsi="仿宋" w:eastAsia="仿宋" w:cs="仿宋"/>
          <w:bCs/>
          <w:sz w:val="28"/>
          <w:szCs w:val="28"/>
        </w:rPr>
        <w:t>十二、办理地点和时间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_Toc55896175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"_Toc55896176" </w:instrText>
      </w:r>
      <w:r>
        <w:rPr>
          <w:rFonts w:hint="eastAsia" w:ascii="仿宋" w:hAnsi="仿宋" w:eastAsia="仿宋" w:cs="仿宋"/>
          <w:sz w:val="28"/>
          <w:szCs w:val="28"/>
        </w:rPr>
        <w:fldChar w:fldCharType="separate"/>
      </w:r>
      <w:r>
        <w:rPr>
          <w:rStyle w:val="11"/>
          <w:rFonts w:hint="eastAsia" w:ascii="仿宋" w:hAnsi="仿宋" w:eastAsia="仿宋" w:cs="仿宋"/>
          <w:bCs/>
          <w:sz w:val="28"/>
          <w:szCs w:val="28"/>
        </w:rPr>
        <w:t>（一）办理地点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_Toc55896176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400" w:lineRule="exact"/>
        <w:ind w:left="0" w:leftChars="0" w:firstLine="560" w:firstLineChars="200"/>
        <w:textAlignment w:val="auto"/>
        <w:rPr>
          <w:rFonts w:asciiTheme="minorEastAsia" w:hAnsiTheme="minorEastAsia"/>
          <w:sz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"_Toc55896177" </w:instrText>
      </w:r>
      <w:r>
        <w:rPr>
          <w:rFonts w:hint="eastAsia" w:ascii="仿宋" w:hAnsi="仿宋" w:eastAsia="仿宋" w:cs="仿宋"/>
          <w:sz w:val="28"/>
          <w:szCs w:val="28"/>
        </w:rPr>
        <w:fldChar w:fldCharType="separate"/>
      </w:r>
      <w:r>
        <w:rPr>
          <w:rStyle w:val="11"/>
          <w:rFonts w:hint="eastAsia" w:ascii="仿宋" w:hAnsi="仿宋" w:eastAsia="仿宋" w:cs="仿宋"/>
          <w:bCs/>
          <w:sz w:val="28"/>
          <w:szCs w:val="28"/>
        </w:rPr>
        <w:t>（二）办理时间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_Toc55896177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spacing w:line="560" w:lineRule="exact"/>
        <w:jc w:val="center"/>
        <w:rPr>
          <w:rFonts w:ascii="仿宋" w:hAnsi="仿宋" w:eastAsia="仿宋"/>
          <w:b/>
          <w:sz w:val="44"/>
          <w:szCs w:val="44"/>
        </w:rPr>
      </w:pPr>
      <w:r>
        <w:rPr>
          <w:rFonts w:asciiTheme="minorEastAsia" w:hAnsiTheme="minorEastAsia"/>
          <w:b/>
          <w:sz w:val="36"/>
          <w:szCs w:val="24"/>
        </w:rPr>
        <w:fldChar w:fldCharType="end"/>
      </w:r>
    </w:p>
    <w:p>
      <w:pPr>
        <w:pStyle w:val="2"/>
        <w:sectPr>
          <w:footerReference r:id="rId3" w:type="default"/>
          <w:pgSz w:w="11906" w:h="16838"/>
          <w:pgMar w:top="1440" w:right="1800" w:bottom="1440" w:left="1800" w:header="851" w:footer="992" w:gutter="0"/>
          <w:cols w:space="425" w:num="1"/>
          <w:docGrid w:type="lines" w:linePitch="312" w:charSpace="0"/>
        </w:sectPr>
      </w:pPr>
    </w:p>
    <w:p>
      <w:pPr>
        <w:pStyle w:val="2"/>
        <w:pageBreakBefore w:val="0"/>
        <w:widowControl w:val="0"/>
        <w:kinsoku/>
        <w:wordWrap/>
        <w:overflowPunct/>
        <w:topLinePunct w:val="0"/>
        <w:autoSpaceDE/>
        <w:autoSpaceDN/>
        <w:bidi w:val="0"/>
        <w:adjustRightInd/>
        <w:snapToGrid/>
        <w:spacing w:line="560" w:lineRule="exact"/>
        <w:ind w:left="0" w:leftChars="0" w:firstLine="640" w:firstLineChars="200"/>
        <w:textAlignment w:val="auto"/>
      </w:pPr>
      <w:bookmarkStart w:id="0" w:name="_Toc55896161"/>
      <w:r>
        <w:rPr>
          <w:rFonts w:hint="eastAsia"/>
        </w:rPr>
        <w:t>一、事项名称</w:t>
      </w:r>
      <w:bookmarkEnd w:id="0"/>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公开募集基础设施证券投资基金上市申请（上市阶段）</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sz w:val="32"/>
          <w:szCs w:val="32"/>
        </w:rPr>
      </w:pPr>
    </w:p>
    <w:p>
      <w:pPr>
        <w:pStyle w:val="2"/>
        <w:pageBreakBefore w:val="0"/>
        <w:widowControl w:val="0"/>
        <w:kinsoku/>
        <w:wordWrap/>
        <w:overflowPunct/>
        <w:topLinePunct w:val="0"/>
        <w:autoSpaceDE/>
        <w:autoSpaceDN/>
        <w:bidi w:val="0"/>
        <w:adjustRightInd/>
        <w:snapToGrid/>
        <w:spacing w:line="560" w:lineRule="exact"/>
        <w:ind w:left="0" w:leftChars="0" w:firstLine="640" w:firstLineChars="200"/>
        <w:textAlignment w:val="auto"/>
      </w:pPr>
      <w:bookmarkStart w:id="1" w:name="_Toc54681460"/>
      <w:bookmarkStart w:id="2" w:name="_Toc55896162"/>
      <w:r>
        <w:rPr>
          <w:rFonts w:hint="eastAsia"/>
        </w:rPr>
        <w:t>二、规则依据</w:t>
      </w:r>
      <w:bookmarkEnd w:id="1"/>
      <w:bookmarkEnd w:id="2"/>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《深圳证券交易所证券投资基金上市规则》（以下简称《上市规则》）</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《深圳证券交易所公开募集基础设施证券投资基金业务指南第1号——发售上市业务办理》</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p>
    <w:p>
      <w:pPr>
        <w:pStyle w:val="2"/>
        <w:pageBreakBefore w:val="0"/>
        <w:widowControl w:val="0"/>
        <w:kinsoku/>
        <w:wordWrap/>
        <w:overflowPunct/>
        <w:topLinePunct w:val="0"/>
        <w:autoSpaceDE/>
        <w:autoSpaceDN/>
        <w:bidi w:val="0"/>
        <w:adjustRightInd/>
        <w:snapToGrid/>
        <w:spacing w:line="560" w:lineRule="exact"/>
        <w:ind w:left="0" w:leftChars="0" w:firstLine="640" w:firstLineChars="200"/>
        <w:textAlignment w:val="auto"/>
      </w:pPr>
      <w:bookmarkStart w:id="3" w:name="_Toc54681461"/>
      <w:bookmarkStart w:id="4" w:name="_Toc55896163"/>
      <w:r>
        <w:rPr>
          <w:rFonts w:hint="eastAsia"/>
        </w:rPr>
        <w:t>三、受理部门</w:t>
      </w:r>
      <w:bookmarkEnd w:id="3"/>
      <w:bookmarkEnd w:id="4"/>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深圳证券交易所基金管理部</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p>
    <w:p>
      <w:pPr>
        <w:pStyle w:val="2"/>
        <w:pageBreakBefore w:val="0"/>
        <w:widowControl w:val="0"/>
        <w:kinsoku/>
        <w:wordWrap/>
        <w:overflowPunct/>
        <w:topLinePunct w:val="0"/>
        <w:autoSpaceDE/>
        <w:autoSpaceDN/>
        <w:bidi w:val="0"/>
        <w:adjustRightInd/>
        <w:snapToGrid/>
        <w:spacing w:line="560" w:lineRule="exact"/>
        <w:ind w:left="0" w:leftChars="0" w:firstLine="640" w:firstLineChars="200"/>
        <w:textAlignment w:val="auto"/>
      </w:pPr>
      <w:bookmarkStart w:id="5" w:name="_Toc55896164"/>
      <w:bookmarkStart w:id="6" w:name="_Toc54681462"/>
      <w:r>
        <w:rPr>
          <w:rFonts w:hint="eastAsia"/>
        </w:rPr>
        <w:t>四、办理部门</w:t>
      </w:r>
      <w:bookmarkEnd w:id="5"/>
      <w:bookmarkEnd w:id="6"/>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深圳证券交易所基金管理部</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p>
    <w:p>
      <w:pPr>
        <w:pStyle w:val="2"/>
        <w:pageBreakBefore w:val="0"/>
        <w:widowControl w:val="0"/>
        <w:kinsoku/>
        <w:wordWrap/>
        <w:overflowPunct/>
        <w:topLinePunct w:val="0"/>
        <w:autoSpaceDE/>
        <w:autoSpaceDN/>
        <w:bidi w:val="0"/>
        <w:adjustRightInd/>
        <w:snapToGrid/>
        <w:spacing w:line="560" w:lineRule="exact"/>
        <w:ind w:left="0" w:leftChars="0" w:firstLine="640" w:firstLineChars="200"/>
        <w:textAlignment w:val="auto"/>
      </w:pPr>
      <w:bookmarkStart w:id="7" w:name="_Toc55896165"/>
      <w:bookmarkStart w:id="8" w:name="_Toc53666995"/>
      <w:r>
        <w:rPr>
          <w:rFonts w:hint="eastAsia"/>
        </w:rPr>
        <w:t>五、收费标准及依据</w:t>
      </w:r>
      <w:bookmarkEnd w:id="7"/>
      <w:bookmarkEnd w:id="8"/>
    </w:p>
    <w:p>
      <w:pPr>
        <w:pStyle w:val="3"/>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b/>
          <w:bCs w:val="0"/>
        </w:rPr>
      </w:pPr>
      <w:bookmarkStart w:id="9" w:name="_Toc55896166"/>
      <w:bookmarkStart w:id="10" w:name="_Toc53666996"/>
      <w:r>
        <w:rPr>
          <w:rFonts w:hint="eastAsia"/>
          <w:b/>
          <w:bCs w:val="0"/>
        </w:rPr>
        <w:t>（一）收费标准</w:t>
      </w:r>
      <w:bookmarkEnd w:id="9"/>
      <w:bookmarkEnd w:id="10"/>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本所暂免收取公开募集基础设施证券投资基金上市初费、上市月费。</w:t>
      </w:r>
    </w:p>
    <w:p>
      <w:pPr>
        <w:pStyle w:val="3"/>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b/>
          <w:bCs w:val="0"/>
        </w:rPr>
      </w:pPr>
      <w:bookmarkStart w:id="42" w:name="_GoBack"/>
      <w:bookmarkEnd w:id="42"/>
      <w:bookmarkStart w:id="11" w:name="_Toc55896167"/>
      <w:bookmarkStart w:id="12" w:name="_Toc53666997"/>
      <w:r>
        <w:rPr>
          <w:rFonts w:hint="eastAsia"/>
          <w:b/>
          <w:bCs w:val="0"/>
        </w:rPr>
        <w:t>（二）收费依据</w:t>
      </w:r>
      <w:bookmarkEnd w:id="11"/>
      <w:bookmarkEnd w:id="12"/>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《关于发布公开募集基础设施证券投资基金配套业务规则的通知》</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p>
    <w:p>
      <w:pPr>
        <w:pStyle w:val="2"/>
        <w:pageBreakBefore w:val="0"/>
        <w:widowControl w:val="0"/>
        <w:kinsoku/>
        <w:wordWrap/>
        <w:overflowPunct/>
        <w:topLinePunct w:val="0"/>
        <w:autoSpaceDE/>
        <w:autoSpaceDN/>
        <w:bidi w:val="0"/>
        <w:adjustRightInd/>
        <w:snapToGrid/>
        <w:spacing w:line="560" w:lineRule="exact"/>
        <w:ind w:left="0" w:leftChars="0" w:firstLine="640" w:firstLineChars="200"/>
        <w:textAlignment w:val="auto"/>
      </w:pPr>
      <w:bookmarkStart w:id="13" w:name="_Toc55896168"/>
      <w:bookmarkStart w:id="14" w:name="_Toc54681463"/>
      <w:r>
        <w:rPr>
          <w:rFonts w:hint="eastAsia"/>
        </w:rPr>
        <w:t>六、办理时限</w:t>
      </w:r>
      <w:bookmarkEnd w:id="13"/>
      <w:bookmarkEnd w:id="14"/>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收到完备申请材料之日起7个交易日内</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p>
    <w:p>
      <w:pPr>
        <w:pStyle w:val="2"/>
        <w:pageBreakBefore w:val="0"/>
        <w:widowControl w:val="0"/>
        <w:kinsoku/>
        <w:wordWrap/>
        <w:overflowPunct/>
        <w:topLinePunct w:val="0"/>
        <w:autoSpaceDE/>
        <w:autoSpaceDN/>
        <w:bidi w:val="0"/>
        <w:adjustRightInd/>
        <w:snapToGrid/>
        <w:spacing w:line="560" w:lineRule="exact"/>
        <w:ind w:left="0" w:leftChars="0" w:firstLine="640" w:firstLineChars="200"/>
        <w:textAlignment w:val="auto"/>
      </w:pPr>
      <w:bookmarkStart w:id="15" w:name="_Toc54681464"/>
      <w:bookmarkStart w:id="16" w:name="_Toc55896169"/>
      <w:r>
        <w:rPr>
          <w:rFonts w:hint="eastAsia"/>
        </w:rPr>
        <w:t>七、申请材料清单</w:t>
      </w:r>
      <w:bookmarkEnd w:id="15"/>
      <w:bookmarkEnd w:id="16"/>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 xml:space="preserve">. </w:t>
      </w:r>
      <w:r>
        <w:rPr>
          <w:rFonts w:hint="eastAsia" w:ascii="仿宋" w:hAnsi="仿宋" w:eastAsia="仿宋"/>
          <w:sz w:val="32"/>
          <w:szCs w:val="32"/>
        </w:rPr>
        <w:t>《上市申请书》（加盖公司公章）；</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 xml:space="preserve">. </w:t>
      </w:r>
      <w:r>
        <w:rPr>
          <w:rFonts w:hint="eastAsia" w:ascii="仿宋" w:hAnsi="仿宋" w:eastAsia="仿宋"/>
          <w:sz w:val="32"/>
          <w:szCs w:val="32"/>
        </w:rPr>
        <w:t>基金募集资金验资报告；</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 xml:space="preserve">. </w:t>
      </w:r>
      <w:r>
        <w:rPr>
          <w:rFonts w:hint="eastAsia" w:ascii="仿宋" w:hAnsi="仿宋" w:eastAsia="仿宋"/>
          <w:sz w:val="32"/>
          <w:szCs w:val="32"/>
        </w:rPr>
        <w:t>证监会对基金备案的确认文件；</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val="en-US" w:eastAsia="zh-CN"/>
        </w:rPr>
        <w:t xml:space="preserve">. </w:t>
      </w:r>
      <w:r>
        <w:rPr>
          <w:rFonts w:hint="eastAsia" w:ascii="仿宋" w:hAnsi="仿宋" w:eastAsia="仿宋"/>
          <w:sz w:val="32"/>
          <w:szCs w:val="32"/>
        </w:rPr>
        <w:t>基金上市交易公告书；</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5</w:t>
      </w:r>
      <w:r>
        <w:rPr>
          <w:rFonts w:hint="eastAsia" w:ascii="仿宋" w:hAnsi="仿宋" w:eastAsia="仿宋"/>
          <w:sz w:val="32"/>
          <w:szCs w:val="32"/>
          <w:lang w:val="en-US" w:eastAsia="zh-CN"/>
        </w:rPr>
        <w:t xml:space="preserve">. </w:t>
      </w:r>
      <w:r>
        <w:rPr>
          <w:rFonts w:hint="eastAsia" w:ascii="仿宋" w:hAnsi="仿宋" w:eastAsia="仿宋"/>
          <w:sz w:val="32"/>
          <w:szCs w:val="32"/>
        </w:rPr>
        <w:t>经中国结算盖章确认的基金持有人结构申报表（需中国结算盖章）；</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6</w:t>
      </w:r>
      <w:r>
        <w:rPr>
          <w:rFonts w:hint="eastAsia" w:ascii="仿宋" w:hAnsi="仿宋" w:eastAsia="仿宋"/>
          <w:sz w:val="32"/>
          <w:szCs w:val="32"/>
          <w:lang w:val="en-US" w:eastAsia="zh-CN"/>
        </w:rPr>
        <w:t xml:space="preserve">. </w:t>
      </w:r>
      <w:r>
        <w:rPr>
          <w:rFonts w:hint="eastAsia" w:ascii="仿宋" w:hAnsi="仿宋" w:eastAsia="仿宋"/>
          <w:sz w:val="32"/>
          <w:szCs w:val="32"/>
        </w:rPr>
        <w:t>深圳结算出具的基金场内证券持有人名册；</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7</w:t>
      </w:r>
      <w:r>
        <w:rPr>
          <w:rFonts w:hint="eastAsia" w:ascii="仿宋" w:hAnsi="仿宋" w:eastAsia="仿宋"/>
          <w:sz w:val="32"/>
          <w:szCs w:val="32"/>
          <w:lang w:val="en-US" w:eastAsia="zh-CN"/>
        </w:rPr>
        <w:t xml:space="preserve">. </w:t>
      </w:r>
      <w:r>
        <w:rPr>
          <w:rFonts w:hint="eastAsia" w:ascii="仿宋" w:hAnsi="仿宋" w:eastAsia="仿宋"/>
          <w:sz w:val="32"/>
          <w:szCs w:val="32"/>
        </w:rPr>
        <w:t>上市交易公告书中财务及投资组合部分经托管人确认的盖章件；</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8</w:t>
      </w:r>
      <w:r>
        <w:rPr>
          <w:rFonts w:hint="eastAsia" w:ascii="仿宋" w:hAnsi="仿宋" w:eastAsia="仿宋"/>
          <w:sz w:val="32"/>
          <w:szCs w:val="32"/>
          <w:lang w:val="en-US" w:eastAsia="zh-CN"/>
        </w:rPr>
        <w:t xml:space="preserve">. </w:t>
      </w:r>
      <w:r>
        <w:rPr>
          <w:rFonts w:hint="eastAsia" w:ascii="仿宋" w:hAnsi="仿宋" w:eastAsia="仿宋"/>
          <w:sz w:val="32"/>
          <w:szCs w:val="32"/>
        </w:rPr>
        <w:t>已生效的基础设施REITs认购基础设施资产支持证券的认购协议（加盖公司公章）；</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9</w:t>
      </w:r>
      <w:r>
        <w:rPr>
          <w:rFonts w:hint="eastAsia" w:ascii="仿宋" w:hAnsi="仿宋" w:eastAsia="仿宋"/>
          <w:sz w:val="32"/>
          <w:szCs w:val="32"/>
          <w:lang w:val="en-US" w:eastAsia="zh-CN"/>
        </w:rPr>
        <w:t xml:space="preserve">. </w:t>
      </w:r>
      <w:r>
        <w:rPr>
          <w:rFonts w:hint="eastAsia" w:ascii="仿宋" w:hAnsi="仿宋" w:eastAsia="仿宋"/>
          <w:sz w:val="32"/>
          <w:szCs w:val="32"/>
        </w:rPr>
        <w:t>基础设施REITs所投资专项计划的成立公告；</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10</w:t>
      </w:r>
      <w:r>
        <w:rPr>
          <w:rFonts w:hint="eastAsia" w:ascii="仿宋" w:hAnsi="仿宋" w:eastAsia="仿宋"/>
          <w:sz w:val="32"/>
          <w:szCs w:val="32"/>
          <w:lang w:val="en-US" w:eastAsia="zh-CN"/>
        </w:rPr>
        <w:t xml:space="preserve">. </w:t>
      </w:r>
      <w:r>
        <w:rPr>
          <w:rFonts w:hint="eastAsia" w:ascii="仿宋" w:hAnsi="仿宋" w:eastAsia="仿宋"/>
          <w:sz w:val="32"/>
          <w:szCs w:val="32"/>
        </w:rPr>
        <w:t>基础设施REITs所投资专项计划已生效的基础资产买卖协议（加盖公司公章）；</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11</w:t>
      </w:r>
      <w:r>
        <w:rPr>
          <w:rFonts w:hint="eastAsia" w:ascii="仿宋" w:hAnsi="仿宋" w:eastAsia="仿宋"/>
          <w:sz w:val="32"/>
          <w:szCs w:val="32"/>
          <w:lang w:val="en-US" w:eastAsia="zh-CN"/>
        </w:rPr>
        <w:t xml:space="preserve">. </w:t>
      </w:r>
      <w:r>
        <w:rPr>
          <w:rFonts w:hint="eastAsia" w:ascii="仿宋" w:hAnsi="仿宋" w:eastAsia="仿宋"/>
          <w:sz w:val="32"/>
          <w:szCs w:val="32"/>
        </w:rPr>
        <w:t>持有份额10%及以上基金持有人情况表；</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12</w:t>
      </w:r>
      <w:r>
        <w:rPr>
          <w:rFonts w:hint="eastAsia" w:ascii="仿宋" w:hAnsi="仿宋" w:eastAsia="仿宋"/>
          <w:sz w:val="32"/>
          <w:szCs w:val="32"/>
          <w:lang w:val="en-US" w:eastAsia="zh-CN"/>
        </w:rPr>
        <w:t xml:space="preserve">. </w:t>
      </w:r>
      <w:r>
        <w:rPr>
          <w:rFonts w:hint="eastAsia" w:ascii="仿宋" w:hAnsi="仿宋" w:eastAsia="仿宋"/>
          <w:sz w:val="32"/>
          <w:szCs w:val="32"/>
        </w:rPr>
        <w:t>发售后至上市前发生的可能对基础设施基金投资价值及投资决策判断有重大影响事项的说明（如适用）。</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p>
    <w:p>
      <w:pPr>
        <w:pStyle w:val="2"/>
        <w:pageBreakBefore w:val="0"/>
        <w:widowControl w:val="0"/>
        <w:kinsoku/>
        <w:wordWrap/>
        <w:overflowPunct/>
        <w:topLinePunct w:val="0"/>
        <w:autoSpaceDE/>
        <w:autoSpaceDN/>
        <w:bidi w:val="0"/>
        <w:adjustRightInd/>
        <w:snapToGrid/>
        <w:spacing w:line="560" w:lineRule="exact"/>
        <w:ind w:left="0" w:leftChars="0" w:firstLine="640" w:firstLineChars="200"/>
        <w:textAlignment w:val="auto"/>
      </w:pPr>
      <w:bookmarkStart w:id="17" w:name="_Toc55896170"/>
      <w:bookmarkStart w:id="18" w:name="_Toc54681465"/>
      <w:r>
        <w:rPr>
          <w:rFonts w:hint="eastAsia"/>
        </w:rPr>
        <w:t>八、申请接收</w:t>
      </w:r>
      <w:bookmarkEnd w:id="17"/>
      <w:bookmarkEnd w:id="18"/>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深交所基金业务专区受理申请，接受电子版材料。</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p>
    <w:p>
      <w:pPr>
        <w:pStyle w:val="2"/>
        <w:pageBreakBefore w:val="0"/>
        <w:widowControl w:val="0"/>
        <w:kinsoku/>
        <w:wordWrap/>
        <w:overflowPunct/>
        <w:topLinePunct w:val="0"/>
        <w:autoSpaceDE/>
        <w:autoSpaceDN/>
        <w:bidi w:val="0"/>
        <w:adjustRightInd/>
        <w:snapToGrid/>
        <w:spacing w:line="560" w:lineRule="exact"/>
        <w:ind w:left="0" w:leftChars="0" w:firstLine="640" w:firstLineChars="200"/>
        <w:textAlignment w:val="auto"/>
      </w:pPr>
      <w:bookmarkStart w:id="19" w:name="_Toc55896171"/>
      <w:bookmarkStart w:id="20" w:name="_Toc54681466"/>
      <w:r>
        <w:rPr>
          <w:rFonts w:hint="eastAsia"/>
        </w:rPr>
        <w:t>九、办理流程</w:t>
      </w:r>
      <w:bookmarkEnd w:id="19"/>
      <w:bookmarkEnd w:id="20"/>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lang w:val="en-US" w:eastAsia="zh-CN"/>
        </w:rPr>
        <w:t xml:space="preserve">. </w:t>
      </w:r>
      <w:r>
        <w:rPr>
          <w:rFonts w:hint="eastAsia" w:ascii="仿宋" w:hAnsi="仿宋" w:eastAsia="仿宋"/>
          <w:sz w:val="32"/>
          <w:szCs w:val="32"/>
        </w:rPr>
        <w:t>基金管理人在完成基金发行登记手续后通过基金业务专区向本所提交上市申请材料。</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 xml:space="preserve">. </w:t>
      </w:r>
      <w:r>
        <w:rPr>
          <w:rFonts w:ascii="仿宋" w:hAnsi="仿宋" w:eastAsia="仿宋"/>
          <w:sz w:val="32"/>
          <w:szCs w:val="32"/>
        </w:rPr>
        <w:t>本所按照</w:t>
      </w:r>
      <w:r>
        <w:rPr>
          <w:rFonts w:hint="eastAsia" w:ascii="仿宋" w:hAnsi="仿宋" w:eastAsia="仿宋"/>
          <w:sz w:val="32"/>
          <w:szCs w:val="32"/>
        </w:rPr>
        <w:t>《</w:t>
      </w:r>
      <w:r>
        <w:rPr>
          <w:rFonts w:ascii="仿宋" w:hAnsi="仿宋" w:eastAsia="仿宋"/>
          <w:sz w:val="32"/>
          <w:szCs w:val="32"/>
        </w:rPr>
        <w:t>上市规则》的要求对</w:t>
      </w:r>
      <w:r>
        <w:rPr>
          <w:rFonts w:hint="eastAsia" w:ascii="仿宋" w:hAnsi="仿宋" w:eastAsia="仿宋"/>
          <w:sz w:val="32"/>
          <w:szCs w:val="32"/>
        </w:rPr>
        <w:t>基础设施REITs</w:t>
      </w:r>
      <w:r>
        <w:rPr>
          <w:rFonts w:ascii="仿宋" w:hAnsi="仿宋" w:eastAsia="仿宋"/>
          <w:sz w:val="32"/>
          <w:szCs w:val="32"/>
        </w:rPr>
        <w:t>上市申请材料进行审查，并自收到完备上市申请文件之日起七个交易日内作出是否同意上市的决定</w:t>
      </w:r>
      <w:r>
        <w:rPr>
          <w:rFonts w:hint="eastAsia" w:ascii="仿宋" w:hAnsi="仿宋" w:eastAsia="仿宋"/>
          <w:sz w:val="32"/>
          <w:szCs w:val="32"/>
        </w:rPr>
        <w:t>。</w:t>
      </w:r>
      <w:r>
        <w:rPr>
          <w:rFonts w:ascii="仿宋" w:hAnsi="仿宋" w:eastAsia="仿宋"/>
          <w:sz w:val="32"/>
          <w:szCs w:val="32"/>
        </w:rPr>
        <w:t xml:space="preserve"> </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ascii="仿宋" w:hAnsi="仿宋" w:eastAsia="仿宋"/>
          <w:sz w:val="32"/>
          <w:szCs w:val="32"/>
        </w:rPr>
        <w:t>基金管理人未按要求提交文件的，应当补充材料。基金管理人补充材料期间不计入本所有关安排上市日期的期限内</w:t>
      </w:r>
      <w:r>
        <w:rPr>
          <w:rFonts w:hint="eastAsia" w:ascii="仿宋" w:hAnsi="仿宋" w:eastAsia="仿宋"/>
          <w:sz w:val="32"/>
          <w:szCs w:val="32"/>
        </w:rPr>
        <w:t>。</w:t>
      </w:r>
      <w:r>
        <w:rPr>
          <w:rFonts w:ascii="仿宋" w:hAnsi="仿宋" w:eastAsia="仿宋"/>
          <w:sz w:val="32"/>
          <w:szCs w:val="32"/>
        </w:rPr>
        <w:t xml:space="preserve"> </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 xml:space="preserve">. </w:t>
      </w:r>
      <w:r>
        <w:rPr>
          <w:rFonts w:ascii="仿宋" w:hAnsi="仿宋" w:eastAsia="仿宋"/>
          <w:sz w:val="32"/>
          <w:szCs w:val="32"/>
        </w:rPr>
        <w:t>本所在安排</w:t>
      </w:r>
      <w:r>
        <w:rPr>
          <w:rFonts w:hint="eastAsia" w:ascii="仿宋" w:hAnsi="仿宋" w:eastAsia="仿宋"/>
          <w:sz w:val="32"/>
          <w:szCs w:val="32"/>
        </w:rPr>
        <w:t>基础设施REITs</w:t>
      </w:r>
      <w:r>
        <w:rPr>
          <w:rFonts w:ascii="仿宋" w:hAnsi="仿宋" w:eastAsia="仿宋"/>
          <w:sz w:val="32"/>
          <w:szCs w:val="32"/>
        </w:rPr>
        <w:t>上市日期后二个交易日内通知基金管理人</w:t>
      </w:r>
      <w:r>
        <w:rPr>
          <w:rFonts w:hint="eastAsia" w:ascii="仿宋" w:hAnsi="仿宋" w:eastAsia="仿宋"/>
          <w:sz w:val="32"/>
          <w:szCs w:val="32"/>
        </w:rPr>
        <w:t>。</w:t>
      </w:r>
      <w:r>
        <w:rPr>
          <w:rFonts w:ascii="仿宋" w:hAnsi="仿宋" w:eastAsia="仿宋"/>
          <w:sz w:val="32"/>
          <w:szCs w:val="32"/>
        </w:rPr>
        <w:t xml:space="preserve"> </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val="en-US" w:eastAsia="zh-CN"/>
        </w:rPr>
        <w:t xml:space="preserve">. </w:t>
      </w:r>
      <w:r>
        <w:rPr>
          <w:rFonts w:ascii="仿宋" w:hAnsi="仿宋" w:eastAsia="仿宋"/>
          <w:sz w:val="32"/>
          <w:szCs w:val="32"/>
        </w:rPr>
        <w:t>基金管理人</w:t>
      </w:r>
      <w:r>
        <w:rPr>
          <w:rFonts w:hint="eastAsia" w:ascii="仿宋" w:hAnsi="仿宋" w:eastAsia="仿宋"/>
          <w:sz w:val="32"/>
          <w:szCs w:val="32"/>
        </w:rPr>
        <w:t>收到通知后，</w:t>
      </w:r>
      <w:r>
        <w:rPr>
          <w:rFonts w:ascii="仿宋" w:hAnsi="仿宋" w:eastAsia="仿宋"/>
          <w:sz w:val="32"/>
          <w:szCs w:val="32"/>
        </w:rPr>
        <w:t>应当在</w:t>
      </w:r>
      <w:r>
        <w:rPr>
          <w:rFonts w:hint="eastAsia" w:ascii="仿宋" w:hAnsi="仿宋" w:eastAsia="仿宋"/>
          <w:sz w:val="32"/>
          <w:szCs w:val="32"/>
        </w:rPr>
        <w:t>基础设施REITs</w:t>
      </w:r>
      <w:r>
        <w:rPr>
          <w:rFonts w:ascii="仿宋" w:hAnsi="仿宋" w:eastAsia="仿宋"/>
          <w:sz w:val="32"/>
          <w:szCs w:val="32"/>
        </w:rPr>
        <w:t>上市前三个交易日披露上市交易公告书。</w:t>
      </w:r>
    </w:p>
    <w:p>
      <w:pPr>
        <w:pageBreakBefore w:val="0"/>
        <w:widowControl w:val="0"/>
        <w:kinsoku/>
        <w:wordWrap/>
        <w:overflowPunct/>
        <w:topLinePunct w:val="0"/>
        <w:autoSpaceDE/>
        <w:autoSpaceDN/>
        <w:bidi w:val="0"/>
        <w:adjustRightInd/>
        <w:snapToGrid/>
        <w:spacing w:line="560" w:lineRule="exact"/>
        <w:ind w:left="0" w:leftChars="0" w:firstLine="420" w:firstLineChars="200"/>
        <w:textAlignment w:val="auto"/>
      </w:pPr>
    </w:p>
    <w:p>
      <w:pPr>
        <w:pStyle w:val="2"/>
        <w:pageBreakBefore w:val="0"/>
        <w:widowControl w:val="0"/>
        <w:kinsoku/>
        <w:wordWrap/>
        <w:overflowPunct/>
        <w:topLinePunct w:val="0"/>
        <w:autoSpaceDE/>
        <w:autoSpaceDN/>
        <w:bidi w:val="0"/>
        <w:adjustRightInd/>
        <w:snapToGrid/>
        <w:spacing w:line="560" w:lineRule="exact"/>
        <w:ind w:left="0" w:leftChars="0" w:firstLine="640" w:firstLineChars="200"/>
        <w:textAlignment w:val="auto"/>
      </w:pPr>
      <w:bookmarkStart w:id="21" w:name="_Toc55896172"/>
      <w:bookmarkStart w:id="22" w:name="_Toc54681467"/>
      <w:r>
        <w:rPr>
          <w:rFonts w:hint="eastAsia"/>
        </w:rPr>
        <w:t>十、办理结果及送达</w:t>
      </w:r>
      <w:bookmarkEnd w:id="21"/>
      <w:bookmarkEnd w:id="22"/>
    </w:p>
    <w:p>
      <w:pPr>
        <w:pStyle w:val="2"/>
        <w:pageBreakBefore w:val="0"/>
        <w:widowControl w:val="0"/>
        <w:kinsoku/>
        <w:wordWrap/>
        <w:overflowPunct/>
        <w:topLinePunct w:val="0"/>
        <w:autoSpaceDE/>
        <w:autoSpaceDN/>
        <w:bidi w:val="0"/>
        <w:adjustRightInd/>
        <w:snapToGrid/>
        <w:spacing w:line="560" w:lineRule="exact"/>
        <w:ind w:left="0" w:leftChars="0" w:firstLine="640" w:firstLineChars="200"/>
        <w:textAlignment w:val="auto"/>
      </w:pPr>
      <w:bookmarkStart w:id="23" w:name="_Toc54975308"/>
      <w:bookmarkStart w:id="24" w:name="_Toc55896173"/>
      <w:bookmarkStart w:id="25" w:name="_Toc54975369"/>
      <w:r>
        <w:rPr>
          <w:rFonts w:hint="eastAsia" w:ascii="仿宋" w:hAnsi="仿宋" w:eastAsia="仿宋"/>
        </w:rPr>
        <w:t>基金管理人可通过本所基金业务专区查看办理结果，获取《上市通知书》。</w:t>
      </w:r>
      <w:bookmarkEnd w:id="23"/>
      <w:bookmarkEnd w:id="24"/>
      <w:bookmarkEnd w:id="25"/>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p>
    <w:p>
      <w:pPr>
        <w:keepNext/>
        <w:keepLines/>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eastAsia="黑体" w:asciiTheme="majorHAnsi" w:hAnsiTheme="majorHAnsi" w:cstheme="majorBidi"/>
          <w:bCs/>
          <w:sz w:val="32"/>
          <w:szCs w:val="32"/>
        </w:rPr>
      </w:pPr>
      <w:bookmarkStart w:id="26" w:name="_Toc54681468"/>
      <w:bookmarkStart w:id="27" w:name="_Toc55896174"/>
      <w:bookmarkStart w:id="28" w:name="_Toc54708195"/>
      <w:bookmarkStart w:id="29" w:name="_Toc54690943"/>
      <w:r>
        <w:rPr>
          <w:rFonts w:hint="eastAsia" w:eastAsia="黑体" w:asciiTheme="majorHAnsi" w:hAnsiTheme="majorHAnsi" w:cstheme="majorBidi"/>
          <w:bCs/>
          <w:sz w:val="32"/>
          <w:szCs w:val="32"/>
        </w:rPr>
        <w:t>十一、咨询途径</w:t>
      </w:r>
      <w:bookmarkEnd w:id="26"/>
      <w:bookmarkEnd w:id="27"/>
      <w:bookmarkEnd w:id="28"/>
      <w:bookmarkEnd w:id="29"/>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 xml:space="preserve">詹女士 </w:t>
      </w:r>
      <w:r>
        <w:rPr>
          <w:rFonts w:ascii="仿宋" w:hAnsi="仿宋" w:eastAsia="仿宋"/>
          <w:sz w:val="32"/>
          <w:szCs w:val="32"/>
        </w:rPr>
        <w:t>电话：0755-8866</w:t>
      </w:r>
      <w:r>
        <w:rPr>
          <w:rFonts w:hint="eastAsia" w:ascii="仿宋" w:hAnsi="仿宋" w:eastAsia="仿宋"/>
          <w:sz w:val="32"/>
          <w:szCs w:val="32"/>
        </w:rPr>
        <w:t xml:space="preserve"> 8130</w:t>
      </w:r>
      <w:r>
        <w:rPr>
          <w:rFonts w:ascii="仿宋" w:hAnsi="仿宋" w:eastAsia="仿宋"/>
          <w:sz w:val="32"/>
          <w:szCs w:val="32"/>
        </w:rPr>
        <w:t xml:space="preserve"> 邮箱：</w:t>
      </w:r>
      <w:r>
        <w:fldChar w:fldCharType="begin"/>
      </w:r>
      <w:r>
        <w:instrText xml:space="preserve"> HYPERLINK "mailto:jzhan.oth@szse.cn" </w:instrText>
      </w:r>
      <w:r>
        <w:fldChar w:fldCharType="separate"/>
      </w:r>
      <w:r>
        <w:rPr>
          <w:rFonts w:hint="eastAsia" w:ascii="仿宋" w:hAnsi="仿宋" w:eastAsia="仿宋"/>
          <w:sz w:val="32"/>
          <w:szCs w:val="32"/>
          <w:lang w:val="en-US" w:eastAsia="zh-CN"/>
        </w:rPr>
        <w:t>zhanjie</w:t>
      </w:r>
      <w:r>
        <w:rPr>
          <w:rFonts w:ascii="仿宋" w:hAnsi="仿宋" w:eastAsia="仿宋"/>
          <w:sz w:val="32"/>
          <w:szCs w:val="32"/>
        </w:rPr>
        <w:t>@szse.cn</w:t>
      </w:r>
      <w:r>
        <w:rPr>
          <w:rFonts w:ascii="仿宋" w:hAnsi="仿宋" w:eastAsia="仿宋"/>
          <w:sz w:val="32"/>
          <w:szCs w:val="32"/>
        </w:rPr>
        <w:fldChar w:fldCharType="end"/>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lang w:eastAsia="zh-CN"/>
        </w:rPr>
        <w:t>徐</w:t>
      </w:r>
      <w:r>
        <w:rPr>
          <w:rFonts w:hint="eastAsia" w:ascii="仿宋" w:hAnsi="仿宋" w:eastAsia="仿宋"/>
          <w:sz w:val="32"/>
          <w:szCs w:val="32"/>
        </w:rPr>
        <w:t xml:space="preserve">先生 </w:t>
      </w:r>
      <w:r>
        <w:rPr>
          <w:rFonts w:ascii="仿宋" w:hAnsi="仿宋" w:eastAsia="仿宋"/>
          <w:sz w:val="32"/>
          <w:szCs w:val="32"/>
        </w:rPr>
        <w:t>电话：0755-8866</w:t>
      </w:r>
      <w:r>
        <w:rPr>
          <w:rFonts w:hint="eastAsia" w:ascii="仿宋" w:hAnsi="仿宋" w:eastAsia="仿宋"/>
          <w:sz w:val="32"/>
          <w:szCs w:val="32"/>
        </w:rPr>
        <w:t xml:space="preserve"> </w:t>
      </w:r>
      <w:r>
        <w:rPr>
          <w:rFonts w:hint="eastAsia" w:ascii="仿宋" w:hAnsi="仿宋" w:eastAsia="仿宋"/>
          <w:sz w:val="32"/>
          <w:szCs w:val="32"/>
          <w:lang w:val="en-US" w:eastAsia="zh-CN"/>
        </w:rPr>
        <w:t>8337</w:t>
      </w:r>
      <w:r>
        <w:rPr>
          <w:rFonts w:hint="eastAsia" w:ascii="仿宋" w:hAnsi="仿宋" w:eastAsia="仿宋"/>
          <w:sz w:val="32"/>
          <w:szCs w:val="32"/>
        </w:rPr>
        <w:t xml:space="preserve"> </w:t>
      </w:r>
      <w:r>
        <w:rPr>
          <w:rFonts w:ascii="仿宋" w:hAnsi="仿宋" w:eastAsia="仿宋"/>
          <w:sz w:val="32"/>
          <w:szCs w:val="32"/>
        </w:rPr>
        <w:t>邮箱：</w:t>
      </w:r>
      <w:r>
        <w:rPr>
          <w:rFonts w:hint="eastAsia" w:ascii="仿宋" w:hAnsi="仿宋" w:eastAsia="仿宋"/>
          <w:sz w:val="32"/>
          <w:szCs w:val="32"/>
          <w:lang w:val="en-US" w:eastAsia="zh-CN"/>
        </w:rPr>
        <w:t>yxu</w:t>
      </w:r>
      <w:r>
        <w:rPr>
          <w:rFonts w:ascii="仿宋" w:hAnsi="仿宋" w:eastAsia="仿宋"/>
          <w:sz w:val="32"/>
          <w:szCs w:val="32"/>
        </w:rPr>
        <w:t>@szse.cn</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p>
    <w:p>
      <w:pPr>
        <w:keepNext/>
        <w:keepLines/>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eastAsia="黑体" w:asciiTheme="majorHAnsi" w:hAnsiTheme="majorHAnsi" w:cstheme="majorBidi"/>
          <w:bCs/>
          <w:sz w:val="32"/>
          <w:szCs w:val="32"/>
        </w:rPr>
      </w:pPr>
      <w:bookmarkStart w:id="30" w:name="_Toc54681471"/>
      <w:bookmarkStart w:id="31" w:name="_Toc54690946"/>
      <w:bookmarkStart w:id="32" w:name="_Toc54708198"/>
      <w:bookmarkStart w:id="33" w:name="_Toc55896175"/>
      <w:r>
        <w:rPr>
          <w:rFonts w:hint="eastAsia" w:eastAsia="黑体" w:asciiTheme="majorHAnsi" w:hAnsiTheme="majorHAnsi" w:cstheme="majorBidi"/>
          <w:bCs/>
          <w:sz w:val="32"/>
          <w:szCs w:val="32"/>
        </w:rPr>
        <w:t>十二、办理地点和时间</w:t>
      </w:r>
      <w:bookmarkEnd w:id="30"/>
      <w:bookmarkEnd w:id="31"/>
      <w:bookmarkEnd w:id="32"/>
      <w:bookmarkEnd w:id="33"/>
    </w:p>
    <w:p>
      <w:pPr>
        <w:keepNext/>
        <w:keepLines/>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2"/>
        <w:rPr>
          <w:rFonts w:eastAsia="仿宋"/>
          <w:b/>
          <w:bCs/>
          <w:sz w:val="32"/>
          <w:szCs w:val="32"/>
        </w:rPr>
      </w:pPr>
      <w:bookmarkStart w:id="34" w:name="_Toc55896176"/>
      <w:bookmarkStart w:id="35" w:name="_Toc54708199"/>
      <w:bookmarkStart w:id="36" w:name="_Toc54681472"/>
      <w:bookmarkStart w:id="37" w:name="_Toc54690947"/>
      <w:r>
        <w:rPr>
          <w:rFonts w:hint="eastAsia" w:eastAsia="仿宋"/>
          <w:b/>
          <w:bCs/>
          <w:sz w:val="32"/>
          <w:szCs w:val="32"/>
        </w:rPr>
        <w:t>（一）办理地</w:t>
      </w:r>
      <w:bookmarkEnd w:id="34"/>
      <w:bookmarkEnd w:id="35"/>
      <w:bookmarkEnd w:id="36"/>
      <w:bookmarkEnd w:id="37"/>
      <w:r>
        <w:rPr>
          <w:rFonts w:hint="eastAsia" w:eastAsia="仿宋"/>
          <w:b/>
          <w:bCs/>
          <w:sz w:val="32"/>
          <w:szCs w:val="32"/>
        </w:rPr>
        <w:t>点</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bookmarkStart w:id="38" w:name="_Toc55896177"/>
      <w:bookmarkStart w:id="39" w:name="_Toc54708200"/>
      <w:bookmarkStart w:id="40" w:name="_Toc54690948"/>
      <w:bookmarkStart w:id="41" w:name="_Toc54681473"/>
      <w:r>
        <w:rPr>
          <w:rFonts w:hint="eastAsia" w:ascii="仿宋" w:hAnsi="仿宋" w:eastAsia="仿宋"/>
          <w:sz w:val="32"/>
          <w:szCs w:val="32"/>
        </w:rPr>
        <w:t>1</w:t>
      </w:r>
      <w:r>
        <w:rPr>
          <w:rFonts w:hint="eastAsia" w:ascii="仿宋" w:hAnsi="仿宋" w:eastAsia="仿宋"/>
          <w:sz w:val="32"/>
          <w:szCs w:val="32"/>
          <w:lang w:val="en-US" w:eastAsia="zh-CN"/>
        </w:rPr>
        <w:t xml:space="preserve">. </w:t>
      </w:r>
      <w:r>
        <w:rPr>
          <w:rFonts w:hint="eastAsia" w:ascii="仿宋" w:hAnsi="仿宋" w:eastAsia="仿宋"/>
          <w:sz w:val="32"/>
          <w:szCs w:val="32"/>
        </w:rPr>
        <w:t>业务申请通过深交所基金业务专区网上提交</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 xml:space="preserve">. </w:t>
      </w:r>
      <w:r>
        <w:rPr>
          <w:rFonts w:hint="eastAsia" w:ascii="仿宋" w:hAnsi="仿宋" w:eastAsia="仿宋"/>
          <w:sz w:val="32"/>
          <w:szCs w:val="32"/>
        </w:rPr>
        <w:t>办公地址：深圳市福田区深南大道2012号深圳证券交易所19楼1906室</w:t>
      </w:r>
    </w:p>
    <w:p>
      <w:pPr>
        <w:keepNext/>
        <w:keepLines/>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2"/>
        <w:rPr>
          <w:rFonts w:eastAsia="仿宋"/>
          <w:b/>
          <w:bCs/>
          <w:sz w:val="32"/>
          <w:szCs w:val="32"/>
        </w:rPr>
      </w:pPr>
      <w:r>
        <w:rPr>
          <w:rFonts w:hint="eastAsia" w:eastAsia="仿宋"/>
          <w:b/>
          <w:bCs/>
          <w:sz w:val="32"/>
          <w:szCs w:val="32"/>
        </w:rPr>
        <w:t>（二）办理时间</w:t>
      </w:r>
      <w:bookmarkEnd w:id="38"/>
      <w:bookmarkEnd w:id="39"/>
      <w:bookmarkEnd w:id="40"/>
      <w:bookmarkEnd w:id="41"/>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 xml:space="preserve">. </w:t>
      </w:r>
      <w:r>
        <w:rPr>
          <w:rFonts w:hint="eastAsia" w:ascii="仿宋" w:hAnsi="仿宋" w:eastAsia="仿宋"/>
          <w:sz w:val="32"/>
          <w:szCs w:val="32"/>
        </w:rPr>
        <w:t>深交所基金业务专区系统运营时间为7×24小时</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 xml:space="preserve">. </w:t>
      </w:r>
      <w:r>
        <w:rPr>
          <w:rFonts w:hint="eastAsia" w:ascii="仿宋" w:hAnsi="仿宋" w:eastAsia="仿宋"/>
          <w:sz w:val="32"/>
          <w:szCs w:val="32"/>
        </w:rPr>
        <w:t>办公时间：周一至周五 8:30-11:30；13:30-17:00</w:t>
      </w:r>
    </w:p>
    <w:p>
      <w:pPr>
        <w:pageBreakBefore w:val="0"/>
        <w:widowControl w:val="0"/>
        <w:kinsoku/>
        <w:wordWrap/>
        <w:overflowPunct/>
        <w:topLinePunct w:val="0"/>
        <w:autoSpaceDE/>
        <w:autoSpaceDN/>
        <w:bidi w:val="0"/>
        <w:adjustRightInd/>
        <w:snapToGrid/>
        <w:spacing w:line="560" w:lineRule="exact"/>
        <w:ind w:left="0" w:leftChars="0"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1240900"/>
    </w:sdtPr>
    <w:sdtContent>
      <w:p>
        <w:pPr>
          <w:pStyle w:val="6"/>
          <w:jc w:val="center"/>
        </w:pPr>
        <w:r>
          <w:fldChar w:fldCharType="begin"/>
        </w:r>
        <w:r>
          <w:instrText xml:space="preserve">PAGE   \* MERGEFORMAT</w:instrText>
        </w:r>
        <w:r>
          <w:fldChar w:fldCharType="separate"/>
        </w:r>
        <w:r>
          <w:rPr>
            <w:lang w:val="zh-CN"/>
          </w:rPr>
          <w:t>5</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AC0"/>
    <w:rsid w:val="001A4AC0"/>
    <w:rsid w:val="001F2A71"/>
    <w:rsid w:val="00294D96"/>
    <w:rsid w:val="004C03D3"/>
    <w:rsid w:val="005B7485"/>
    <w:rsid w:val="005C3EE7"/>
    <w:rsid w:val="00663BB0"/>
    <w:rsid w:val="006729D0"/>
    <w:rsid w:val="00741AE1"/>
    <w:rsid w:val="00751600"/>
    <w:rsid w:val="0075738A"/>
    <w:rsid w:val="009E1E5C"/>
    <w:rsid w:val="00A75639"/>
    <w:rsid w:val="00C17B75"/>
    <w:rsid w:val="00C67685"/>
    <w:rsid w:val="00C829CC"/>
    <w:rsid w:val="00CF0E5B"/>
    <w:rsid w:val="00F4503E"/>
    <w:rsid w:val="1EB5665C"/>
    <w:rsid w:val="200F6593"/>
    <w:rsid w:val="3582649C"/>
    <w:rsid w:val="45DE1A4A"/>
    <w:rsid w:val="4D177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line="560" w:lineRule="exact"/>
      <w:outlineLvl w:val="1"/>
    </w:pPr>
    <w:rPr>
      <w:rFonts w:eastAsia="黑体" w:asciiTheme="majorHAnsi" w:hAnsiTheme="majorHAnsi" w:cstheme="majorBidi"/>
      <w:bCs/>
      <w:sz w:val="32"/>
      <w:szCs w:val="32"/>
    </w:rPr>
  </w:style>
  <w:style w:type="paragraph" w:styleId="3">
    <w:name w:val="heading 3"/>
    <w:basedOn w:val="1"/>
    <w:next w:val="1"/>
    <w:unhideWhenUsed/>
    <w:qFormat/>
    <w:uiPriority w:val="9"/>
    <w:pPr>
      <w:keepNext/>
      <w:keepLines/>
      <w:spacing w:line="560" w:lineRule="exact"/>
      <w:outlineLvl w:val="2"/>
    </w:pPr>
    <w:rPr>
      <w:rFonts w:eastAsia="仿宋"/>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unhideWhenUsed/>
    <w:qFormat/>
    <w:uiPriority w:val="39"/>
    <w:pPr>
      <w:ind w:left="840" w:leftChars="400"/>
    </w:pPr>
  </w:style>
  <w:style w:type="paragraph" w:styleId="5">
    <w:name w:val="Balloon Text"/>
    <w:basedOn w:val="1"/>
    <w:link w:val="13"/>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unhideWhenUsed/>
    <w:qFormat/>
    <w:uiPriority w:val="39"/>
    <w:pPr>
      <w:ind w:left="420" w:leftChars="200"/>
    </w:p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Char"/>
    <w:basedOn w:val="10"/>
    <w:link w:val="7"/>
    <w:qFormat/>
    <w:uiPriority w:val="0"/>
    <w:rPr>
      <w:kern w:val="2"/>
      <w:sz w:val="18"/>
      <w:szCs w:val="18"/>
    </w:rPr>
  </w:style>
  <w:style w:type="character" w:customStyle="1" w:styleId="13">
    <w:name w:val="批注框文本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358</Words>
  <Characters>2043</Characters>
  <Lines>17</Lines>
  <Paragraphs>4</Paragraphs>
  <TotalTime>0</TotalTime>
  <ScaleCrop>false</ScaleCrop>
  <LinksUpToDate>false</LinksUpToDate>
  <CharactersWithSpaces>2397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2023-03-09T02:51:00Z</dcterms:created>
  <dc:creator>yzhao.oth</dc:creator>
  <cp:lastModifiedBy>姚一凡</cp:lastModifiedBy>
  <dcterms:modified xsi:type="dcterms:W3CDTF">2023-08-24T06:59:54Z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B3E4A25C814B4507BCD2C8900C835CFD</vt:lpwstr>
  </property>
</Properties>
</file>