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bookmarkStart w:id="17" w:name="_GoBack"/>
      <w:bookmarkEnd w:id="17"/>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0"/>
          <w:szCs w:val="40"/>
        </w:rPr>
      </w:pPr>
      <w:r>
        <w:rPr>
          <w:rFonts w:hint="eastAsia" w:ascii="仿宋" w:hAnsi="仿宋" w:eastAsia="仿宋"/>
          <w:b/>
          <w:sz w:val="40"/>
          <w:szCs w:val="40"/>
        </w:rPr>
        <w:t>公开发行公司债券（含企业债券）发行上市申请</w:t>
      </w:r>
    </w:p>
    <w:p>
      <w:pPr>
        <w:spacing w:line="560" w:lineRule="exact"/>
        <w:jc w:val="center"/>
        <w:rPr>
          <w:rFonts w:ascii="仿宋" w:hAnsi="仿宋" w:eastAsia="仿宋"/>
          <w:b/>
          <w:sz w:val="40"/>
          <w:szCs w:val="40"/>
        </w:rPr>
      </w:pPr>
      <w:r>
        <w:rPr>
          <w:rFonts w:hint="eastAsia" w:ascii="仿宋" w:hAnsi="仿宋" w:eastAsia="仿宋"/>
          <w:b/>
          <w:sz w:val="40"/>
          <w:szCs w:val="40"/>
        </w:rPr>
        <w:t>（上市阶段）</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目录</w:t>
      </w:r>
    </w:p>
    <w:p>
      <w:pPr>
        <w:pStyle w:val="10"/>
        <w:tabs>
          <w:tab w:val="right" w:leader="dot" w:pos="8296"/>
        </w:tabs>
        <w:spacing w:line="400" w:lineRule="exact"/>
        <w:ind w:left="0" w:leftChars="0"/>
        <w:rPr>
          <w:rFonts w:ascii="仿宋" w:hAnsi="仿宋" w:eastAsia="仿宋" w:cs="仿宋"/>
          <w:sz w:val="28"/>
          <w:szCs w:val="28"/>
        </w:rPr>
      </w:pP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TOC \o "1-3" \h \z \u</w:instrText>
      </w:r>
      <w:r>
        <w:rPr>
          <w:rFonts w:ascii="仿宋" w:hAnsi="仿宋" w:eastAsia="仿宋"/>
          <w:sz w:val="24"/>
          <w:szCs w:val="24"/>
        </w:rPr>
        <w:instrText xml:space="preserve"> </w:instrText>
      </w:r>
      <w:r>
        <w:rPr>
          <w:rFonts w:ascii="仿宋" w:hAnsi="仿宋" w:eastAsia="仿宋"/>
          <w:sz w:val="24"/>
          <w:szCs w:val="24"/>
        </w:rPr>
        <w:fldChar w:fldCharType="separate"/>
      </w:r>
      <w:r>
        <w:fldChar w:fldCharType="begin"/>
      </w:r>
      <w:r>
        <w:instrText xml:space="preserve"> HYPERLINK \l "_Toc55204914" </w:instrText>
      </w:r>
      <w:r>
        <w:fldChar w:fldCharType="separate"/>
      </w:r>
      <w:r>
        <w:rPr>
          <w:rStyle w:val="16"/>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_Toc55204914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"_Toc55204915" </w:instrText>
      </w:r>
      <w:r>
        <w:fldChar w:fldCharType="separate"/>
      </w:r>
      <w:r>
        <w:rPr>
          <w:rStyle w:val="16"/>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_Toc55204915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"_Toc55204916" </w:instrText>
      </w:r>
      <w:r>
        <w:fldChar w:fldCharType="separate"/>
      </w:r>
      <w:r>
        <w:rPr>
          <w:rStyle w:val="16"/>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_Toc55204916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"_Toc55204917" </w:instrText>
      </w:r>
      <w:r>
        <w:fldChar w:fldCharType="separate"/>
      </w:r>
      <w:r>
        <w:rPr>
          <w:rStyle w:val="16"/>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_Toc55204917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"_Toc55204918" </w:instrText>
      </w:r>
      <w:r>
        <w:fldChar w:fldCharType="separate"/>
      </w:r>
      <w:r>
        <w:rPr>
          <w:rStyle w:val="16"/>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_Toc55204918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"_Toc55204919" </w:instrText>
      </w:r>
      <w:r>
        <w:fldChar w:fldCharType="separate"/>
      </w:r>
      <w:r>
        <w:rPr>
          <w:rStyle w:val="16"/>
          <w:rFonts w:hint="eastAsia" w:ascii="仿宋" w:hAnsi="仿宋" w:eastAsia="仿宋" w:cs="仿宋"/>
          <w:sz w:val="28"/>
          <w:szCs w:val="28"/>
        </w:rPr>
        <w:t>（一）收费标准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_Toc55204919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"_Toc55204920" </w:instrText>
      </w:r>
      <w:r>
        <w:fldChar w:fldCharType="separate"/>
      </w:r>
      <w:r>
        <w:rPr>
          <w:rStyle w:val="16"/>
          <w:rFonts w:hint="eastAsia" w:ascii="仿宋" w:hAnsi="仿宋" w:eastAsia="仿宋" w:cs="仿宋"/>
          <w:sz w:val="28"/>
          <w:szCs w:val="28"/>
        </w:rPr>
        <w:t>（二）收费依据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_Toc55204920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"_Toc55204921" </w:instrText>
      </w:r>
      <w:r>
        <w:fldChar w:fldCharType="separate"/>
      </w:r>
      <w:r>
        <w:rPr>
          <w:rStyle w:val="16"/>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_Toc55204921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"_Toc55204922" </w:instrText>
      </w:r>
      <w:r>
        <w:fldChar w:fldCharType="separate"/>
      </w:r>
      <w:r>
        <w:rPr>
          <w:rStyle w:val="16"/>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_Toc55204922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"_Toc55204923" </w:instrText>
      </w:r>
      <w:r>
        <w:fldChar w:fldCharType="separate"/>
      </w:r>
      <w:r>
        <w:rPr>
          <w:rStyle w:val="16"/>
          <w:rFonts w:hint="eastAsia" w:ascii="仿宋" w:hAnsi="仿宋" w:eastAsia="仿宋" w:cs="仿宋"/>
          <w:sz w:val="28"/>
          <w:szCs w:val="28"/>
        </w:rPr>
        <w:t>（一）办理情形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_Toc55204923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"_Toc55204924" </w:instrText>
      </w:r>
      <w:r>
        <w:fldChar w:fldCharType="separate"/>
      </w:r>
      <w:r>
        <w:rPr>
          <w:rStyle w:val="16"/>
          <w:rFonts w:hint="eastAsia" w:ascii="仿宋" w:hAnsi="仿宋" w:eastAsia="仿宋" w:cs="仿宋"/>
          <w:sz w:val="28"/>
          <w:szCs w:val="28"/>
        </w:rPr>
        <w:t>（二）办理条件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_Toc55204924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"_Toc55204925" </w:instrText>
      </w:r>
      <w:r>
        <w:fldChar w:fldCharType="separate"/>
      </w:r>
      <w:r>
        <w:rPr>
          <w:rStyle w:val="16"/>
          <w:rFonts w:hint="eastAsia" w:ascii="仿宋" w:hAnsi="仿宋" w:eastAsia="仿宋" w:cs="仿宋"/>
          <w:sz w:val="28"/>
          <w:szCs w:val="28"/>
        </w:rPr>
        <w:t>八、申请材料清单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_Toc55204925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"_Toc55204926" </w:instrText>
      </w:r>
      <w:r>
        <w:fldChar w:fldCharType="separate"/>
      </w:r>
      <w:r>
        <w:rPr>
          <w:rStyle w:val="16"/>
          <w:rFonts w:hint="eastAsia" w:ascii="仿宋" w:hAnsi="仿宋" w:eastAsia="仿宋" w:cs="仿宋"/>
          <w:sz w:val="28"/>
          <w:szCs w:val="28"/>
        </w:rPr>
        <w:t>九、申请接收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_Toc55204926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"_Toc55204927" </w:instrText>
      </w:r>
      <w:r>
        <w:fldChar w:fldCharType="separate"/>
      </w:r>
      <w:r>
        <w:rPr>
          <w:rStyle w:val="16"/>
          <w:rFonts w:hint="eastAsia" w:ascii="仿宋" w:hAnsi="仿宋" w:eastAsia="仿宋" w:cs="仿宋"/>
          <w:sz w:val="28"/>
          <w:szCs w:val="28"/>
        </w:rPr>
        <w:t>十、办理流程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_Toc55204927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"_Toc55204928" </w:instrText>
      </w:r>
      <w:r>
        <w:fldChar w:fldCharType="separate"/>
      </w:r>
      <w:r>
        <w:rPr>
          <w:rStyle w:val="16"/>
          <w:rFonts w:hint="eastAsia" w:ascii="仿宋" w:hAnsi="仿宋" w:eastAsia="仿宋" w:cs="仿宋"/>
          <w:sz w:val="28"/>
          <w:szCs w:val="28"/>
        </w:rPr>
        <w:t>十一、办理结果及送达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_Toc55204928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"_Toc55204929" </w:instrText>
      </w:r>
      <w:r>
        <w:fldChar w:fldCharType="separate"/>
      </w:r>
      <w:r>
        <w:rPr>
          <w:rStyle w:val="16"/>
          <w:rFonts w:hint="eastAsia" w:ascii="仿宋" w:hAnsi="仿宋" w:eastAsia="仿宋" w:cs="仿宋"/>
          <w:sz w:val="28"/>
          <w:szCs w:val="28"/>
        </w:rPr>
        <w:t>十二、咨询途径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_Toc55204929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Style w:val="16"/>
          <w:b/>
          <w:sz w:val="24"/>
          <w:szCs w:val="24"/>
        </w:rPr>
        <w:sectPr>
          <w:footerReference r:id="rId3" w:type="default"/>
          <w:pgSz w:w="11906" w:h="16838"/>
          <w:pgMar w:top="1440" w:right="1800" w:bottom="1440" w:left="1800" w:header="851" w:footer="992" w:gutter="0"/>
          <w:cols w:space="425" w:num="1"/>
          <w:docGrid w:type="lines" w:linePitch="312" w:charSpace="0"/>
        </w:sectPr>
      </w:pPr>
      <w:r>
        <w:fldChar w:fldCharType="begin"/>
      </w:r>
      <w:r>
        <w:instrText xml:space="preserve"> HYPERLINK \l "_Toc55204930" </w:instrText>
      </w:r>
      <w:r>
        <w:fldChar w:fldCharType="separate"/>
      </w:r>
      <w:r>
        <w:rPr>
          <w:rStyle w:val="16"/>
          <w:rFonts w:hint="eastAsia" w:ascii="仿宋" w:hAnsi="仿宋" w:eastAsia="仿宋" w:cs="仿宋"/>
          <w:sz w:val="28"/>
          <w:szCs w:val="28"/>
        </w:rPr>
        <w:t>十三、办理地点和时间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_Toc55204930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
        <w:ind w:firstLine="480" w:firstLineChars="200"/>
      </w:pPr>
      <w:r>
        <w:rPr>
          <w:rFonts w:ascii="仿宋" w:hAnsi="仿宋" w:eastAsia="仿宋"/>
          <w:sz w:val="24"/>
          <w:szCs w:val="24"/>
        </w:rPr>
        <w:fldChar w:fldCharType="end"/>
      </w:r>
      <w:bookmarkStart w:id="0" w:name="_Toc55204914"/>
      <w:r>
        <w:rPr>
          <w:rFonts w:hint="eastAsia"/>
        </w:rPr>
        <w:t>一、事项名称</w:t>
      </w:r>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公开发行公司债券（含企业债券）发行上市申请（上市阶段）</w:t>
      </w:r>
    </w:p>
    <w:p>
      <w:pPr>
        <w:spacing w:line="560" w:lineRule="exact"/>
        <w:ind w:firstLine="640" w:firstLineChars="200"/>
        <w:rPr>
          <w:rFonts w:ascii="仿宋" w:hAnsi="仿宋" w:eastAsia="仿宋"/>
          <w:sz w:val="32"/>
          <w:szCs w:val="32"/>
        </w:rPr>
      </w:pPr>
    </w:p>
    <w:p>
      <w:pPr>
        <w:pStyle w:val="3"/>
        <w:ind w:firstLine="640" w:firstLineChars="200"/>
      </w:pPr>
      <w:bookmarkStart w:id="1" w:name="_Toc55204915"/>
      <w:r>
        <w:rPr>
          <w:rFonts w:hint="eastAsia"/>
        </w:rPr>
        <w:t>二、规则依据</w:t>
      </w:r>
      <w:bookmarkEnd w:id="1"/>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《深圳证券交易所公司债券上市规则（2023年修订）》</w:t>
      </w:r>
    </w:p>
    <w:p>
      <w:pPr>
        <w:spacing w:line="560" w:lineRule="exact"/>
        <w:ind w:firstLine="640" w:firstLineChars="200"/>
        <w:rPr>
          <w:rFonts w:ascii="仿宋" w:hAnsi="仿宋" w:eastAsia="仿宋"/>
          <w:sz w:val="32"/>
          <w:szCs w:val="32"/>
        </w:rPr>
      </w:pPr>
    </w:p>
    <w:p>
      <w:pPr>
        <w:pStyle w:val="3"/>
        <w:ind w:firstLine="640" w:firstLineChars="200"/>
      </w:pPr>
      <w:bookmarkStart w:id="2" w:name="_Toc55204916"/>
      <w:r>
        <w:rPr>
          <w:rFonts w:hint="eastAsia"/>
        </w:rPr>
        <w:t>三、受理部门</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仿宋" w:hAnsi="仿宋" w:eastAsia="仿宋"/>
          <w:sz w:val="32"/>
          <w:szCs w:val="32"/>
        </w:rPr>
      </w:pPr>
    </w:p>
    <w:p>
      <w:pPr>
        <w:pStyle w:val="3"/>
        <w:ind w:firstLine="640" w:firstLineChars="200"/>
      </w:pPr>
      <w:bookmarkStart w:id="3" w:name="_Toc55204917"/>
      <w:r>
        <w:rPr>
          <w:rFonts w:hint="eastAsia"/>
        </w:rPr>
        <w:t>四、办理部门</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仿宋" w:hAnsi="仿宋" w:eastAsia="仿宋"/>
          <w:sz w:val="32"/>
          <w:szCs w:val="32"/>
        </w:rPr>
      </w:pPr>
    </w:p>
    <w:p>
      <w:pPr>
        <w:pStyle w:val="3"/>
        <w:ind w:firstLine="640" w:firstLineChars="200"/>
      </w:pPr>
      <w:bookmarkStart w:id="4" w:name="_Toc55204918"/>
      <w:r>
        <w:rPr>
          <w:rFonts w:hint="eastAsia"/>
        </w:rPr>
        <w:t>五、收费标准及依据</w:t>
      </w:r>
      <w:bookmarkEnd w:id="4"/>
    </w:p>
    <w:p>
      <w:pPr>
        <w:pStyle w:val="4"/>
        <w:ind w:firstLine="643" w:firstLineChars="200"/>
      </w:pPr>
      <w:bookmarkStart w:id="5" w:name="_Toc55204919"/>
      <w:r>
        <w:rPr>
          <w:rFonts w:hint="eastAsia"/>
        </w:rPr>
        <w:t>（一）收费标准</w:t>
      </w:r>
      <w:bookmarkEnd w:id="5"/>
    </w:p>
    <w:p>
      <w:pPr>
        <w:spacing w:line="560" w:lineRule="exact"/>
        <w:ind w:firstLine="640" w:firstLineChars="200"/>
        <w:rPr>
          <w:rFonts w:ascii="仿宋" w:hAnsi="仿宋" w:eastAsia="仿宋"/>
          <w:sz w:val="32"/>
          <w:szCs w:val="32"/>
        </w:rPr>
      </w:pPr>
      <w:r>
        <w:rPr>
          <w:rFonts w:hint="eastAsia" w:ascii="仿宋" w:hAnsi="仿宋" w:eastAsia="仿宋"/>
          <w:sz w:val="32"/>
          <w:szCs w:val="32"/>
        </w:rPr>
        <w:t>暂免收取上市初费和上市年费</w:t>
      </w:r>
    </w:p>
    <w:p>
      <w:pPr>
        <w:pStyle w:val="4"/>
        <w:ind w:firstLine="643" w:firstLineChars="200"/>
      </w:pPr>
      <w:bookmarkStart w:id="6" w:name="_Toc55204920"/>
      <w:r>
        <w:rPr>
          <w:rFonts w:hint="eastAsia"/>
        </w:rPr>
        <w:t>（二）收费依据</w:t>
      </w:r>
      <w:bookmarkEnd w:id="6"/>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《深圳证券交易所业务收费管理办法》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《深圳证券交易所关于调整固定收益类产品上市和交易收费标准的通知》</w:t>
      </w:r>
    </w:p>
    <w:p>
      <w:pPr>
        <w:spacing w:line="560" w:lineRule="exact"/>
        <w:ind w:firstLine="640" w:firstLineChars="200"/>
        <w:rPr>
          <w:rFonts w:ascii="仿宋" w:hAnsi="仿宋" w:eastAsia="仿宋"/>
          <w:sz w:val="32"/>
          <w:szCs w:val="32"/>
        </w:rPr>
      </w:pPr>
    </w:p>
    <w:p>
      <w:pPr>
        <w:pStyle w:val="3"/>
        <w:ind w:firstLine="640" w:firstLineChars="200"/>
      </w:pPr>
      <w:bookmarkStart w:id="7" w:name="_Toc55204921"/>
      <w:r>
        <w:rPr>
          <w:rFonts w:hint="eastAsia"/>
        </w:rPr>
        <w:t>六、办理时限</w:t>
      </w:r>
      <w:bookmarkEnd w:id="7"/>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深圳证券交易所在收到完备的债券上市申请文件后，在五个工作日内作出是否同意上市的决定。</w:t>
      </w:r>
    </w:p>
    <w:p>
      <w:pPr>
        <w:spacing w:line="560" w:lineRule="exact"/>
        <w:ind w:firstLine="640" w:firstLineChars="200"/>
        <w:rPr>
          <w:rFonts w:ascii="仿宋" w:hAnsi="仿宋" w:eastAsia="仿宋"/>
          <w:sz w:val="32"/>
          <w:szCs w:val="32"/>
        </w:rPr>
      </w:pPr>
    </w:p>
    <w:p>
      <w:pPr>
        <w:pStyle w:val="3"/>
        <w:ind w:firstLine="640" w:firstLineChars="200"/>
      </w:pPr>
      <w:bookmarkStart w:id="8" w:name="_Toc55204922"/>
      <w:r>
        <w:rPr>
          <w:rFonts w:hint="eastAsia"/>
        </w:rPr>
        <w:t>七、办理情形和条件</w:t>
      </w:r>
      <w:bookmarkEnd w:id="8"/>
    </w:p>
    <w:p>
      <w:pPr>
        <w:pStyle w:val="4"/>
        <w:ind w:firstLine="643" w:firstLineChars="200"/>
      </w:pPr>
      <w:bookmarkStart w:id="9" w:name="_Toc55204923"/>
      <w:r>
        <w:rPr>
          <w:rFonts w:hint="eastAsia"/>
        </w:rPr>
        <w:t>（一）办理情形</w:t>
      </w:r>
      <w:bookmarkEnd w:id="9"/>
    </w:p>
    <w:p>
      <w:pPr>
        <w:spacing w:line="560" w:lineRule="exact"/>
        <w:ind w:firstLine="640" w:firstLineChars="200"/>
        <w:rPr>
          <w:rFonts w:ascii="仿宋" w:hAnsi="仿宋" w:eastAsia="仿宋"/>
          <w:sz w:val="32"/>
          <w:szCs w:val="32"/>
        </w:rPr>
      </w:pPr>
      <w:r>
        <w:rPr>
          <w:rFonts w:hint="eastAsia" w:ascii="仿宋" w:hAnsi="仿宋" w:eastAsia="仿宋"/>
          <w:sz w:val="32"/>
          <w:szCs w:val="32"/>
        </w:rPr>
        <w:t>经有权部门同意予以注册并依法完成发行公司债券（含企业债券）。</w:t>
      </w:r>
    </w:p>
    <w:p>
      <w:pPr>
        <w:pStyle w:val="4"/>
        <w:ind w:firstLine="643" w:firstLineChars="200"/>
      </w:pPr>
      <w:bookmarkStart w:id="10" w:name="_Toc55204924"/>
      <w:r>
        <w:rPr>
          <w:rFonts w:hint="eastAsia"/>
        </w:rPr>
        <w:t>（二）办理条件</w:t>
      </w:r>
      <w:bookmarkEnd w:id="10"/>
    </w:p>
    <w:p>
      <w:pPr>
        <w:spacing w:line="560" w:lineRule="exact"/>
        <w:ind w:firstLine="640" w:firstLineChars="200"/>
        <w:rPr>
          <w:rFonts w:ascii="仿宋" w:hAnsi="仿宋" w:eastAsia="仿宋"/>
          <w:sz w:val="32"/>
          <w:szCs w:val="32"/>
        </w:rPr>
      </w:pPr>
      <w:r>
        <w:rPr>
          <w:rFonts w:hint="eastAsia" w:ascii="仿宋" w:hAnsi="仿宋" w:eastAsia="仿宋"/>
          <w:sz w:val="32"/>
          <w:szCs w:val="32"/>
        </w:rPr>
        <w:t>应当符合《深圳证券交易所公司债券上市规则（2023年修订）》第2.1条的规定。</w:t>
      </w:r>
    </w:p>
    <w:p>
      <w:pPr>
        <w:spacing w:line="560" w:lineRule="exact"/>
        <w:ind w:firstLine="640" w:firstLineChars="200"/>
        <w:rPr>
          <w:rFonts w:ascii="仿宋" w:hAnsi="仿宋" w:eastAsia="仿宋"/>
          <w:sz w:val="32"/>
          <w:szCs w:val="32"/>
        </w:rPr>
      </w:pPr>
    </w:p>
    <w:p>
      <w:pPr>
        <w:pStyle w:val="3"/>
        <w:ind w:firstLine="640" w:firstLineChars="200"/>
      </w:pPr>
      <w:bookmarkStart w:id="11" w:name="_Toc55204925"/>
      <w:r>
        <w:rPr>
          <w:rFonts w:hint="eastAsia"/>
        </w:rPr>
        <w:t>八、申请材料清单</w:t>
      </w:r>
      <w:bookmarkEnd w:id="11"/>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根据《深圳证券交易所公司债券上市规则（2023年修订）》第2.3条、第2.5条等规定，需提供下列材料：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发行结果公告；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债券实际募集数额的证明文件；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承销机构对发行人以及债券的相关情况进行全面核查的核查意见及承诺；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本所要求的其他文件。</w:t>
      </w:r>
    </w:p>
    <w:p>
      <w:pPr>
        <w:spacing w:line="560" w:lineRule="exact"/>
        <w:ind w:firstLine="640" w:firstLineChars="200"/>
        <w:rPr>
          <w:rFonts w:ascii="仿宋" w:hAnsi="仿宋" w:eastAsia="仿宋"/>
          <w:sz w:val="32"/>
          <w:szCs w:val="32"/>
        </w:rPr>
      </w:pPr>
    </w:p>
    <w:p>
      <w:pPr>
        <w:pStyle w:val="3"/>
        <w:ind w:firstLine="640" w:firstLineChars="200"/>
      </w:pPr>
      <w:bookmarkStart w:id="12" w:name="_Toc55204926"/>
      <w:r>
        <w:rPr>
          <w:rFonts w:hint="eastAsia"/>
        </w:rPr>
        <w:t>九、申请接收</w:t>
      </w:r>
      <w:bookmarkEnd w:id="12"/>
    </w:p>
    <w:p>
      <w:pPr>
        <w:spacing w:line="560" w:lineRule="exact"/>
        <w:ind w:firstLine="640" w:firstLineChars="200"/>
        <w:rPr>
          <w:rFonts w:ascii="仿宋" w:hAnsi="仿宋" w:eastAsia="仿宋"/>
          <w:sz w:val="32"/>
          <w:szCs w:val="32"/>
        </w:rPr>
      </w:pPr>
      <w:r>
        <w:rPr>
          <w:rFonts w:hint="eastAsia" w:ascii="仿宋" w:hAnsi="仿宋" w:eastAsia="仿宋"/>
          <w:sz w:val="32"/>
          <w:szCs w:val="32"/>
        </w:rPr>
        <w:t>承销商应通过深圳证券交易所“固定收益业务专区”（以下简称固收专区）</w:t>
      </w:r>
      <w:r>
        <w:rPr>
          <w:rFonts w:hint="eastAsia" w:eastAsia="方正仿宋简体"/>
          <w:sz w:val="32"/>
          <w:szCs w:val="32"/>
        </w:rPr>
        <w:t>（</w:t>
      </w:r>
      <w:r>
        <w:rPr>
          <w:rFonts w:ascii="仿宋" w:hAnsi="仿宋" w:eastAsia="仿宋"/>
          <w:sz w:val="32"/>
          <w:szCs w:val="32"/>
        </w:rPr>
        <w:t>https://biz.szse.cn/fic</w:t>
      </w:r>
      <w:r>
        <w:rPr>
          <w:rFonts w:hint="eastAsia" w:eastAsia="方正仿宋简体"/>
          <w:sz w:val="32"/>
          <w:szCs w:val="32"/>
        </w:rPr>
        <w:t>）</w:t>
      </w:r>
      <w:r>
        <w:rPr>
          <w:rFonts w:hint="eastAsia" w:ascii="仿宋" w:hAnsi="仿宋" w:eastAsia="仿宋"/>
          <w:sz w:val="32"/>
          <w:szCs w:val="32"/>
        </w:rPr>
        <w:t>提交上市申请的相关材料。</w:t>
      </w:r>
    </w:p>
    <w:p>
      <w:pPr>
        <w:spacing w:line="560" w:lineRule="exact"/>
        <w:ind w:firstLine="640" w:firstLineChars="200"/>
        <w:rPr>
          <w:rFonts w:ascii="仿宋" w:hAnsi="仿宋" w:eastAsia="仿宋"/>
          <w:sz w:val="32"/>
          <w:szCs w:val="32"/>
        </w:rPr>
      </w:pPr>
    </w:p>
    <w:p>
      <w:pPr>
        <w:pStyle w:val="3"/>
        <w:ind w:firstLine="640" w:firstLineChars="200"/>
      </w:pPr>
      <w:bookmarkStart w:id="13" w:name="_Toc55204927"/>
      <w:r>
        <w:rPr>
          <w:rFonts w:hint="eastAsia"/>
        </w:rPr>
        <w:t>十、办理流程</w:t>
      </w:r>
      <w:bookmarkEnd w:id="13"/>
    </w:p>
    <w:p>
      <w:pPr>
        <w:spacing w:line="560" w:lineRule="exact"/>
        <w:ind w:firstLine="640" w:firstLineChars="200"/>
        <w:rPr>
          <w:rFonts w:ascii="仿宋" w:hAnsi="仿宋" w:eastAsia="仿宋"/>
          <w:sz w:val="32"/>
          <w:szCs w:val="32"/>
        </w:rPr>
      </w:pPr>
      <w:r>
        <w:rPr>
          <w:rFonts w:hint="eastAsia" w:ascii="仿宋" w:hAnsi="仿宋" w:eastAsia="仿宋"/>
          <w:sz w:val="32"/>
          <w:szCs w:val="32"/>
        </w:rPr>
        <w:t>1. 公司债券（含企业债券）发行结束次日，承销商通过固收专区提交初始登记申请与上市申请。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初始登记完成后，深圳证券交易所做出是否同意上市的决定，承销商最晚于上市前一日通过固收专区提交并披露上市公告。</w:t>
      </w:r>
    </w:p>
    <w:p>
      <w:pPr>
        <w:spacing w:line="560" w:lineRule="exact"/>
        <w:ind w:firstLine="640" w:firstLineChars="200"/>
        <w:rPr>
          <w:rFonts w:ascii="仿宋" w:hAnsi="仿宋" w:eastAsia="仿宋"/>
          <w:sz w:val="32"/>
          <w:szCs w:val="32"/>
        </w:rPr>
      </w:pPr>
    </w:p>
    <w:p>
      <w:pPr>
        <w:pStyle w:val="3"/>
        <w:ind w:firstLine="640" w:firstLineChars="200"/>
      </w:pPr>
      <w:bookmarkStart w:id="14" w:name="_Toc55204928"/>
      <w:r>
        <w:rPr>
          <w:rFonts w:hint="eastAsia"/>
        </w:rPr>
        <w:t>十一、办理结果及送达</w:t>
      </w:r>
      <w:bookmarkEnd w:id="14"/>
    </w:p>
    <w:p>
      <w:pPr>
        <w:spacing w:line="560" w:lineRule="exact"/>
        <w:ind w:firstLine="640" w:firstLineChars="200"/>
        <w:rPr>
          <w:rFonts w:ascii="仿宋" w:hAnsi="仿宋" w:eastAsia="仿宋"/>
          <w:sz w:val="32"/>
          <w:szCs w:val="32"/>
        </w:rPr>
      </w:pPr>
      <w:r>
        <w:rPr>
          <w:rFonts w:hint="eastAsia" w:ascii="仿宋" w:hAnsi="仿宋" w:eastAsia="仿宋"/>
          <w:sz w:val="32"/>
          <w:szCs w:val="32"/>
        </w:rPr>
        <w:t>作出是否同意上市的决定后，深圳证券交易所于官网(www.szse.cn)披露相关公司债券（含企业债券）上市有关事项的通知。</w:t>
      </w:r>
    </w:p>
    <w:p>
      <w:pPr>
        <w:spacing w:line="560" w:lineRule="exact"/>
        <w:ind w:firstLine="640" w:firstLineChars="200"/>
        <w:rPr>
          <w:rFonts w:ascii="仿宋" w:hAnsi="仿宋" w:eastAsia="仿宋"/>
          <w:sz w:val="32"/>
          <w:szCs w:val="32"/>
        </w:rPr>
      </w:pPr>
    </w:p>
    <w:p>
      <w:pPr>
        <w:pStyle w:val="3"/>
        <w:ind w:firstLine="640" w:firstLineChars="200"/>
      </w:pPr>
      <w:bookmarkStart w:id="15" w:name="_Toc55204929"/>
      <w:r>
        <w:rPr>
          <w:rFonts w:hint="eastAsia"/>
        </w:rPr>
        <w:t>十二、咨询途径</w:t>
      </w:r>
      <w:bookmarkEnd w:id="15"/>
    </w:p>
    <w:p>
      <w:pPr>
        <w:spacing w:line="560" w:lineRule="exact"/>
        <w:ind w:firstLine="640" w:firstLineChars="200"/>
        <w:rPr>
          <w:rFonts w:ascii="仿宋" w:hAnsi="仿宋" w:eastAsia="仿宋"/>
          <w:sz w:val="32"/>
          <w:szCs w:val="32"/>
        </w:rPr>
      </w:pPr>
      <w:r>
        <w:rPr>
          <w:rFonts w:hint="eastAsia" w:ascii="仿宋" w:hAnsi="仿宋" w:eastAsia="仿宋"/>
          <w:sz w:val="32"/>
          <w:szCs w:val="32"/>
        </w:rPr>
        <w:t>电话咨询：（0755）88668721</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邮件咨询：</w:t>
      </w:r>
      <w:r>
        <w:rPr>
          <w:rStyle w:val="16"/>
          <w:rFonts w:hint="eastAsia" w:ascii="仿宋" w:hAnsi="仿宋" w:eastAsia="仿宋"/>
          <w:color w:val="auto"/>
          <w:sz w:val="32"/>
          <w:szCs w:val="32"/>
        </w:rPr>
        <w:t>szsebond@szse.cn</w:t>
      </w:r>
    </w:p>
    <w:p>
      <w:pPr>
        <w:spacing w:line="560" w:lineRule="exact"/>
        <w:ind w:firstLine="640" w:firstLineChars="200"/>
        <w:rPr>
          <w:rFonts w:ascii="仿宋" w:hAnsi="仿宋" w:eastAsia="仿宋"/>
          <w:sz w:val="32"/>
          <w:szCs w:val="32"/>
        </w:rPr>
      </w:pPr>
    </w:p>
    <w:p>
      <w:pPr>
        <w:pStyle w:val="3"/>
        <w:ind w:firstLine="640" w:firstLineChars="200"/>
      </w:pPr>
      <w:bookmarkStart w:id="16" w:name="_Toc55204930"/>
      <w:r>
        <w:rPr>
          <w:rFonts w:hint="eastAsia"/>
        </w:rPr>
        <w:t>十三、办理地点和时间</w:t>
      </w:r>
      <w:bookmarkEnd w:id="16"/>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深圳证券交易所固收专区7×24小时接受公司债券（含企业债券）上市申请。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179637"/>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992"/>
    <w:rsid w:val="0004496F"/>
    <w:rsid w:val="00052F7E"/>
    <w:rsid w:val="00082913"/>
    <w:rsid w:val="000B67BC"/>
    <w:rsid w:val="000E3BEF"/>
    <w:rsid w:val="000F3E49"/>
    <w:rsid w:val="00126895"/>
    <w:rsid w:val="00172A27"/>
    <w:rsid w:val="001E234E"/>
    <w:rsid w:val="001F044E"/>
    <w:rsid w:val="0020392E"/>
    <w:rsid w:val="00207932"/>
    <w:rsid w:val="00246A86"/>
    <w:rsid w:val="002B05ED"/>
    <w:rsid w:val="00305365"/>
    <w:rsid w:val="003121BA"/>
    <w:rsid w:val="003220BA"/>
    <w:rsid w:val="003558AD"/>
    <w:rsid w:val="00384FE1"/>
    <w:rsid w:val="003A3DC9"/>
    <w:rsid w:val="003B46FE"/>
    <w:rsid w:val="003C7AEE"/>
    <w:rsid w:val="00400A3B"/>
    <w:rsid w:val="00411D74"/>
    <w:rsid w:val="0041269F"/>
    <w:rsid w:val="00425B7B"/>
    <w:rsid w:val="004267FE"/>
    <w:rsid w:val="00434744"/>
    <w:rsid w:val="00466446"/>
    <w:rsid w:val="004B6376"/>
    <w:rsid w:val="004C104F"/>
    <w:rsid w:val="004D3E11"/>
    <w:rsid w:val="0054589A"/>
    <w:rsid w:val="005461FB"/>
    <w:rsid w:val="00553576"/>
    <w:rsid w:val="005C1A42"/>
    <w:rsid w:val="00603165"/>
    <w:rsid w:val="0061704F"/>
    <w:rsid w:val="00617A53"/>
    <w:rsid w:val="0063239D"/>
    <w:rsid w:val="00652CDD"/>
    <w:rsid w:val="00664DB9"/>
    <w:rsid w:val="006D3A86"/>
    <w:rsid w:val="006F3B4A"/>
    <w:rsid w:val="00714090"/>
    <w:rsid w:val="00745771"/>
    <w:rsid w:val="007B7F31"/>
    <w:rsid w:val="008343A1"/>
    <w:rsid w:val="00857581"/>
    <w:rsid w:val="00890994"/>
    <w:rsid w:val="008D3AD9"/>
    <w:rsid w:val="008E0759"/>
    <w:rsid w:val="008E7912"/>
    <w:rsid w:val="008F4861"/>
    <w:rsid w:val="0091667A"/>
    <w:rsid w:val="00966D8E"/>
    <w:rsid w:val="0097720E"/>
    <w:rsid w:val="009A238B"/>
    <w:rsid w:val="009E3269"/>
    <w:rsid w:val="009F5CA5"/>
    <w:rsid w:val="00A01725"/>
    <w:rsid w:val="00A06CD3"/>
    <w:rsid w:val="00A1485C"/>
    <w:rsid w:val="00A26027"/>
    <w:rsid w:val="00A52FA7"/>
    <w:rsid w:val="00A75E43"/>
    <w:rsid w:val="00AD6478"/>
    <w:rsid w:val="00AE6646"/>
    <w:rsid w:val="00B028C8"/>
    <w:rsid w:val="00B06B79"/>
    <w:rsid w:val="00B31B38"/>
    <w:rsid w:val="00B8738C"/>
    <w:rsid w:val="00BE0AF6"/>
    <w:rsid w:val="00CD147B"/>
    <w:rsid w:val="00CF24AA"/>
    <w:rsid w:val="00D479A2"/>
    <w:rsid w:val="00D81795"/>
    <w:rsid w:val="00DC68E1"/>
    <w:rsid w:val="00DE29FB"/>
    <w:rsid w:val="00DF3F8C"/>
    <w:rsid w:val="00E374BE"/>
    <w:rsid w:val="00ED3E37"/>
    <w:rsid w:val="00EF4FDE"/>
    <w:rsid w:val="00F519E6"/>
    <w:rsid w:val="00F54FCD"/>
    <w:rsid w:val="00F748C5"/>
    <w:rsid w:val="00FB24F4"/>
    <w:rsid w:val="06C404E3"/>
    <w:rsid w:val="0CC92C08"/>
    <w:rsid w:val="250F6321"/>
    <w:rsid w:val="25E30D30"/>
    <w:rsid w:val="3FC9642B"/>
    <w:rsid w:val="48D03218"/>
    <w:rsid w:val="4A17733A"/>
    <w:rsid w:val="5CE80F89"/>
    <w:rsid w:val="62FB59F7"/>
    <w:rsid w:val="6E795636"/>
    <w:rsid w:val="74BD0D2B"/>
    <w:rsid w:val="7A923F03"/>
    <w:rsid w:val="7A9C19C1"/>
    <w:rsid w:val="7B4C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4"/>
    <w:unhideWhenUsed/>
    <w:qFormat/>
    <w:uiPriority w:val="9"/>
    <w:pPr>
      <w:keepNext/>
      <w:keepLines/>
      <w:spacing w:line="560" w:lineRule="exact"/>
      <w:outlineLvl w:val="2"/>
    </w:pPr>
    <w:rPr>
      <w:rFonts w:eastAsia="仿宋"/>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unhideWhenUsed/>
    <w:qFormat/>
    <w:uiPriority w:val="99"/>
    <w:rPr>
      <w:color w:val="800080"/>
      <w:u w:val="single"/>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标题 2 Char"/>
    <w:basedOn w:val="14"/>
    <w:link w:val="3"/>
    <w:qFormat/>
    <w:uiPriority w:val="9"/>
    <w:rPr>
      <w:rFonts w:eastAsia="黑体" w:asciiTheme="majorHAnsi" w:hAnsiTheme="majorHAnsi" w:cstheme="majorBidi"/>
      <w:bCs/>
      <w:sz w:val="32"/>
      <w:szCs w:val="32"/>
    </w:rPr>
  </w:style>
  <w:style w:type="character" w:customStyle="1" w:styleId="24">
    <w:name w:val="标题 3 Char"/>
    <w:basedOn w:val="14"/>
    <w:link w:val="4"/>
    <w:qFormat/>
    <w:uiPriority w:val="9"/>
    <w:rPr>
      <w:rFonts w:eastAsia="仿宋"/>
      <w:b/>
      <w:bCs/>
      <w:sz w:val="32"/>
      <w:szCs w:val="32"/>
    </w:rPr>
  </w:style>
  <w:style w:type="character" w:customStyle="1" w:styleId="25">
    <w:name w:val="标题 1 Char"/>
    <w:basedOn w:val="14"/>
    <w:link w:val="2"/>
    <w:qFormat/>
    <w:uiPriority w:val="9"/>
    <w:rPr>
      <w:b/>
      <w:bCs/>
      <w:kern w:val="44"/>
      <w:sz w:val="44"/>
      <w:szCs w:val="44"/>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28">
    <w:name w:val="style_kwd1"/>
    <w:basedOn w:val="14"/>
    <w:qFormat/>
    <w:uiPriority w:val="0"/>
    <w:rPr>
      <w:shd w:val="clear" w:color="auto" w:fill="FFFFA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BC440-FAE9-4403-9742-51C5111D2D1E}">
  <ds:schemaRefs/>
</ds:datastoreItem>
</file>

<file path=docProps/app.xml><?xml version="1.0" encoding="utf-8"?>
<Properties xmlns="http://schemas.openxmlformats.org/officeDocument/2006/extended-properties" xmlns:vt="http://schemas.openxmlformats.org/officeDocument/2006/docPropsVTypes">
  <Template>Normal</Template>
  <Pages>4</Pages>
  <Words>319</Words>
  <Characters>1820</Characters>
  <Lines>15</Lines>
  <Paragraphs>4</Paragraphs>
  <TotalTime>0</TotalTime>
  <ScaleCrop>false</ScaleCrop>
  <LinksUpToDate>false</LinksUpToDate>
  <CharactersWithSpaces>2135</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2023-10-10T07:28:00Z</dcterms:created>
  <dc:creator>张畅[zhangchang]</dc:creator>
  <cp:lastModifiedBy>Administrator</cp:lastModifiedBy>
  <cp:lastPrinted>2020-10-23T07:24:00Z</cp:lastPrinted>
  <dcterms:modified xsi:type="dcterms:W3CDTF">2023-10-20T06:33:46Z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7A6F8E4E872C4388B6461AC122223D37</vt:lpwstr>
  </property>
</Properties>
</file>