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仿宋" w:hAnsi="仿宋" w:eastAsia="仿宋"/>
          <w:sz w:val="44"/>
          <w:szCs w:val="44"/>
        </w:rPr>
      </w:pPr>
    </w:p>
    <w:p>
      <w:pPr>
        <w:spacing w:line="560" w:lineRule="exact"/>
        <w:jc w:val="center"/>
        <w:rPr>
          <w:rFonts w:ascii="仿宋" w:hAnsi="仿宋" w:eastAsia="仿宋"/>
          <w:sz w:val="44"/>
          <w:szCs w:val="44"/>
        </w:rPr>
      </w:pPr>
      <w:r>
        <w:rPr>
          <w:rFonts w:hint="eastAsia" w:ascii="方正小标宋简体" w:hAnsi="仿宋" w:eastAsia="方正小标宋简体"/>
          <w:sz w:val="44"/>
          <w:szCs w:val="44"/>
        </w:rPr>
        <w:t>监管服务事项办事指南</w:t>
      </w:r>
    </w:p>
    <w:p>
      <w:pPr>
        <w:spacing w:line="560" w:lineRule="exact"/>
        <w:jc w:val="center"/>
        <w:rPr>
          <w:rFonts w:ascii="仿宋" w:hAnsi="仿宋" w:eastAsia="仿宋"/>
          <w:b/>
          <w:sz w:val="44"/>
          <w:szCs w:val="44"/>
        </w:rPr>
      </w:pPr>
      <w:r>
        <w:rPr>
          <w:rFonts w:hint="eastAsia" w:ascii="仿宋" w:hAnsi="仿宋" w:eastAsia="仿宋"/>
          <w:b/>
          <w:sz w:val="44"/>
          <w:szCs w:val="44"/>
        </w:rPr>
        <w:t>非公开发行公司债券挂牌条件确认申请</w:t>
      </w:r>
    </w:p>
    <w:p>
      <w:pPr>
        <w:spacing w:line="560" w:lineRule="exact"/>
        <w:jc w:val="center"/>
        <w:rPr>
          <w:rFonts w:ascii="仿宋" w:hAnsi="仿宋" w:eastAsia="仿宋"/>
          <w:sz w:val="32"/>
          <w:szCs w:val="32"/>
        </w:rPr>
      </w:pPr>
    </w:p>
    <w:p>
      <w:pPr>
        <w:snapToGrid w:val="0"/>
        <w:spacing w:line="560" w:lineRule="exact"/>
        <w:jc w:val="center"/>
        <w:rPr>
          <w:rFonts w:ascii="黑体" w:hAnsi="黑体" w:eastAsia="黑体"/>
          <w:sz w:val="32"/>
          <w:szCs w:val="32"/>
        </w:rPr>
      </w:pPr>
      <w:r>
        <w:rPr>
          <w:rFonts w:hint="eastAsia" w:ascii="黑体" w:hAnsi="黑体" w:eastAsia="黑体"/>
          <w:sz w:val="32"/>
          <w:szCs w:val="32"/>
        </w:rPr>
        <w:t>目录</w:t>
      </w:r>
      <w:bookmarkStart w:id="23" w:name="_GoBack"/>
      <w:bookmarkEnd w:id="23"/>
    </w:p>
    <w:p>
      <w:pPr>
        <w:snapToGrid w:val="0"/>
        <w:spacing w:line="560" w:lineRule="exact"/>
        <w:jc w:val="center"/>
        <w:rPr>
          <w:rFonts w:ascii="黑体" w:hAnsi="黑体" w:eastAsia="黑体"/>
          <w:sz w:val="32"/>
          <w:szCs w:val="32"/>
        </w:rPr>
      </w:pPr>
    </w:p>
    <w:p>
      <w:pPr>
        <w:pStyle w:val="10"/>
        <w:tabs>
          <w:tab w:val="right" w:leader="dot" w:pos="8306"/>
        </w:tabs>
        <w:adjustRightInd w:val="0"/>
        <w:snapToGrid w:val="0"/>
        <w:spacing w:line="400" w:lineRule="exact"/>
        <w:ind w:left="0" w:leftChars="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"_Toc54968015"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_Toc54968015 \h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"_Toc54968016"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_Toc54968016 \h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"_Toc54968017"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_Toc54968017 \h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"_Toc54968018"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_Toc54968018 \h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"_Toc54968019" </w:instrText>
      </w:r>
      <w:r>
        <w:fldChar w:fldCharType="separate"/>
      </w:r>
      <w:r>
        <w:rPr>
          <w:rFonts w:hint="eastAsia" w:ascii="仿宋" w:hAnsi="仿宋" w:eastAsia="仿宋" w:cs="仿宋"/>
          <w:sz w:val="28"/>
          <w:szCs w:val="28"/>
        </w:rPr>
        <w:t>五、收费标准及依据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_Toc54968019 \h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"_Toc54968020" </w:instrText>
      </w:r>
      <w:r>
        <w:fldChar w:fldCharType="separate"/>
      </w:r>
      <w:r>
        <w:rPr>
          <w:rFonts w:hint="eastAsia" w:ascii="仿宋" w:hAnsi="仿宋" w:eastAsia="仿宋" w:cs="仿宋"/>
          <w:sz w:val="28"/>
          <w:szCs w:val="28"/>
        </w:rPr>
        <w:t>六、办理时限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_Toc54968020 \h </w:instrText>
      </w:r>
      <w:r>
        <w:rPr>
          <w:rFonts w:hint="eastAsia" w:ascii="仿宋" w:hAnsi="仿宋" w:eastAsia="仿宋" w:cs="仿宋"/>
          <w:sz w:val="28"/>
          <w:szCs w:val="28"/>
        </w:rPr>
        <w:fldChar w:fldCharType="separate"/>
      </w:r>
      <w:r>
        <w:rPr>
          <w:rFonts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"_Toc54968021" </w:instrText>
      </w:r>
      <w:r>
        <w:fldChar w:fldCharType="separate"/>
      </w:r>
      <w:r>
        <w:rPr>
          <w:rFonts w:hint="eastAsia" w:ascii="仿宋" w:hAnsi="仿宋" w:eastAsia="仿宋" w:cs="仿宋"/>
          <w:sz w:val="28"/>
          <w:szCs w:val="28"/>
        </w:rPr>
        <w:t>七、办理情形和条件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_Toc54968021 \h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firstLine="420" w:firstLineChars="200"/>
        <w:rPr>
          <w:rFonts w:ascii="仿宋" w:hAnsi="仿宋" w:eastAsia="仿宋" w:cs="仿宋"/>
          <w:sz w:val="28"/>
          <w:szCs w:val="28"/>
        </w:rPr>
      </w:pPr>
      <w:r>
        <w:fldChar w:fldCharType="begin"/>
      </w:r>
      <w:r>
        <w:instrText xml:space="preserve"> HYPERLINK \l "_Toc54968022" </w:instrText>
      </w:r>
      <w:r>
        <w:fldChar w:fldCharType="separate"/>
      </w:r>
      <w:r>
        <w:rPr>
          <w:rFonts w:hint="eastAsia" w:ascii="仿宋" w:hAnsi="仿宋" w:eastAsia="仿宋" w:cs="仿宋"/>
          <w:sz w:val="28"/>
          <w:szCs w:val="28"/>
        </w:rPr>
        <w:t>（一）办理情形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_Toc54968022 \h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firstLine="420" w:firstLineChars="200"/>
        <w:rPr>
          <w:rFonts w:ascii="仿宋" w:hAnsi="仿宋" w:eastAsia="仿宋" w:cs="仿宋"/>
          <w:sz w:val="28"/>
          <w:szCs w:val="28"/>
        </w:rPr>
      </w:pPr>
      <w:r>
        <w:fldChar w:fldCharType="begin"/>
      </w:r>
      <w:r>
        <w:instrText xml:space="preserve"> HYPERLINK \l "_Toc54968023" </w:instrText>
      </w:r>
      <w:r>
        <w:fldChar w:fldCharType="separate"/>
      </w:r>
      <w:r>
        <w:rPr>
          <w:rFonts w:hint="eastAsia" w:ascii="仿宋" w:hAnsi="仿宋" w:eastAsia="仿宋" w:cs="仿宋"/>
          <w:sz w:val="28"/>
          <w:szCs w:val="28"/>
        </w:rPr>
        <w:t>（二）办理条件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_Toc54968023 \h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"_Toc54968024" </w:instrText>
      </w:r>
      <w:r>
        <w:fldChar w:fldCharType="separate"/>
      </w:r>
      <w:r>
        <w:rPr>
          <w:rFonts w:hint="eastAsia" w:ascii="仿宋" w:hAnsi="仿宋" w:eastAsia="仿宋" w:cs="仿宋"/>
          <w:sz w:val="28"/>
          <w:szCs w:val="28"/>
        </w:rPr>
        <w:t>八、补正情形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_Toc54968024 \h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"_Toc54968025" </w:instrText>
      </w:r>
      <w:r>
        <w:fldChar w:fldCharType="separate"/>
      </w:r>
      <w:r>
        <w:rPr>
          <w:rFonts w:hint="eastAsia" w:ascii="仿宋" w:hAnsi="仿宋" w:eastAsia="仿宋" w:cs="仿宋"/>
          <w:sz w:val="28"/>
          <w:szCs w:val="28"/>
        </w:rPr>
        <w:t>九、申请文件清单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_Toc54968025 \h </w:instrText>
      </w:r>
      <w:r>
        <w:rPr>
          <w:rFonts w:hint="eastAsia" w:ascii="仿宋" w:hAnsi="仿宋" w:eastAsia="仿宋" w:cs="仿宋"/>
          <w:sz w:val="28"/>
          <w:szCs w:val="28"/>
        </w:rPr>
        <w:fldChar w:fldCharType="separate"/>
      </w:r>
      <w:r>
        <w:rPr>
          <w:rFonts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"_Toc54968026" </w:instrText>
      </w:r>
      <w:r>
        <w:fldChar w:fldCharType="separate"/>
      </w:r>
      <w:r>
        <w:rPr>
          <w:rFonts w:hint="eastAsia" w:ascii="仿宋" w:hAnsi="仿宋" w:eastAsia="仿宋" w:cs="仿宋"/>
          <w:sz w:val="28"/>
          <w:szCs w:val="28"/>
        </w:rPr>
        <w:t>十、申请接收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_Toc54968026 \h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"_Toc54968027" </w:instrText>
      </w:r>
      <w:r>
        <w:fldChar w:fldCharType="separate"/>
      </w:r>
      <w:r>
        <w:rPr>
          <w:rFonts w:hint="eastAsia" w:ascii="仿宋" w:hAnsi="仿宋" w:eastAsia="仿宋" w:cs="仿宋"/>
          <w:sz w:val="28"/>
          <w:szCs w:val="28"/>
        </w:rPr>
        <w:t>十一、办理流程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_Toc54968027 \h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firstLine="420" w:firstLineChars="200"/>
        <w:rPr>
          <w:rFonts w:ascii="仿宋" w:hAnsi="仿宋" w:eastAsia="仿宋" w:cs="仿宋"/>
          <w:sz w:val="28"/>
          <w:szCs w:val="28"/>
        </w:rPr>
      </w:pPr>
      <w:r>
        <w:fldChar w:fldCharType="begin"/>
      </w:r>
      <w:r>
        <w:instrText xml:space="preserve"> HYPERLINK \l "_Toc54968028" </w:instrText>
      </w:r>
      <w:r>
        <w:fldChar w:fldCharType="separate"/>
      </w:r>
      <w:r>
        <w:rPr>
          <w:rFonts w:hint="eastAsia" w:ascii="仿宋" w:hAnsi="仿宋" w:eastAsia="仿宋" w:cs="仿宋"/>
          <w:sz w:val="28"/>
          <w:szCs w:val="28"/>
        </w:rPr>
        <w:t>（一）受理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_Toc54968028 \h </w:instrText>
      </w:r>
      <w:r>
        <w:rPr>
          <w:rFonts w:hint="eastAsia" w:ascii="仿宋" w:hAnsi="仿宋" w:eastAsia="仿宋" w:cs="仿宋"/>
          <w:sz w:val="28"/>
          <w:szCs w:val="28"/>
        </w:rPr>
        <w:fldChar w:fldCharType="separate"/>
      </w:r>
      <w:r>
        <w:rPr>
          <w:rFonts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firstLine="420" w:firstLineChars="200"/>
        <w:rPr>
          <w:rFonts w:ascii="仿宋" w:hAnsi="仿宋" w:eastAsia="仿宋" w:cs="仿宋"/>
          <w:sz w:val="28"/>
          <w:szCs w:val="28"/>
        </w:rPr>
      </w:pPr>
      <w:r>
        <w:fldChar w:fldCharType="begin"/>
      </w:r>
      <w:r>
        <w:instrText xml:space="preserve"> HYPERLINK \l "_Toc54968029" </w:instrText>
      </w:r>
      <w:r>
        <w:fldChar w:fldCharType="separate"/>
      </w:r>
      <w:r>
        <w:rPr>
          <w:rFonts w:hint="eastAsia" w:ascii="仿宋" w:hAnsi="仿宋" w:eastAsia="仿宋" w:cs="仿宋"/>
          <w:sz w:val="28"/>
          <w:szCs w:val="28"/>
        </w:rPr>
        <w:t>（二）核对与反馈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_Toc54968029 \h </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firstLine="420" w:firstLineChars="200"/>
        <w:rPr>
          <w:rFonts w:ascii="仿宋" w:hAnsi="仿宋" w:eastAsia="仿宋" w:cs="仿宋"/>
          <w:sz w:val="28"/>
          <w:szCs w:val="28"/>
        </w:rPr>
      </w:pPr>
      <w:r>
        <w:fldChar w:fldCharType="begin"/>
      </w:r>
      <w:r>
        <w:instrText xml:space="preserve"> HYPERLINK \l "_Toc54968030" </w:instrText>
      </w:r>
      <w:r>
        <w:fldChar w:fldCharType="separate"/>
      </w:r>
      <w:r>
        <w:rPr>
          <w:rFonts w:hint="eastAsia" w:ascii="仿宋" w:hAnsi="仿宋" w:eastAsia="仿宋" w:cs="仿宋"/>
          <w:sz w:val="28"/>
          <w:szCs w:val="28"/>
        </w:rPr>
        <w:t>（三）召开核对工作小组会议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_Toc54968030 \h </w:instrText>
      </w:r>
      <w:r>
        <w:rPr>
          <w:rFonts w:hint="eastAsia" w:ascii="仿宋" w:hAnsi="仿宋" w:eastAsia="仿宋" w:cs="仿宋"/>
          <w:sz w:val="28"/>
          <w:szCs w:val="28"/>
        </w:rPr>
        <w:fldChar w:fldCharType="separate"/>
      </w:r>
      <w:r>
        <w:rPr>
          <w:rFonts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firstLine="420" w:firstLineChars="200"/>
        <w:rPr>
          <w:rFonts w:ascii="仿宋" w:hAnsi="仿宋" w:eastAsia="仿宋" w:cs="仿宋"/>
          <w:sz w:val="28"/>
          <w:szCs w:val="28"/>
        </w:rPr>
      </w:pPr>
      <w:r>
        <w:fldChar w:fldCharType="begin"/>
      </w:r>
      <w:r>
        <w:instrText xml:space="preserve"> HYPERLINK \l "_Toc54968031" </w:instrText>
      </w:r>
      <w:r>
        <w:fldChar w:fldCharType="separate"/>
      </w:r>
      <w:r>
        <w:rPr>
          <w:rFonts w:hint="eastAsia" w:ascii="仿宋" w:hAnsi="仿宋" w:eastAsia="仿宋" w:cs="仿宋"/>
          <w:sz w:val="28"/>
          <w:szCs w:val="28"/>
        </w:rPr>
        <w:t>（四）特殊情形处理程序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_Toc54968031 \h </w:instrText>
      </w:r>
      <w:r>
        <w:rPr>
          <w:rFonts w:hint="eastAsia" w:ascii="仿宋" w:hAnsi="仿宋" w:eastAsia="仿宋" w:cs="仿宋"/>
          <w:sz w:val="28"/>
          <w:szCs w:val="28"/>
        </w:rPr>
        <w:fldChar w:fldCharType="separate"/>
      </w:r>
      <w:r>
        <w:rPr>
          <w:rFonts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firstLine="420" w:firstLineChars="200"/>
        <w:rPr>
          <w:rFonts w:ascii="仿宋" w:hAnsi="仿宋" w:eastAsia="仿宋" w:cs="仿宋"/>
          <w:sz w:val="28"/>
          <w:szCs w:val="28"/>
        </w:rPr>
      </w:pPr>
      <w:r>
        <w:fldChar w:fldCharType="begin"/>
      </w:r>
      <w:r>
        <w:instrText xml:space="preserve"> HYPERLINK \l "_Toc54968032" </w:instrText>
      </w:r>
      <w:r>
        <w:fldChar w:fldCharType="separate"/>
      </w:r>
      <w:r>
        <w:rPr>
          <w:rFonts w:hint="eastAsia" w:ascii="仿宋" w:hAnsi="仿宋" w:eastAsia="仿宋" w:cs="仿宋"/>
          <w:sz w:val="28"/>
          <w:szCs w:val="28"/>
        </w:rPr>
        <w:t>（五）期后事项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_Toc54968032 \h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"_Toc54968033" </w:instrText>
      </w:r>
      <w:r>
        <w:fldChar w:fldCharType="separate"/>
      </w:r>
      <w:r>
        <w:rPr>
          <w:rFonts w:hint="eastAsia" w:ascii="仿宋" w:hAnsi="仿宋" w:eastAsia="仿宋" w:cs="仿宋"/>
          <w:sz w:val="28"/>
          <w:szCs w:val="28"/>
        </w:rPr>
        <w:t>十二、办理结果及送达</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_Toc54968033 \h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"_Toc54968034" </w:instrText>
      </w:r>
      <w:r>
        <w:fldChar w:fldCharType="separate"/>
      </w:r>
      <w:r>
        <w:rPr>
          <w:rFonts w:hint="eastAsia" w:ascii="仿宋" w:hAnsi="仿宋" w:eastAsia="仿宋" w:cs="仿宋"/>
          <w:sz w:val="28"/>
          <w:szCs w:val="28"/>
        </w:rPr>
        <w:t>十三、咨询途径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_Toc54968034 \h </w:instrText>
      </w:r>
      <w:r>
        <w:rPr>
          <w:rFonts w:hint="eastAsia" w:ascii="仿宋" w:hAnsi="仿宋" w:eastAsia="仿宋" w:cs="仿宋"/>
          <w:sz w:val="28"/>
          <w:szCs w:val="28"/>
        </w:rPr>
        <w:fldChar w:fldCharType="separate"/>
      </w:r>
      <w:r>
        <w:rPr>
          <w:rFonts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cs="仿宋"/>
          <w:sz w:val="28"/>
          <w:szCs w:val="28"/>
        </w:rPr>
      </w:pPr>
      <w:r>
        <w:fldChar w:fldCharType="begin"/>
      </w:r>
      <w:r>
        <w:instrText xml:space="preserve"> HYPERLINK \l "_Toc54968035" </w:instrText>
      </w:r>
      <w:r>
        <w:fldChar w:fldCharType="separate"/>
      </w:r>
      <w:r>
        <w:rPr>
          <w:rFonts w:hint="eastAsia" w:ascii="仿宋" w:hAnsi="仿宋" w:eastAsia="仿宋" w:cs="仿宋"/>
          <w:sz w:val="28"/>
          <w:szCs w:val="28"/>
        </w:rPr>
        <w:t>十四、办理地址和时间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_Toc54968035 \h </w:instrText>
      </w:r>
      <w:r>
        <w:rPr>
          <w:rFonts w:hint="eastAsia" w:ascii="仿宋" w:hAnsi="仿宋" w:eastAsia="仿宋" w:cs="仿宋"/>
          <w:sz w:val="28"/>
          <w:szCs w:val="28"/>
        </w:rPr>
        <w:fldChar w:fldCharType="separate"/>
      </w:r>
      <w:r>
        <w:rPr>
          <w:rFonts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0"/>
        <w:tabs>
          <w:tab w:val="right" w:leader="dot" w:pos="8306"/>
        </w:tabs>
        <w:adjustRightInd w:val="0"/>
        <w:snapToGrid w:val="0"/>
        <w:spacing w:line="400" w:lineRule="exact"/>
        <w:ind w:left="0" w:leftChars="0"/>
        <w:rPr>
          <w:rFonts w:ascii="仿宋" w:hAnsi="仿宋" w:eastAsia="仿宋"/>
          <w:sz w:val="24"/>
          <w:szCs w:val="24"/>
        </w:rPr>
      </w:pPr>
      <w:r>
        <w:rPr>
          <w:rFonts w:hint="eastAsia" w:ascii="仿宋" w:hAnsi="仿宋" w:eastAsia="仿宋" w:cs="仿宋"/>
          <w:sz w:val="28"/>
          <w:szCs w:val="28"/>
        </w:rPr>
        <w:fldChar w:fldCharType="end"/>
      </w:r>
    </w:p>
    <w:p>
      <w:pPr>
        <w:widowControl/>
        <w:jc w:val="left"/>
        <w:rPr>
          <w:rFonts w:ascii="仿宋" w:hAnsi="仿宋" w:eastAsia="仿宋" w:cstheme="majorBidi"/>
          <w:bCs/>
          <w:sz w:val="40"/>
          <w:szCs w:val="32"/>
        </w:rPr>
      </w:pPr>
      <w:r>
        <w:rPr>
          <w:rFonts w:ascii="仿宋" w:hAnsi="仿宋" w:eastAsia="仿宋"/>
          <w:sz w:val="40"/>
        </w:rPr>
        <w:br w:type="page"/>
      </w:r>
    </w:p>
    <w:p>
      <w:pPr>
        <w:pStyle w:val="2"/>
        <w:ind w:firstLine="640" w:firstLineChars="200"/>
      </w:pPr>
      <w:bookmarkStart w:id="0" w:name="_Toc54968015"/>
      <w:r>
        <w:rPr>
          <w:rFonts w:hint="eastAsia"/>
        </w:rPr>
        <w:t>一、事项名称</w:t>
      </w:r>
      <w:bookmarkEnd w:id="0"/>
    </w:p>
    <w:p>
      <w:pPr>
        <w:spacing w:line="560" w:lineRule="exact"/>
        <w:ind w:firstLine="640" w:firstLineChars="200"/>
        <w:rPr>
          <w:rFonts w:ascii="仿宋" w:hAnsi="仿宋" w:eastAsia="仿宋"/>
          <w:sz w:val="32"/>
          <w:szCs w:val="32"/>
        </w:rPr>
      </w:pPr>
      <w:r>
        <w:rPr>
          <w:rFonts w:hint="eastAsia" w:ascii="仿宋" w:hAnsi="仿宋" w:eastAsia="仿宋"/>
          <w:sz w:val="32"/>
          <w:szCs w:val="32"/>
        </w:rPr>
        <w:t>非公开发行公司债券挂牌条件确认申请</w:t>
      </w:r>
    </w:p>
    <w:p>
      <w:pPr>
        <w:spacing w:line="560" w:lineRule="exact"/>
        <w:ind w:firstLine="640" w:firstLineChars="200"/>
        <w:rPr>
          <w:rFonts w:ascii="仿宋" w:hAnsi="仿宋" w:eastAsia="仿宋"/>
          <w:sz w:val="32"/>
          <w:szCs w:val="32"/>
        </w:rPr>
      </w:pPr>
    </w:p>
    <w:p>
      <w:pPr>
        <w:pStyle w:val="2"/>
        <w:ind w:firstLine="640" w:firstLineChars="200"/>
      </w:pPr>
      <w:bookmarkStart w:id="1" w:name="_Toc54968016"/>
      <w:r>
        <w:rPr>
          <w:rFonts w:hint="eastAsia"/>
        </w:rPr>
        <w:t>二、规则依据</w:t>
      </w:r>
      <w:bookmarkEnd w:id="1"/>
    </w:p>
    <w:p>
      <w:pPr>
        <w:spacing w:line="560" w:lineRule="exact"/>
        <w:ind w:firstLine="640" w:firstLineChars="200"/>
        <w:rPr>
          <w:rFonts w:ascii="仿宋" w:hAnsi="仿宋" w:eastAsia="仿宋"/>
          <w:sz w:val="32"/>
          <w:szCs w:val="32"/>
        </w:rPr>
      </w:pPr>
      <w:r>
        <w:rPr>
          <w:rFonts w:hint="eastAsia" w:ascii="仿宋" w:hAnsi="仿宋" w:eastAsia="仿宋"/>
          <w:sz w:val="32"/>
          <w:szCs w:val="32"/>
        </w:rPr>
        <w:t>《公司债券发行与交易管理办法（2023年修订）》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《深圳证券交易所非公开发行公司债券挂牌规则（2023年修订）》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《深圳证券交易所公司债券发行上市审核业务指引第5号——非公开发行公司债券挂牌条件确认程序（2023年修订）》</w:t>
      </w:r>
    </w:p>
    <w:p>
      <w:pPr>
        <w:spacing w:line="560" w:lineRule="exact"/>
        <w:ind w:firstLine="640" w:firstLineChars="200"/>
        <w:rPr>
          <w:rFonts w:ascii="仿宋" w:hAnsi="仿宋" w:eastAsia="仿宋"/>
          <w:sz w:val="32"/>
          <w:szCs w:val="32"/>
        </w:rPr>
      </w:pPr>
    </w:p>
    <w:p>
      <w:pPr>
        <w:pStyle w:val="2"/>
        <w:ind w:firstLine="640" w:firstLineChars="200"/>
      </w:pPr>
      <w:bookmarkStart w:id="2" w:name="_Toc54968017"/>
      <w:r>
        <w:rPr>
          <w:rFonts w:hint="eastAsia"/>
        </w:rPr>
        <w:t>三、受理部门</w:t>
      </w:r>
      <w:bookmarkEnd w:id="2"/>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2"/>
        <w:ind w:firstLine="640" w:firstLineChars="200"/>
      </w:pPr>
      <w:bookmarkStart w:id="3" w:name="_Toc54968018"/>
      <w:r>
        <w:rPr>
          <w:rFonts w:hint="eastAsia"/>
        </w:rPr>
        <w:t>四、办理部门</w:t>
      </w:r>
      <w:bookmarkEnd w:id="3"/>
    </w:p>
    <w:p>
      <w:pPr>
        <w:spacing w:line="560" w:lineRule="exact"/>
        <w:ind w:firstLine="640" w:firstLineChars="200"/>
        <w:rPr>
          <w:rFonts w:ascii="仿宋" w:hAnsi="仿宋" w:eastAsia="仿宋"/>
          <w:sz w:val="32"/>
          <w:szCs w:val="32"/>
        </w:rPr>
      </w:pPr>
      <w:r>
        <w:rPr>
          <w:rFonts w:hint="eastAsia" w:ascii="仿宋" w:hAnsi="仿宋" w:eastAsia="仿宋"/>
          <w:sz w:val="32"/>
          <w:szCs w:val="32"/>
        </w:rPr>
        <w:t>深圳证券交易所债券业务部</w:t>
      </w:r>
    </w:p>
    <w:p>
      <w:pPr>
        <w:spacing w:line="560" w:lineRule="exact"/>
        <w:ind w:firstLine="640" w:firstLineChars="200"/>
        <w:rPr>
          <w:rFonts w:ascii="仿宋" w:hAnsi="仿宋" w:eastAsia="仿宋"/>
          <w:sz w:val="32"/>
          <w:szCs w:val="32"/>
        </w:rPr>
      </w:pPr>
    </w:p>
    <w:p>
      <w:pPr>
        <w:pStyle w:val="2"/>
        <w:ind w:firstLine="640" w:firstLineChars="200"/>
      </w:pPr>
      <w:bookmarkStart w:id="4" w:name="_Toc54968019"/>
      <w:r>
        <w:rPr>
          <w:rFonts w:hint="eastAsia"/>
        </w:rPr>
        <w:t>五、收费标准及依据</w:t>
      </w:r>
      <w:bookmarkEnd w:id="4"/>
    </w:p>
    <w:p>
      <w:pPr>
        <w:spacing w:line="560" w:lineRule="exact"/>
        <w:ind w:firstLine="640" w:firstLineChars="200"/>
        <w:rPr>
          <w:rFonts w:ascii="仿宋" w:hAnsi="仿宋" w:eastAsia="仿宋"/>
          <w:sz w:val="32"/>
          <w:szCs w:val="32"/>
        </w:rPr>
      </w:pPr>
      <w:r>
        <w:rPr>
          <w:rFonts w:hint="eastAsia" w:ascii="仿宋" w:hAnsi="仿宋" w:eastAsia="仿宋"/>
          <w:sz w:val="32"/>
          <w:szCs w:val="32"/>
        </w:rPr>
        <w:t>不收费</w:t>
      </w:r>
    </w:p>
    <w:p>
      <w:pPr>
        <w:spacing w:line="560" w:lineRule="exact"/>
        <w:ind w:firstLine="640" w:firstLineChars="200"/>
        <w:rPr>
          <w:rFonts w:ascii="仿宋" w:hAnsi="仿宋" w:eastAsia="仿宋"/>
          <w:sz w:val="32"/>
          <w:szCs w:val="32"/>
        </w:rPr>
      </w:pPr>
    </w:p>
    <w:p>
      <w:pPr>
        <w:pStyle w:val="2"/>
        <w:ind w:firstLine="640" w:firstLineChars="200"/>
      </w:pPr>
      <w:bookmarkStart w:id="5" w:name="_Toc54968020"/>
      <w:r>
        <w:rPr>
          <w:rFonts w:hint="eastAsia"/>
        </w:rPr>
        <w:t>六、办理时限</w:t>
      </w:r>
      <w:bookmarkEnd w:id="5"/>
    </w:p>
    <w:p>
      <w:pPr>
        <w:spacing w:line="560" w:lineRule="exact"/>
        <w:ind w:firstLine="640" w:firstLineChars="200"/>
        <w:rPr>
          <w:rFonts w:ascii="仿宋" w:hAnsi="仿宋" w:eastAsia="仿宋"/>
          <w:sz w:val="32"/>
          <w:szCs w:val="32"/>
        </w:rPr>
      </w:pPr>
      <w:r>
        <w:rPr>
          <w:rFonts w:hint="eastAsia" w:ascii="仿宋" w:hAnsi="仿宋" w:eastAsia="仿宋"/>
          <w:kern w:val="0"/>
          <w:sz w:val="32"/>
          <w:szCs w:val="32"/>
        </w:rPr>
        <w:t>本所自受理申请文件之日起四十五个工作日内出具挂牌条件确认意见。</w:t>
      </w:r>
    </w:p>
    <w:p>
      <w:pPr>
        <w:spacing w:line="560" w:lineRule="exact"/>
        <w:ind w:firstLine="640" w:firstLineChars="200"/>
        <w:rPr>
          <w:rFonts w:ascii="仿宋" w:hAnsi="仿宋" w:eastAsia="仿宋"/>
          <w:sz w:val="32"/>
          <w:szCs w:val="32"/>
        </w:rPr>
      </w:pPr>
    </w:p>
    <w:p>
      <w:pPr>
        <w:pStyle w:val="2"/>
        <w:ind w:firstLine="640" w:firstLineChars="200"/>
      </w:pPr>
      <w:bookmarkStart w:id="6" w:name="_Toc54968021"/>
      <w:r>
        <w:rPr>
          <w:rFonts w:hint="eastAsia"/>
        </w:rPr>
        <w:t>七、办理情形和条件</w:t>
      </w:r>
      <w:bookmarkEnd w:id="6"/>
    </w:p>
    <w:p>
      <w:pPr>
        <w:pStyle w:val="4"/>
        <w:ind w:firstLine="643" w:firstLineChars="200"/>
        <w:rPr>
          <w:b w:val="0"/>
        </w:rPr>
      </w:pPr>
      <w:bookmarkStart w:id="7" w:name="_Toc54968022"/>
      <w:r>
        <w:rPr>
          <w:rFonts w:hint="eastAsia"/>
        </w:rPr>
        <w:t>（一）办理情形</w:t>
      </w:r>
      <w:bookmarkEnd w:id="7"/>
    </w:p>
    <w:p>
      <w:pPr>
        <w:spacing w:line="560" w:lineRule="exact"/>
        <w:ind w:firstLine="640" w:firstLineChars="200"/>
        <w:rPr>
          <w:rFonts w:ascii="仿宋" w:hAnsi="仿宋" w:eastAsia="仿宋"/>
          <w:sz w:val="32"/>
          <w:szCs w:val="32"/>
        </w:rPr>
      </w:pPr>
      <w:r>
        <w:rPr>
          <w:rFonts w:hint="eastAsia" w:ascii="仿宋" w:hAnsi="仿宋" w:eastAsia="仿宋"/>
          <w:sz w:val="32"/>
          <w:szCs w:val="32"/>
        </w:rPr>
        <w:t>非公开发行公司债券拟在本所挂牌转让的，应当在债券发行前向本所提交挂牌条件确认申请。</w:t>
      </w:r>
    </w:p>
    <w:p>
      <w:pPr>
        <w:pStyle w:val="4"/>
        <w:ind w:firstLine="643" w:firstLineChars="200"/>
        <w:rPr>
          <w:b w:val="0"/>
        </w:rPr>
      </w:pPr>
      <w:bookmarkStart w:id="8" w:name="_Toc54968023"/>
      <w:r>
        <w:rPr>
          <w:rFonts w:hint="eastAsia"/>
        </w:rPr>
        <w:t>（二）办理条件</w:t>
      </w:r>
      <w:bookmarkEnd w:id="8"/>
    </w:p>
    <w:p>
      <w:pPr>
        <w:spacing w:line="560" w:lineRule="exact"/>
        <w:ind w:firstLine="640" w:firstLineChars="200"/>
        <w:rPr>
          <w:rFonts w:ascii="仿宋" w:hAnsi="仿宋" w:eastAsia="仿宋"/>
          <w:kern w:val="0"/>
          <w:sz w:val="32"/>
          <w:szCs w:val="32"/>
        </w:rPr>
      </w:pPr>
      <w:r>
        <w:rPr>
          <w:rFonts w:hint="eastAsia" w:ascii="仿宋" w:hAnsi="仿宋" w:eastAsia="仿宋"/>
          <w:sz w:val="32"/>
          <w:szCs w:val="32"/>
        </w:rPr>
        <w:t>非公开发行公司债券并在本所挂牌的，应当符合《中华人民共和国证券法》《公司债券发行与交易管理办法》等法律、行政法规、部门规章和规范性文件以及本所《非公开发行公司债券挂牌规则》</w:t>
      </w:r>
      <w:r>
        <w:rPr>
          <w:rFonts w:hint="eastAsia" w:ascii="仿宋" w:hAnsi="仿宋" w:eastAsia="仿宋"/>
          <w:kern w:val="0"/>
          <w:sz w:val="32"/>
          <w:szCs w:val="32"/>
        </w:rPr>
        <w:t>等业务规则的要求，且不存在中国证券业协会《非公开发行公司债券项目承接负面清单》列示情形。</w:t>
      </w:r>
    </w:p>
    <w:p>
      <w:pPr>
        <w:spacing w:line="560" w:lineRule="exact"/>
        <w:ind w:firstLine="640" w:firstLineChars="200"/>
        <w:rPr>
          <w:rFonts w:ascii="仿宋" w:hAnsi="仿宋" w:eastAsia="仿宋"/>
          <w:sz w:val="32"/>
          <w:szCs w:val="32"/>
        </w:rPr>
      </w:pPr>
    </w:p>
    <w:p>
      <w:pPr>
        <w:pStyle w:val="2"/>
        <w:ind w:firstLine="640" w:firstLineChars="200"/>
      </w:pPr>
      <w:bookmarkStart w:id="9" w:name="_Toc54968024"/>
      <w:r>
        <w:rPr>
          <w:rFonts w:hint="eastAsia"/>
        </w:rPr>
        <w:t>八、不予受理情形</w:t>
      </w:r>
      <w:bookmarkEnd w:id="9"/>
    </w:p>
    <w:p>
      <w:pPr>
        <w:spacing w:line="560" w:lineRule="exact"/>
        <w:ind w:firstLine="640" w:firstLineChars="200"/>
        <w:rPr>
          <w:rFonts w:ascii="仿宋" w:hAnsi="仿宋" w:eastAsia="仿宋"/>
          <w:sz w:val="32"/>
          <w:szCs w:val="32"/>
        </w:rPr>
      </w:pPr>
      <w:r>
        <w:rPr>
          <w:rFonts w:hint="eastAsia" w:ascii="仿宋" w:hAnsi="仿宋" w:eastAsia="仿宋"/>
          <w:sz w:val="32"/>
          <w:szCs w:val="32"/>
        </w:rPr>
        <w:t>存在下列情形之一的，本所不予受理，并书面告知发行人和主承销商理由：</w:t>
      </w:r>
    </w:p>
    <w:p>
      <w:pPr>
        <w:widowControl/>
        <w:spacing w:line="560" w:lineRule="exact"/>
        <w:ind w:firstLine="640" w:firstLineChars="200"/>
        <w:rPr>
          <w:rFonts w:ascii="仿宋" w:hAnsi="仿宋" w:eastAsia="仿宋"/>
          <w:sz w:val="32"/>
          <w:szCs w:val="32"/>
        </w:rPr>
      </w:pPr>
      <w:r>
        <w:rPr>
          <w:rFonts w:hint="eastAsia" w:ascii="仿宋" w:hAnsi="仿宋" w:eastAsia="仿宋"/>
          <w:sz w:val="32"/>
          <w:szCs w:val="32"/>
        </w:rPr>
        <w:t>（一）申请文件不齐备且未按要求补正；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（二）法律法规和本所业务规则规定的其他情形。</w:t>
      </w:r>
    </w:p>
    <w:p>
      <w:pPr>
        <w:spacing w:line="560" w:lineRule="exact"/>
        <w:ind w:firstLine="640" w:firstLineChars="200"/>
        <w:rPr>
          <w:rFonts w:ascii="仿宋" w:hAnsi="仿宋" w:eastAsia="仿宋"/>
          <w:sz w:val="32"/>
          <w:szCs w:val="32"/>
        </w:rPr>
      </w:pPr>
    </w:p>
    <w:p>
      <w:pPr>
        <w:pStyle w:val="2"/>
        <w:ind w:firstLine="640" w:firstLineChars="200"/>
      </w:pPr>
      <w:bookmarkStart w:id="10" w:name="_Toc54968025"/>
      <w:r>
        <w:rPr>
          <w:rFonts w:hint="eastAsia"/>
        </w:rPr>
        <w:t>九、申请文件清单</w:t>
      </w:r>
      <w:bookmarkEnd w:id="10"/>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募集说明书；</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发行人关于本次债券挂牌条件确认的申请书；</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发行人董事会、股东会或者股东大会（或者法律法规和公司章程规定的有权机构）关于本次债券挂牌转让的决议；</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主承销商核查意见（自行销售非必备）；</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法律意见书；</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律师关于申请电子文件与预留原件一致的鉴证意见；</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发行人营业执照（副本）和公司章程复印件；</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发行人最近二年的财务报告和审计报告、最近一期的财务报告或者财务报表（本所上市公司非必备）；</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发行人董事会（或者法律法规和公司章程规定的有权机构）、会计师事务所以及注册会计师关于非标准意见审计报告的补充意见（如有）；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募集资金投向固定资产投资项目的原始合法性文件（如有）；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由会计师出具的发行人最近一年资产清单和专项说明（如有）；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债券受托管理协议；</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债券持有人会议规则；</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资信评级机构为本次发行公司债券出具的资信评级报告（如有）；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本次发行公司债券的担保合同、担保函、担保人就提供担保获得的授权文件（如有）；担保人最近一年的财务报告（注明是否经审计）以及最近一期的财务报告或者财务报表（如有）；担保财产的资产评估文件或者其他增信措施文件（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特定行业主管部门出具的监管意见书（如有）；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有关主管部门推荐意见（如有）；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发行人董事、监事和高级管理人员对申请文件真实性、准确性和完整性的确认意见；</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发行人关于申请文件不适用情况的说明（如有）；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发行人信息披露豁免申请（如有）；</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发行人和主承销商关于申请电子文件与预留原件一致的承诺函；</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主承销商关注事项核查对照表；</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主承销商和项目负责人近两年内承销债券违约情况；</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发行人、主承销商和证券服务机构联系表；</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诚信信息查询情况表；</w:t>
      </w:r>
    </w:p>
    <w:p>
      <w:pPr>
        <w:numPr>
          <w:ilvl w:val="0"/>
          <w:numId w:val="1"/>
        </w:numPr>
        <w:spacing w:line="560" w:lineRule="exact"/>
        <w:ind w:firstLine="640" w:firstLineChars="200"/>
        <w:rPr>
          <w:rFonts w:ascii="仿宋" w:hAnsi="仿宋" w:eastAsia="仿宋"/>
          <w:sz w:val="32"/>
          <w:szCs w:val="32"/>
        </w:rPr>
      </w:pPr>
      <w:r>
        <w:rPr>
          <w:rFonts w:hint="eastAsia" w:ascii="仿宋" w:hAnsi="仿宋" w:eastAsia="仿宋"/>
          <w:sz w:val="32"/>
          <w:szCs w:val="32"/>
        </w:rPr>
        <w:t>本所要求的其他文件。</w:t>
      </w:r>
    </w:p>
    <w:p>
      <w:pPr>
        <w:spacing w:line="560" w:lineRule="exact"/>
        <w:ind w:firstLine="640" w:firstLineChars="200"/>
        <w:rPr>
          <w:rFonts w:ascii="仿宋" w:hAnsi="仿宋" w:eastAsia="仿宋"/>
          <w:sz w:val="32"/>
          <w:szCs w:val="32"/>
        </w:rPr>
      </w:pPr>
    </w:p>
    <w:p>
      <w:pPr>
        <w:pStyle w:val="2"/>
        <w:ind w:firstLine="640" w:firstLineChars="200"/>
      </w:pPr>
      <w:bookmarkStart w:id="11" w:name="_Toc54968026"/>
      <w:r>
        <w:rPr>
          <w:rFonts w:hint="eastAsia"/>
        </w:rPr>
        <w:t>十、申请接收</w:t>
      </w:r>
      <w:bookmarkEnd w:id="11"/>
    </w:p>
    <w:p>
      <w:pPr>
        <w:spacing w:line="560" w:lineRule="exact"/>
        <w:ind w:firstLine="640" w:firstLineChars="200"/>
        <w:rPr>
          <w:rFonts w:ascii="仿宋" w:hAnsi="仿宋"/>
          <w:b/>
        </w:rPr>
      </w:pPr>
      <w:bookmarkStart w:id="12" w:name="_Toc54364211"/>
      <w:r>
        <w:rPr>
          <w:rFonts w:hint="eastAsia" w:ascii="仿宋" w:hAnsi="仿宋" w:eastAsia="仿宋"/>
          <w:sz w:val="32"/>
          <w:szCs w:val="32"/>
        </w:rPr>
        <w:t>主承销商通过“固定收益品种业务专区”（以下简称固收专区）（</w:t>
      </w:r>
      <w:r>
        <w:rPr>
          <w:rFonts w:ascii="仿宋" w:hAnsi="仿宋" w:eastAsia="仿宋"/>
          <w:sz w:val="32"/>
          <w:szCs w:val="32"/>
        </w:rPr>
        <w:t>https://biz.szse.cn/fic</w:t>
      </w:r>
      <w:r>
        <w:rPr>
          <w:rFonts w:hint="eastAsia" w:ascii="仿宋" w:hAnsi="仿宋" w:eastAsia="仿宋"/>
          <w:sz w:val="32"/>
          <w:szCs w:val="32"/>
        </w:rPr>
        <w:t>）提交相关申请文件。</w:t>
      </w:r>
      <w:bookmarkEnd w:id="12"/>
    </w:p>
    <w:p>
      <w:pPr>
        <w:spacing w:line="560" w:lineRule="exact"/>
        <w:ind w:firstLine="422" w:firstLineChars="200"/>
        <w:rPr>
          <w:rFonts w:ascii="仿宋" w:hAnsi="仿宋"/>
          <w:b/>
        </w:rPr>
      </w:pPr>
    </w:p>
    <w:p>
      <w:pPr>
        <w:pStyle w:val="2"/>
        <w:ind w:firstLine="640" w:firstLineChars="200"/>
      </w:pPr>
      <w:bookmarkStart w:id="13" w:name="_Toc54968027"/>
      <w:r>
        <w:rPr>
          <w:rFonts w:hint="eastAsia"/>
        </w:rPr>
        <w:t>十一、办理流程</w:t>
      </w:r>
      <w:bookmarkEnd w:id="13"/>
    </w:p>
    <w:p>
      <w:pPr>
        <w:pStyle w:val="4"/>
        <w:ind w:firstLine="643" w:firstLineChars="200"/>
      </w:pPr>
      <w:bookmarkStart w:id="14" w:name="_Toc54968028"/>
      <w:r>
        <w:rPr>
          <w:rFonts w:hint="eastAsia"/>
        </w:rPr>
        <w:t>（一）受理</w:t>
      </w:r>
      <w:bookmarkEnd w:id="14"/>
    </w:p>
    <w:p>
      <w:pPr>
        <w:spacing w:line="560" w:lineRule="exact"/>
        <w:ind w:firstLine="640" w:firstLineChars="200"/>
        <w:rPr>
          <w:rFonts w:ascii="仿宋" w:hAnsi="仿宋" w:eastAsia="仿宋"/>
          <w:sz w:val="32"/>
          <w:szCs w:val="32"/>
        </w:rPr>
      </w:pPr>
      <w:r>
        <w:rPr>
          <w:rFonts w:hint="eastAsia" w:ascii="仿宋" w:hAnsi="仿宋" w:eastAsia="仿宋"/>
          <w:sz w:val="32"/>
          <w:szCs w:val="32"/>
        </w:rPr>
        <w:t>主承销商应当登录本所固收专区提交债券挂牌条件确认申请文件。本所对申请文件是否齐备和是否符合规定形式要求进行核对。申请文件齐备且符合要求的，本所予以受理，申请文件不齐备或者不符合要求的，本所一次性告知需补正的事项。发行人、主承销商应当及时予以补正，补正时间最长不得超过三十个工作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发行人、主承销商在三十个工作日内提交补正申请材料确有困难的，可以提交延期补正的书面申请，并说明理由；经本所认可后，可以延长补正时间，但延长时间最长不超过三十个工作日。</w:t>
      </w:r>
    </w:p>
    <w:p>
      <w:pPr>
        <w:pStyle w:val="4"/>
        <w:ind w:firstLine="643" w:firstLineChars="200"/>
      </w:pPr>
      <w:bookmarkStart w:id="15" w:name="_Toc54968029"/>
      <w:r>
        <w:rPr>
          <w:rFonts w:hint="eastAsia"/>
        </w:rPr>
        <w:t>（二）核对与反馈</w:t>
      </w:r>
      <w:bookmarkEnd w:id="15"/>
    </w:p>
    <w:p>
      <w:pPr>
        <w:spacing w:line="560" w:lineRule="exact"/>
        <w:ind w:firstLine="640" w:firstLineChars="200"/>
        <w:rPr>
          <w:rFonts w:ascii="仿宋" w:hAnsi="仿宋" w:eastAsia="仿宋"/>
          <w:sz w:val="32"/>
          <w:szCs w:val="32"/>
        </w:rPr>
      </w:pPr>
      <w:r>
        <w:rPr>
          <w:rFonts w:hint="eastAsia" w:ascii="仿宋" w:hAnsi="仿宋" w:eastAsia="仿宋"/>
          <w:sz w:val="32"/>
          <w:szCs w:val="32"/>
        </w:rPr>
        <w:t>自受理申请文件之日起十个工作日内，本所</w:t>
      </w:r>
      <w:r>
        <w:rPr>
          <w:rFonts w:hint="eastAsia" w:ascii="仿宋" w:hAnsi="仿宋" w:eastAsia="仿宋"/>
          <w:kern w:val="0"/>
          <w:sz w:val="32"/>
          <w:szCs w:val="32"/>
        </w:rPr>
        <w:t>出具反馈意见。</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发行人和主承销商应当自收到反馈意见之日起三十个工作日内提交反馈意见回复，本所另有规定的除外，并由发行人和主承销商加盖公章；反馈意见回复涉及修改申请文件的，应当同时提交修改后的申请文件和修改说明。</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不能在规定时间内提交反馈意见回复的，发行人和主承销商应当在回复期限届满前向本所提交延期回复申请，说明理由。延期回复时间最长不超过三十个工作日。</w:t>
      </w:r>
    </w:p>
    <w:p>
      <w:pPr>
        <w:spacing w:line="560" w:lineRule="exact"/>
        <w:ind w:firstLine="640" w:firstLineChars="200"/>
        <w:rPr>
          <w:rFonts w:ascii="仿宋" w:hAnsi="仿宋" w:eastAsia="仿宋"/>
          <w:sz w:val="32"/>
          <w:szCs w:val="32"/>
        </w:rPr>
      </w:pPr>
      <w:r>
        <w:rPr>
          <w:rFonts w:hint="eastAsia" w:ascii="仿宋" w:hAnsi="仿宋" w:eastAsia="仿宋"/>
          <w:kern w:val="0"/>
          <w:sz w:val="32"/>
          <w:szCs w:val="32"/>
        </w:rPr>
        <w:t>本所收到发行人、主承销商提交的反馈意见回复和经修改的申请文件，认为需要继续出具反馈意见的，自收到反馈意见回复之日起十个工作日内再次出具反馈意见。</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不需要出具反馈意见的，本所应当自受理申请文件之日起十个工作日内通知发行人和主承销商，并自通知之日起五个工作日内召开挂牌工作小组会议进行审议。</w:t>
      </w:r>
    </w:p>
    <w:p>
      <w:pPr>
        <w:pStyle w:val="4"/>
        <w:ind w:firstLine="643" w:firstLineChars="200"/>
      </w:pPr>
      <w:bookmarkStart w:id="16" w:name="_Toc54968030"/>
      <w:r>
        <w:rPr>
          <w:rFonts w:hint="eastAsia"/>
        </w:rPr>
        <w:t>（三）召开</w:t>
      </w:r>
      <w:bookmarkEnd w:id="16"/>
      <w:r>
        <w:rPr>
          <w:rFonts w:hint="eastAsia"/>
        </w:rPr>
        <w:t>挂牌工作小组会议</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反馈意见回复符合要求的，本所自确认反馈意见回复符合要求之日起五个工作日内召开挂牌工作小组会议进行审议。挂牌工作小组会议通过合议形成通过或者不通过的审议意见。</w:t>
      </w:r>
    </w:p>
    <w:p>
      <w:pPr>
        <w:spacing w:line="560" w:lineRule="exact"/>
        <w:ind w:firstLine="640" w:firstLineChars="200"/>
        <w:rPr>
          <w:rFonts w:ascii="仿宋" w:hAnsi="仿宋" w:eastAsia="仿宋"/>
          <w:sz w:val="32"/>
          <w:szCs w:val="32"/>
        </w:rPr>
      </w:pPr>
      <w:r>
        <w:rPr>
          <w:rFonts w:hint="eastAsia" w:ascii="仿宋" w:hAnsi="仿宋" w:eastAsia="仿宋"/>
          <w:kern w:val="0"/>
          <w:sz w:val="32"/>
          <w:szCs w:val="32"/>
        </w:rPr>
        <w:t>挂牌工作小组会议审议意见为通过且不存在需要补充披露或者完善事项的，本所自挂牌工作小组会议形成审议意见之日起一个工作日内通知发行人和主承销商。</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挂牌工作小组会议审议意见为通过但要求发行人、主承销商和证券服务机构补充披露或者完善相关事项的，本所自挂牌工作小组会议形成审议意见之日起一个工作日内告知相关事项。</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发行人、主承销商和证券服务机构应当落实相关事项并及时更新申请文件。</w:t>
      </w:r>
      <w:r>
        <w:rPr>
          <w:rFonts w:hint="eastAsia" w:ascii="仿宋" w:hAnsi="仿宋" w:eastAsia="仿宋" w:cs="黑体"/>
          <w:bCs/>
          <w:sz w:val="32"/>
          <w:szCs w:val="32"/>
        </w:rPr>
        <w:t>本所对补充披露或者完善事项的落实情况予以核对，并由参会挂牌工作小组成员予以确认，不再另行召开挂牌工作小组会议审议。本所自确认补充披露或者完</w:t>
      </w:r>
      <w:r>
        <w:rPr>
          <w:rFonts w:hint="eastAsia" w:ascii="仿宋" w:hAnsi="仿宋" w:eastAsia="仿宋"/>
          <w:kern w:val="0"/>
          <w:sz w:val="32"/>
          <w:szCs w:val="32"/>
        </w:rPr>
        <w:t>善的事项落实之日起一个工作日内通知发行人和主承销商。</w:t>
      </w:r>
    </w:p>
    <w:p>
      <w:pPr>
        <w:spacing w:line="560" w:lineRule="exact"/>
        <w:ind w:firstLine="640" w:firstLineChars="200"/>
        <w:rPr>
          <w:rFonts w:ascii="仿宋" w:hAnsi="仿宋" w:eastAsia="仿宋"/>
          <w:kern w:val="0"/>
        </w:rPr>
      </w:pPr>
      <w:r>
        <w:rPr>
          <w:rFonts w:hint="eastAsia" w:ascii="仿宋" w:hAnsi="仿宋" w:eastAsia="仿宋"/>
          <w:kern w:val="0"/>
          <w:sz w:val="32"/>
          <w:szCs w:val="32"/>
        </w:rPr>
        <w:t>挂牌工作小组会议形成通过的审议意见，且补充披露、完善相关事项（如有）已按本所要求落实的，核对人员于一个工作日内通知发行人及主承销商提交申请文件，发行人和主承销商应当自收到通知之日起一个月内提交符合要求的申请文件。确有困难的，发行人和主承销商可以提交书面延期申请，并说明理由；经本所认可后，可以延长申请文件提交时间，但延长时间最长不超过二个月。</w:t>
      </w:r>
    </w:p>
    <w:p>
      <w:pPr>
        <w:spacing w:line="560" w:lineRule="exact"/>
        <w:ind w:firstLine="640" w:firstLineChars="200"/>
        <w:rPr>
          <w:rFonts w:ascii="仿宋" w:hAnsi="仿宋" w:eastAsia="仿宋"/>
          <w:sz w:val="32"/>
          <w:szCs w:val="32"/>
        </w:rPr>
      </w:pPr>
      <w:r>
        <w:rPr>
          <w:rFonts w:hint="eastAsia" w:ascii="仿宋" w:hAnsi="仿宋" w:eastAsia="仿宋"/>
          <w:kern w:val="0"/>
          <w:sz w:val="32"/>
          <w:szCs w:val="32"/>
        </w:rPr>
        <w:t>挂牌工作小组会议审议意见为不通过的，本所向发行人出具终止挂牌条件确认文件并告知理由。</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因存在尚待核实的重大问题，无法形成审议意见的，挂牌工作小组会议可以暂缓审议。</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暂缓审议的，本所自挂牌工作小组会议召开之日起五个工作日内向发行人和主承销商出具落实意见。本所自收到符合要求的落实意见回复文件之日起五个工作日内再次召开挂牌工作小组会议进行审议。</w:t>
      </w:r>
    </w:p>
    <w:p>
      <w:pPr>
        <w:spacing w:line="560" w:lineRule="exact"/>
        <w:ind w:firstLine="640" w:firstLineChars="200"/>
        <w:rPr>
          <w:rFonts w:ascii="仿宋" w:hAnsi="仿宋" w:eastAsia="仿宋"/>
          <w:kern w:val="0"/>
          <w:sz w:val="32"/>
          <w:szCs w:val="32"/>
        </w:rPr>
      </w:pPr>
      <w:r>
        <w:rPr>
          <w:rFonts w:hint="eastAsia" w:ascii="仿宋" w:hAnsi="仿宋" w:eastAsia="仿宋"/>
          <w:kern w:val="0"/>
          <w:sz w:val="32"/>
          <w:szCs w:val="32"/>
        </w:rPr>
        <w:t>本所认为公司债券符合挂牌条件且信息披露符合要求的，原则上自挂牌工作小组会议形成通过的审议意见且相关要求（如有）落实之日起五个工作日内，向发行人出具挂牌条件确认文件。</w:t>
      </w:r>
    </w:p>
    <w:p>
      <w:pPr>
        <w:pStyle w:val="4"/>
        <w:ind w:firstLine="643" w:firstLineChars="200"/>
      </w:pPr>
      <w:bookmarkStart w:id="17" w:name="_Toc54968031"/>
      <w:r>
        <w:rPr>
          <w:rFonts w:hint="eastAsia"/>
        </w:rPr>
        <w:t>（四）特殊情形处理程序</w:t>
      </w:r>
      <w:bookmarkEnd w:id="17"/>
    </w:p>
    <w:p>
      <w:pPr>
        <w:spacing w:line="560" w:lineRule="exact"/>
        <w:ind w:firstLine="643" w:firstLineChars="200"/>
        <w:rPr>
          <w:rFonts w:ascii="仿宋" w:hAnsi="仿宋" w:eastAsia="仿宋" w:cs="Times New Roman"/>
          <w:b/>
          <w:sz w:val="30"/>
          <w:szCs w:val="30"/>
        </w:rPr>
      </w:pPr>
      <w:r>
        <w:rPr>
          <w:rFonts w:hint="eastAsia" w:ascii="仿宋" w:hAnsi="仿宋" w:eastAsia="仿宋"/>
          <w:b/>
          <w:sz w:val="32"/>
          <w:szCs w:val="32"/>
        </w:rPr>
        <w:t>1. 中止情形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挂牌条件确认工作过程中，发生下列情形之一的，发行人、主承销商和证券服务机构应当及时书面报告本所，本所可以中止核对：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（1）发行人因涉嫌违法违规被行政机关调查或者被司法机关侦查，尚未结案，预计对其公司债券发行、挂牌影响重大；</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（2）主承销商、证券服务机构被中国证监会依法采取限制业务活动、责令停业整顿、指定其他机构托管、接管等监管措施，或者被本所实施一定期限内不接受其出具相关文件的纪律处分，尚未解除；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（3）主承销商、证券服务机构签字人员被中国证监会依法采取限制从事证券服务业务等监管措施或者证券市场禁入的措施，或者被本所实施一定期限内不接受其出具的相关文件的纪律处分，尚未解除；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（4）发行人未在要求的期限内对申请文件作出解释说明或者补充、修改；</w:t>
      </w:r>
    </w:p>
    <w:p>
      <w:pPr>
        <w:ind w:firstLine="640" w:firstLineChars="200"/>
        <w:rPr>
          <w:rFonts w:ascii="仿宋" w:hAnsi="仿宋" w:eastAsia="仿宋"/>
        </w:rPr>
      </w:pPr>
      <w:r>
        <w:rPr>
          <w:rFonts w:hint="eastAsia" w:ascii="仿宋" w:hAnsi="仿宋" w:eastAsia="仿宋"/>
          <w:color w:val="000000"/>
          <w:sz w:val="32"/>
          <w:szCs w:val="32"/>
        </w:rPr>
        <w:t>（</w:t>
      </w:r>
      <w:r>
        <w:rPr>
          <w:rFonts w:hint="eastAsia" w:ascii="仿宋" w:hAnsi="仿宋" w:eastAsia="仿宋"/>
          <w:sz w:val="32"/>
          <w:szCs w:val="32"/>
        </w:rPr>
        <w:t>5</w:t>
      </w:r>
      <w:r>
        <w:rPr>
          <w:rFonts w:hint="eastAsia" w:ascii="仿宋" w:hAnsi="仿宋" w:eastAsia="仿宋"/>
          <w:color w:val="000000"/>
          <w:sz w:val="32"/>
          <w:szCs w:val="32"/>
        </w:rPr>
        <w:t>）未</w:t>
      </w:r>
      <w:r>
        <w:rPr>
          <w:rFonts w:hint="eastAsia" w:ascii="仿宋" w:hAnsi="仿宋" w:eastAsia="仿宋"/>
          <w:sz w:val="32"/>
          <w:szCs w:val="32"/>
        </w:rPr>
        <w:t>按规定时限提交符合要求的申请文件；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（6）发行人或者主承销商主动要求中止核对且理由正当；</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（7）本所规定的其他情形。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本所中止核对的期限不超过三个月。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本所根据发行人、主承销商申请，决定中止核对的，待相关情形消失后，发行人、主承销商可以向本所申请恢复核对。本所依据相关规定中止核对的，待相关情形消失后，本所按规定恢复核对。</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自恢复核对之日起，</w:t>
      </w:r>
      <w:r>
        <w:rPr>
          <w:rFonts w:hint="eastAsia" w:ascii="仿宋" w:hAnsi="仿宋" w:eastAsia="仿宋"/>
          <w:kern w:val="0"/>
          <w:sz w:val="32"/>
          <w:szCs w:val="32"/>
        </w:rPr>
        <w:t>发行人、主承销商</w:t>
      </w:r>
      <w:r>
        <w:rPr>
          <w:rFonts w:hint="eastAsia" w:ascii="仿宋" w:hAnsi="仿宋" w:eastAsia="仿宋"/>
          <w:sz w:val="32"/>
          <w:szCs w:val="32"/>
        </w:rPr>
        <w:t>应当于十五个工作日内更新申请文件。</w:t>
      </w:r>
    </w:p>
    <w:p>
      <w:pPr>
        <w:numPr>
          <w:ilvl w:val="0"/>
          <w:numId w:val="2"/>
        </w:numPr>
        <w:spacing w:line="560" w:lineRule="exact"/>
        <w:ind w:firstLine="643" w:firstLineChars="200"/>
        <w:rPr>
          <w:rFonts w:ascii="仿宋" w:hAnsi="仿宋" w:eastAsia="仿宋"/>
          <w:b/>
          <w:sz w:val="32"/>
          <w:szCs w:val="32"/>
        </w:rPr>
      </w:pPr>
      <w:r>
        <w:rPr>
          <w:rFonts w:hint="eastAsia" w:ascii="仿宋" w:hAnsi="仿宋" w:eastAsia="仿宋"/>
          <w:b/>
          <w:sz w:val="32"/>
          <w:szCs w:val="32"/>
        </w:rPr>
        <w:t>终止情形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挂牌条件确认工作过程中，发生下列情形之一的，本所可以终止核对并通知发行人、主承销商：</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（1）发行人主动撤回申请或者主承销商申请撤回所出具的核查意见；</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（2）发行人法人资格终止；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（3）发行人阻碍或者拒绝中国证监会、本所依法对发行人实施检查、核查；</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（4）发行人及其关联方以不正当手段严重干扰挂牌条件确认工作；</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（5）申请文件存在虚假记载、误导性陈述或者重大遗漏；</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（6）申请文件内容存在重大缺陷，严重影响挂牌条件确认工作和投资者理解；</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（7）中止核对超过三个月；</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（8）本所认为公司债券不符合挂牌条件或者信息披露要求；</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（9）本所认为需要终止核对的其他情形。</w:t>
      </w:r>
    </w:p>
    <w:p>
      <w:pPr>
        <w:pStyle w:val="4"/>
        <w:ind w:firstLine="643" w:firstLineChars="200"/>
      </w:pPr>
      <w:bookmarkStart w:id="18" w:name="_Toc54968032"/>
      <w:r>
        <w:rPr>
          <w:rFonts w:hint="eastAsia"/>
        </w:rPr>
        <w:t>（五）期后事项</w:t>
      </w:r>
      <w:bookmarkEnd w:id="18"/>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本所出具挂牌条件确认文件后至公司债券挂牌前，出现可能影响本次债券发行和挂牌的重大事项的，发行人、主承销商、证券服务机构应当向本所提交专项说明和核查意见。本所收到相关文件后，应当及时处理。</w:t>
      </w:r>
      <w:r>
        <w:rPr>
          <w:rFonts w:ascii="仿宋" w:hAnsi="仿宋" w:eastAsia="仿宋"/>
          <w:sz w:val="32"/>
          <w:szCs w:val="32"/>
        </w:rPr>
        <w:cr/>
      </w:r>
    </w:p>
    <w:p>
      <w:pPr>
        <w:pStyle w:val="2"/>
        <w:ind w:firstLine="640" w:firstLineChars="200"/>
      </w:pPr>
      <w:bookmarkStart w:id="19" w:name="_Toc54968033"/>
      <w:r>
        <w:rPr>
          <w:rFonts w:hint="eastAsia"/>
        </w:rPr>
        <w:t>十二、办理结果及送达</w:t>
      </w:r>
      <w:bookmarkEnd w:id="19"/>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本所对非公开发行公司债券是否符合挂牌条件出具的相关意见通过固收专区通知主承销商。</w:t>
      </w:r>
    </w:p>
    <w:p>
      <w:pPr>
        <w:spacing w:line="560" w:lineRule="exact"/>
        <w:ind w:firstLine="640" w:firstLineChars="200"/>
        <w:rPr>
          <w:rFonts w:ascii="仿宋" w:hAnsi="仿宋" w:eastAsia="仿宋"/>
          <w:sz w:val="32"/>
          <w:szCs w:val="32"/>
        </w:rPr>
      </w:pPr>
    </w:p>
    <w:p>
      <w:pPr>
        <w:pStyle w:val="2"/>
        <w:ind w:firstLine="640" w:firstLineChars="200"/>
      </w:pPr>
      <w:bookmarkStart w:id="20" w:name="_Toc54968034"/>
      <w:r>
        <w:rPr>
          <w:rFonts w:hint="eastAsia"/>
        </w:rPr>
        <w:t>十三、咨询途径</w:t>
      </w:r>
      <w:bookmarkEnd w:id="20"/>
    </w:p>
    <w:p>
      <w:pPr>
        <w:spacing w:line="560" w:lineRule="exact"/>
        <w:ind w:firstLine="640" w:firstLineChars="200"/>
        <w:rPr>
          <w:rFonts w:ascii="仿宋" w:hAnsi="仿宋" w:eastAsia="仿宋"/>
          <w:sz w:val="32"/>
          <w:szCs w:val="32"/>
        </w:rPr>
      </w:pPr>
      <w:bookmarkStart w:id="21" w:name="_Toc54364215"/>
      <w:r>
        <w:rPr>
          <w:rFonts w:hint="eastAsia" w:ascii="仿宋" w:hAnsi="仿宋" w:eastAsia="仿宋"/>
          <w:sz w:val="32"/>
          <w:szCs w:val="32"/>
        </w:rPr>
        <w:t>本所将及时回复市场机构提出的业务咨询，依法依规可以直接回复的，应当直接回复。咨询事项比较复杂的，原则上于5个工作日内研究后回复。</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自本所受理发行人申请文件至首次提出审核问询期间，市场机构应遵守静默期规定，本所债券业务部门不接受相关市场机构业务咨询。</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业务咨询可通过电话、书面或现场方式进行。</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电话咨询：（0755）88668721</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邮件咨询：szsebond@szse.cn</w:t>
      </w:r>
    </w:p>
    <w:p>
      <w:pPr>
        <w:spacing w:line="560" w:lineRule="exact"/>
        <w:ind w:firstLine="640" w:firstLineChars="200"/>
        <w:rPr>
          <w:rFonts w:ascii="仿宋" w:hAnsi="仿宋" w:eastAsia="仿宋" w:cs="Arial Unicode MS"/>
          <w:color w:val="000000"/>
          <w:kern w:val="0"/>
          <w:sz w:val="32"/>
          <w:szCs w:val="32"/>
        </w:rPr>
      </w:pPr>
      <w:r>
        <w:rPr>
          <w:rFonts w:hint="eastAsia" w:ascii="仿宋" w:hAnsi="仿宋" w:eastAsia="仿宋"/>
          <w:sz w:val="32"/>
          <w:szCs w:val="32"/>
        </w:rPr>
        <w:t>现场咨询：通过上述电话与本所预约现场咨询，债券业务部门应当及时予以安排并告知对方。</w:t>
      </w:r>
      <w:bookmarkEnd w:id="21"/>
    </w:p>
    <w:p>
      <w:pPr>
        <w:pStyle w:val="2"/>
        <w:ind w:firstLine="640" w:firstLineChars="200"/>
      </w:pPr>
      <w:bookmarkStart w:id="22" w:name="_Toc54968035"/>
    </w:p>
    <w:p>
      <w:pPr>
        <w:pStyle w:val="2"/>
        <w:ind w:firstLine="640" w:firstLineChars="200"/>
      </w:pPr>
      <w:r>
        <w:rPr>
          <w:rFonts w:hint="eastAsia"/>
        </w:rPr>
        <w:t>十四、办理地址和时间</w:t>
      </w:r>
      <w:bookmarkEnd w:id="22"/>
    </w:p>
    <w:p>
      <w:pPr>
        <w:spacing w:line="560" w:lineRule="exact"/>
        <w:ind w:firstLine="640" w:firstLineChars="200"/>
        <w:rPr>
          <w:rFonts w:ascii="仿宋" w:hAnsi="仿宋" w:eastAsia="仿宋"/>
          <w:sz w:val="32"/>
          <w:szCs w:val="32"/>
        </w:rPr>
      </w:pPr>
      <w:r>
        <w:rPr>
          <w:rFonts w:hint="eastAsia" w:ascii="仿宋" w:hAnsi="仿宋" w:eastAsia="仿宋"/>
          <w:sz w:val="32"/>
          <w:szCs w:val="32"/>
        </w:rPr>
        <w:t>本所固收专区7×24小时接受公司债券发行上市审核申请。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办公地址：深圳市福田区深南大道</w:t>
      </w:r>
      <w:r>
        <w:rPr>
          <w:rFonts w:ascii="仿宋" w:hAnsi="仿宋" w:eastAsia="仿宋"/>
          <w:sz w:val="32"/>
          <w:szCs w:val="32"/>
        </w:rPr>
        <w:t>2012号</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办公时间：交易日</w:t>
      </w:r>
      <w:r>
        <w:rPr>
          <w:rFonts w:ascii="仿宋" w:hAnsi="仿宋" w:eastAsia="仿宋"/>
          <w:sz w:val="32"/>
          <w:szCs w:val="32"/>
        </w:rPr>
        <w:t>8:30-11:30，13:30-17:00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223950"/>
    </w:sdtPr>
    <w:sdtContent>
      <w:p>
        <w:pPr>
          <w:pStyle w:val="8"/>
          <w:jc w:val="center"/>
        </w:pPr>
        <w:r>
          <w:fldChar w:fldCharType="begin"/>
        </w:r>
        <w:r>
          <w:instrText xml:space="preserve">PAGE   \* MERGEFORMAT</w:instrText>
        </w:r>
        <w:r>
          <w:fldChar w:fldCharType="separate"/>
        </w:r>
        <w:r>
          <w:rPr>
            <w:lang w:val="zh-CN"/>
          </w:rPr>
          <w:t>3</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7DCADE"/>
    <w:multiLevelType w:val="singleLevel"/>
    <w:tmpl w:val="F67DCADE"/>
    <w:lvl w:ilvl="0" w:tentative="0">
      <w:start w:val="2"/>
      <w:numFmt w:val="decimal"/>
      <w:suff w:val="space"/>
      <w:lvlText w:val="%1."/>
      <w:lvlJc w:val="left"/>
    </w:lvl>
  </w:abstractNum>
  <w:abstractNum w:abstractNumId="1">
    <w:nsid w:val="4E7C187A"/>
    <w:multiLevelType w:val="singleLevel"/>
    <w:tmpl w:val="4E7C187A"/>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CA5"/>
    <w:rsid w:val="00010C83"/>
    <w:rsid w:val="00025664"/>
    <w:rsid w:val="00054EEE"/>
    <w:rsid w:val="00071200"/>
    <w:rsid w:val="00073290"/>
    <w:rsid w:val="00082C6E"/>
    <w:rsid w:val="00087362"/>
    <w:rsid w:val="000C2C1C"/>
    <w:rsid w:val="000D08E7"/>
    <w:rsid w:val="000E5DF8"/>
    <w:rsid w:val="000F566A"/>
    <w:rsid w:val="00120C60"/>
    <w:rsid w:val="0014063E"/>
    <w:rsid w:val="0018126A"/>
    <w:rsid w:val="001A4168"/>
    <w:rsid w:val="001C28FB"/>
    <w:rsid w:val="001C44B2"/>
    <w:rsid w:val="001D5F35"/>
    <w:rsid w:val="001E2EDA"/>
    <w:rsid w:val="001E3A79"/>
    <w:rsid w:val="0020392E"/>
    <w:rsid w:val="00207932"/>
    <w:rsid w:val="00220EA0"/>
    <w:rsid w:val="00233D06"/>
    <w:rsid w:val="00242FCD"/>
    <w:rsid w:val="00270AFD"/>
    <w:rsid w:val="002A5A56"/>
    <w:rsid w:val="002B05ED"/>
    <w:rsid w:val="002C7EA3"/>
    <w:rsid w:val="002F3F18"/>
    <w:rsid w:val="003360A4"/>
    <w:rsid w:val="003A1045"/>
    <w:rsid w:val="003D1354"/>
    <w:rsid w:val="003E0FA7"/>
    <w:rsid w:val="00406066"/>
    <w:rsid w:val="00410555"/>
    <w:rsid w:val="00411744"/>
    <w:rsid w:val="00411D74"/>
    <w:rsid w:val="0042674C"/>
    <w:rsid w:val="00433C9C"/>
    <w:rsid w:val="00460BAC"/>
    <w:rsid w:val="00473D4D"/>
    <w:rsid w:val="004769CC"/>
    <w:rsid w:val="00486F2E"/>
    <w:rsid w:val="004942F0"/>
    <w:rsid w:val="004B6376"/>
    <w:rsid w:val="004C3225"/>
    <w:rsid w:val="004C50C1"/>
    <w:rsid w:val="004E546B"/>
    <w:rsid w:val="00505EDA"/>
    <w:rsid w:val="00543AFC"/>
    <w:rsid w:val="00567D43"/>
    <w:rsid w:val="005C1454"/>
    <w:rsid w:val="00600FD5"/>
    <w:rsid w:val="00617A53"/>
    <w:rsid w:val="0063239D"/>
    <w:rsid w:val="00644B53"/>
    <w:rsid w:val="00660AEE"/>
    <w:rsid w:val="006812F7"/>
    <w:rsid w:val="006864A9"/>
    <w:rsid w:val="00693B35"/>
    <w:rsid w:val="006B6C4F"/>
    <w:rsid w:val="006C6FFF"/>
    <w:rsid w:val="006E29D6"/>
    <w:rsid w:val="006E7124"/>
    <w:rsid w:val="00714090"/>
    <w:rsid w:val="00714DDF"/>
    <w:rsid w:val="007153B5"/>
    <w:rsid w:val="0075436F"/>
    <w:rsid w:val="00762D00"/>
    <w:rsid w:val="00796957"/>
    <w:rsid w:val="007F4A8C"/>
    <w:rsid w:val="007F704F"/>
    <w:rsid w:val="00815FEA"/>
    <w:rsid w:val="008222B9"/>
    <w:rsid w:val="00840F30"/>
    <w:rsid w:val="00872C10"/>
    <w:rsid w:val="0088731F"/>
    <w:rsid w:val="008D444C"/>
    <w:rsid w:val="008E2005"/>
    <w:rsid w:val="008F7300"/>
    <w:rsid w:val="00905078"/>
    <w:rsid w:val="009117FD"/>
    <w:rsid w:val="00921950"/>
    <w:rsid w:val="00924FB2"/>
    <w:rsid w:val="00961A8C"/>
    <w:rsid w:val="009A238B"/>
    <w:rsid w:val="009A599B"/>
    <w:rsid w:val="009E7A3F"/>
    <w:rsid w:val="009F5CA5"/>
    <w:rsid w:val="009F5D4B"/>
    <w:rsid w:val="009F65B5"/>
    <w:rsid w:val="00A3112B"/>
    <w:rsid w:val="00A565D5"/>
    <w:rsid w:val="00A758BA"/>
    <w:rsid w:val="00A75E43"/>
    <w:rsid w:val="00AD1658"/>
    <w:rsid w:val="00AD6478"/>
    <w:rsid w:val="00AE7475"/>
    <w:rsid w:val="00B25554"/>
    <w:rsid w:val="00B4018F"/>
    <w:rsid w:val="00B54CB4"/>
    <w:rsid w:val="00B81C7A"/>
    <w:rsid w:val="00B96C56"/>
    <w:rsid w:val="00BB2C42"/>
    <w:rsid w:val="00BF3EF6"/>
    <w:rsid w:val="00C318A6"/>
    <w:rsid w:val="00C56A4C"/>
    <w:rsid w:val="00C72F79"/>
    <w:rsid w:val="00CB474A"/>
    <w:rsid w:val="00CD147B"/>
    <w:rsid w:val="00CD1D61"/>
    <w:rsid w:val="00CF24AA"/>
    <w:rsid w:val="00D17670"/>
    <w:rsid w:val="00D479A2"/>
    <w:rsid w:val="00D90F8F"/>
    <w:rsid w:val="00DB3166"/>
    <w:rsid w:val="00DB754D"/>
    <w:rsid w:val="00DC632F"/>
    <w:rsid w:val="00E0425D"/>
    <w:rsid w:val="00E431DD"/>
    <w:rsid w:val="00E4625F"/>
    <w:rsid w:val="00E53FE3"/>
    <w:rsid w:val="00EA3AFF"/>
    <w:rsid w:val="00EC788F"/>
    <w:rsid w:val="00F04537"/>
    <w:rsid w:val="00F320C8"/>
    <w:rsid w:val="00F33F6A"/>
    <w:rsid w:val="00F748C5"/>
    <w:rsid w:val="00FA31CB"/>
    <w:rsid w:val="00FD3A2A"/>
    <w:rsid w:val="05451EB3"/>
    <w:rsid w:val="07882C0D"/>
    <w:rsid w:val="087E03FC"/>
    <w:rsid w:val="08E500DB"/>
    <w:rsid w:val="093A4032"/>
    <w:rsid w:val="0C07544A"/>
    <w:rsid w:val="0C6B4823"/>
    <w:rsid w:val="1719776F"/>
    <w:rsid w:val="174B5FC7"/>
    <w:rsid w:val="2491398A"/>
    <w:rsid w:val="2986766B"/>
    <w:rsid w:val="30704386"/>
    <w:rsid w:val="3072585D"/>
    <w:rsid w:val="3541319E"/>
    <w:rsid w:val="37D8392D"/>
    <w:rsid w:val="3E4D714D"/>
    <w:rsid w:val="3EF065CE"/>
    <w:rsid w:val="3FC37466"/>
    <w:rsid w:val="407F255D"/>
    <w:rsid w:val="41204C0C"/>
    <w:rsid w:val="412F2700"/>
    <w:rsid w:val="42C23615"/>
    <w:rsid w:val="42D65F34"/>
    <w:rsid w:val="49AB4C68"/>
    <w:rsid w:val="4F705943"/>
    <w:rsid w:val="50355FCF"/>
    <w:rsid w:val="52DC6BD6"/>
    <w:rsid w:val="53D7279A"/>
    <w:rsid w:val="58D84C38"/>
    <w:rsid w:val="5E1B3D5C"/>
    <w:rsid w:val="5E6956F1"/>
    <w:rsid w:val="64833355"/>
    <w:rsid w:val="64D7377C"/>
    <w:rsid w:val="65204E75"/>
    <w:rsid w:val="69783816"/>
    <w:rsid w:val="6BC90531"/>
    <w:rsid w:val="6CD766E2"/>
    <w:rsid w:val="70B50A36"/>
    <w:rsid w:val="7580388A"/>
    <w:rsid w:val="767E07F7"/>
    <w:rsid w:val="7BAC5185"/>
    <w:rsid w:val="7C89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22"/>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3"/>
    <w:unhideWhenUsed/>
    <w:qFormat/>
    <w:uiPriority w:val="9"/>
    <w:pPr>
      <w:keepNext/>
      <w:keepLines/>
      <w:spacing w:line="560" w:lineRule="exact"/>
      <w:outlineLvl w:val="2"/>
    </w:pPr>
    <w:rPr>
      <w:rFonts w:eastAsia="仿宋"/>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9"/>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1"/>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2"/>
    <w:basedOn w:val="1"/>
    <w:next w:val="1"/>
    <w:unhideWhenUsed/>
    <w:qFormat/>
    <w:uiPriority w:val="39"/>
    <w:pPr>
      <w:ind w:left="420" w:leftChars="200"/>
    </w:p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styleId="16">
    <w:name w:val="annotation reference"/>
    <w:basedOn w:val="14"/>
    <w:semiHidden/>
    <w:unhideWhenUsed/>
    <w:qFormat/>
    <w:uiPriority w:val="99"/>
    <w:rPr>
      <w:sz w:val="21"/>
      <w:szCs w:val="21"/>
    </w:rPr>
  </w:style>
  <w:style w:type="character" w:customStyle="1" w:styleId="17">
    <w:name w:val="页眉 Char"/>
    <w:basedOn w:val="14"/>
    <w:link w:val="9"/>
    <w:qFormat/>
    <w:uiPriority w:val="99"/>
    <w:rPr>
      <w:sz w:val="18"/>
      <w:szCs w:val="18"/>
    </w:rPr>
  </w:style>
  <w:style w:type="character" w:customStyle="1" w:styleId="18">
    <w:name w:val="页脚 Char"/>
    <w:basedOn w:val="14"/>
    <w:link w:val="8"/>
    <w:qFormat/>
    <w:uiPriority w:val="99"/>
    <w:rPr>
      <w:sz w:val="18"/>
      <w:szCs w:val="18"/>
    </w:r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标题 2 Char"/>
    <w:basedOn w:val="14"/>
    <w:link w:val="2"/>
    <w:qFormat/>
    <w:uiPriority w:val="9"/>
    <w:rPr>
      <w:rFonts w:eastAsia="黑体" w:asciiTheme="majorHAnsi" w:hAnsiTheme="majorHAnsi" w:cstheme="majorBidi"/>
      <w:bCs/>
      <w:sz w:val="32"/>
      <w:szCs w:val="32"/>
    </w:rPr>
  </w:style>
  <w:style w:type="character" w:customStyle="1" w:styleId="23">
    <w:name w:val="标题 3 Char"/>
    <w:basedOn w:val="14"/>
    <w:link w:val="4"/>
    <w:qFormat/>
    <w:uiPriority w:val="9"/>
    <w:rPr>
      <w:rFonts w:eastAsia="仿宋"/>
      <w:b/>
      <w:bCs/>
      <w:sz w:val="32"/>
      <w:szCs w:val="32"/>
    </w:rPr>
  </w:style>
  <w:style w:type="character" w:customStyle="1" w:styleId="24">
    <w:name w:val="标题 1 Char"/>
    <w:basedOn w:val="14"/>
    <w:link w:val="3"/>
    <w:qFormat/>
    <w:uiPriority w:val="9"/>
    <w:rPr>
      <w:b/>
      <w:bCs/>
      <w:kern w:val="44"/>
      <w:sz w:val="44"/>
      <w:szCs w:val="44"/>
    </w:rPr>
  </w:style>
  <w:style w:type="paragraph" w:customStyle="1" w:styleId="25">
    <w:name w:val="List Paragraph1"/>
    <w:basedOn w:val="1"/>
    <w:qFormat/>
    <w:uiPriority w:val="99"/>
    <w:pPr>
      <w:adjustRightInd w:val="0"/>
      <w:spacing w:line="360" w:lineRule="atLeast"/>
      <w:ind w:firstLine="420" w:firstLineChars="200"/>
      <w:textAlignment w:val="baseline"/>
    </w:pPr>
    <w:rPr>
      <w:rFonts w:ascii="Times New Roman" w:hAnsi="Times New Roman" w:eastAsia="Times New Roman" w:cs="黑体"/>
      <w:szCs w:val="24"/>
    </w:rPr>
  </w:style>
  <w:style w:type="paragraph" w:customStyle="1" w:styleId="26">
    <w:name w:val="Default"/>
    <w:qFormat/>
    <w:uiPriority w:val="0"/>
    <w:pPr>
      <w:widowControl w:val="0"/>
      <w:autoSpaceDE w:val="0"/>
      <w:autoSpaceDN w:val="0"/>
      <w:adjustRightInd w:val="0"/>
    </w:pPr>
    <w:rPr>
      <w:rFonts w:ascii="Arial Unicode MS" w:eastAsia="Arial Unicode MS" w:cs="Arial Unicode MS" w:hAnsiTheme="minorHAnsi"/>
      <w:color w:val="000000"/>
      <w:sz w:val="24"/>
      <w:szCs w:val="24"/>
      <w:lang w:val="en-US" w:eastAsia="zh-CN" w:bidi="ar-SA"/>
    </w:rPr>
  </w:style>
  <w:style w:type="paragraph" w:styleId="27">
    <w:name w:val="List 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6FEC8-66BB-47FD-B7EF-F71A1100FE61}">
  <ds:schemaRefs/>
</ds:datastoreItem>
</file>

<file path=docProps/app.xml><?xml version="1.0" encoding="utf-8"?>
<Properties xmlns="http://schemas.openxmlformats.org/officeDocument/2006/extended-properties" xmlns:vt="http://schemas.openxmlformats.org/officeDocument/2006/docPropsVTypes">
  <Template>Normal</Template>
  <Pages>11</Pages>
  <Words>834</Words>
  <Characters>4754</Characters>
  <Lines>39</Lines>
  <Paragraphs>11</Paragraphs>
  <TotalTime>33</TotalTime>
  <ScaleCrop>false</ScaleCrop>
  <LinksUpToDate>false</LinksUpToDate>
  <CharactersWithSpaces>5577</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2023-08-09T02:53:00Z</dcterms:created>
  <dc:creator>张畅[zhangchang]</dc:creator>
  <cp:lastModifiedBy>Administrator</cp:lastModifiedBy>
  <cp:lastPrinted>2020-10-15T08:19:00Z</cp:lastPrinted>
  <dcterms:modified xsi:type="dcterms:W3CDTF">2023-10-20T06:40:59Z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23DAA644A2114381A4A33BE80D8681BA</vt:lpwstr>
  </property>
</Properties>
</file>