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19" w:name="_GoBack"/>
      <w:bookmarkEnd w:id="19"/>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非公开发行公司债券挂牌转让业务办理</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r>
        <w:rPr>
          <w:rFonts w:hint="eastAsia" w:ascii="黑体" w:hAnsi="黑体" w:eastAsia="黑体"/>
          <w:sz w:val="32"/>
          <w:szCs w:val="32"/>
        </w:rPr>
        <w:t>目录</w:t>
      </w:r>
    </w:p>
    <w:p>
      <w:pPr>
        <w:snapToGrid w:val="0"/>
        <w:spacing w:line="560" w:lineRule="exact"/>
        <w:jc w:val="center"/>
        <w:rPr>
          <w:rFonts w:ascii="黑体" w:hAnsi="黑体" w:eastAsia="黑体"/>
          <w:sz w:val="32"/>
          <w:szCs w:val="32"/>
        </w:rPr>
      </w:pPr>
    </w:p>
    <w:p>
      <w:pPr>
        <w:pStyle w:val="10"/>
        <w:tabs>
          <w:tab w:val="right" w:leader="dot" w:pos="8296"/>
        </w:tabs>
        <w:spacing w:line="400" w:lineRule="exact"/>
        <w:ind w:left="0" w:leftChars="0"/>
        <w:rPr>
          <w:rFonts w:ascii="仿宋" w:hAnsi="仿宋" w:eastAsia="仿宋" w:cs="仿宋"/>
          <w:sz w:val="28"/>
          <w:szCs w:val="28"/>
        </w:rPr>
      </w:pP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TOC \o "1-3" \h \z \u</w:instrText>
      </w:r>
      <w:r>
        <w:rPr>
          <w:rFonts w:ascii="仿宋" w:hAnsi="仿宋" w:eastAsia="仿宋"/>
          <w:sz w:val="24"/>
          <w:szCs w:val="24"/>
        </w:rPr>
        <w:instrText xml:space="preserve"> </w:instrText>
      </w:r>
      <w:r>
        <w:rPr>
          <w:rFonts w:ascii="仿宋" w:hAnsi="仿宋" w:eastAsia="仿宋"/>
          <w:sz w:val="24"/>
          <w:szCs w:val="24"/>
        </w:rPr>
        <w:fldChar w:fldCharType="separate"/>
      </w:r>
      <w:r>
        <w:fldChar w:fldCharType="begin"/>
      </w:r>
      <w:r>
        <w:instrText xml:space="preserve"> HYPERLINK \l "_Toc54887816" </w:instrText>
      </w:r>
      <w:r>
        <w:fldChar w:fldCharType="separate"/>
      </w:r>
      <w:r>
        <w:rPr>
          <w:rStyle w:val="16"/>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_Toc54887816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"_Toc54887817" </w:instrText>
      </w:r>
      <w:r>
        <w:fldChar w:fldCharType="separate"/>
      </w:r>
      <w:r>
        <w:rPr>
          <w:rStyle w:val="16"/>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_Toc54887817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"_Toc54887818" </w:instrText>
      </w:r>
      <w:r>
        <w:fldChar w:fldCharType="separate"/>
      </w:r>
      <w:r>
        <w:rPr>
          <w:rStyle w:val="16"/>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_Toc54887818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"_Toc54887819" </w:instrText>
      </w:r>
      <w:r>
        <w:fldChar w:fldCharType="separate"/>
      </w:r>
      <w:r>
        <w:rPr>
          <w:rStyle w:val="16"/>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"_Toc54887820" </w:instrText>
      </w:r>
      <w:r>
        <w:fldChar w:fldCharType="separate"/>
      </w:r>
      <w:r>
        <w:rPr>
          <w:rStyle w:val="16"/>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"_Toc54887821" </w:instrText>
      </w:r>
      <w:r>
        <w:fldChar w:fldCharType="separate"/>
      </w:r>
      <w:r>
        <w:rPr>
          <w:rStyle w:val="16"/>
          <w:rFonts w:hint="eastAsia" w:ascii="仿宋" w:hAnsi="仿宋" w:eastAsia="仿宋" w:cs="仿宋"/>
          <w:sz w:val="28"/>
          <w:szCs w:val="28"/>
        </w:rPr>
        <w:t>（一）收费标准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"_Toc54887822" </w:instrText>
      </w:r>
      <w:r>
        <w:fldChar w:fldCharType="separate"/>
      </w:r>
      <w:r>
        <w:rPr>
          <w:rStyle w:val="16"/>
          <w:rFonts w:hint="eastAsia" w:ascii="仿宋" w:hAnsi="仿宋" w:eastAsia="仿宋" w:cs="仿宋"/>
          <w:sz w:val="28"/>
          <w:szCs w:val="28"/>
        </w:rPr>
        <w:t>（二）收费依据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"_Toc54887823" </w:instrText>
      </w:r>
      <w:r>
        <w:fldChar w:fldCharType="separate"/>
      </w:r>
      <w:r>
        <w:rPr>
          <w:rStyle w:val="16"/>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"_Toc54887824" </w:instrText>
      </w:r>
      <w:r>
        <w:fldChar w:fldCharType="separate"/>
      </w:r>
      <w:r>
        <w:rPr>
          <w:rStyle w:val="16"/>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"_Toc54887825" </w:instrText>
      </w:r>
      <w:r>
        <w:fldChar w:fldCharType="separate"/>
      </w:r>
      <w:r>
        <w:rPr>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"_Toc54887826" </w:instrText>
      </w:r>
      <w:r>
        <w:fldChar w:fldCharType="separate"/>
      </w:r>
      <w:r>
        <w:rPr>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"_Toc54887827" </w:instrText>
      </w:r>
      <w:r>
        <w:fldChar w:fldCharType="separate"/>
      </w:r>
      <w:r>
        <w:rPr>
          <w:rStyle w:val="16"/>
          <w:rFonts w:hint="eastAsia" w:ascii="仿宋" w:hAnsi="仿宋" w:eastAsia="仿宋" w:cs="仿宋"/>
          <w:sz w:val="28"/>
          <w:szCs w:val="28"/>
        </w:rPr>
        <w:t>八、申请材料清单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"_Toc54887828" </w:instrText>
      </w:r>
      <w:r>
        <w:fldChar w:fldCharType="separate"/>
      </w:r>
      <w:r>
        <w:rPr>
          <w:rStyle w:val="16"/>
          <w:rFonts w:hint="eastAsia" w:ascii="仿宋" w:hAnsi="仿宋" w:eastAsia="仿宋" w:cs="仿宋"/>
          <w:sz w:val="28"/>
          <w:szCs w:val="28"/>
        </w:rPr>
        <w:t>九、申请接收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"_Toc54887829" </w:instrText>
      </w:r>
      <w:r>
        <w:fldChar w:fldCharType="separate"/>
      </w:r>
      <w:r>
        <w:rPr>
          <w:rStyle w:val="16"/>
          <w:rFonts w:hint="eastAsia" w:ascii="仿宋" w:hAnsi="仿宋" w:eastAsia="仿宋" w:cs="仿宋"/>
          <w:sz w:val="28"/>
          <w:szCs w:val="28"/>
        </w:rPr>
        <w:t>十、办理流程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_Toc54887829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"_Toc54887830" </w:instrText>
      </w:r>
      <w:r>
        <w:fldChar w:fldCharType="separate"/>
      </w:r>
      <w:r>
        <w:rPr>
          <w:rStyle w:val="16"/>
          <w:rFonts w:hint="eastAsia" w:ascii="仿宋" w:hAnsi="仿宋" w:eastAsia="仿宋" w:cs="仿宋"/>
          <w:sz w:val="28"/>
          <w:szCs w:val="28"/>
        </w:rPr>
        <w:t>十一、办理结果及送达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_Toc54887830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"_Toc54887831" </w:instrText>
      </w:r>
      <w:r>
        <w:fldChar w:fldCharType="separate"/>
      </w:r>
      <w:r>
        <w:rPr>
          <w:rStyle w:val="16"/>
          <w:rFonts w:hint="eastAsia" w:ascii="仿宋" w:hAnsi="仿宋" w:eastAsia="仿宋" w:cs="仿宋"/>
          <w:sz w:val="28"/>
          <w:szCs w:val="28"/>
        </w:rPr>
        <w:t>十二、咨询途径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_Toc54887831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Style w:val="16"/>
          <w:rFonts w:ascii="仿宋" w:hAnsi="仿宋" w:eastAsia="仿宋" w:cs="仿宋"/>
          <w:sz w:val="28"/>
          <w:szCs w:val="28"/>
        </w:rPr>
      </w:pPr>
      <w:r>
        <w:fldChar w:fldCharType="begin"/>
      </w:r>
      <w:r>
        <w:instrText xml:space="preserve"> HYPERLINK \l "_Toc54887832" </w:instrText>
      </w:r>
      <w:r>
        <w:fldChar w:fldCharType="separate"/>
      </w:r>
      <w:r>
        <w:rPr>
          <w:rStyle w:val="16"/>
          <w:rFonts w:hint="eastAsia" w:ascii="仿宋" w:hAnsi="仿宋" w:eastAsia="仿宋" w:cs="仿宋"/>
          <w:sz w:val="28"/>
          <w:szCs w:val="28"/>
        </w:rPr>
        <w:t>十三、办理地点和时间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_Toc54887832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
    <w:p/>
    <w:p/>
    <w:p/>
    <w:p/>
    <w:p/>
    <w:p/>
    <w:p/>
    <w:p/>
    <w:p/>
    <w:p>
      <w:pPr>
        <w:pStyle w:val="3"/>
        <w:ind w:firstLine="480" w:firstLineChars="200"/>
      </w:pPr>
      <w:r>
        <w:rPr>
          <w:rFonts w:ascii="仿宋" w:hAnsi="仿宋" w:eastAsia="仿宋"/>
          <w:sz w:val="24"/>
          <w:szCs w:val="24"/>
        </w:rPr>
        <w:fldChar w:fldCharType="end"/>
      </w:r>
      <w:bookmarkStart w:id="0" w:name="_Toc54887816"/>
      <w:r>
        <w:rPr>
          <w:rFonts w:hint="eastAsia"/>
        </w:rPr>
        <w:t>一、事项名称</w:t>
      </w:r>
      <w:bookmarkEnd w:id="0"/>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非公开发行公司债券挂牌转让业务办理</w:t>
      </w:r>
    </w:p>
    <w:p>
      <w:pPr>
        <w:spacing w:line="560" w:lineRule="exact"/>
        <w:ind w:firstLine="640" w:firstLineChars="200"/>
        <w:rPr>
          <w:rFonts w:ascii="仿宋" w:hAnsi="仿宋" w:eastAsia="仿宋"/>
          <w:sz w:val="32"/>
          <w:szCs w:val="32"/>
        </w:rPr>
      </w:pPr>
    </w:p>
    <w:p>
      <w:pPr>
        <w:pStyle w:val="3"/>
        <w:ind w:firstLine="640" w:firstLineChars="200"/>
      </w:pPr>
      <w:bookmarkStart w:id="1" w:name="_Toc54887817"/>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《深圳证券交易所非公开发行公司债券挂牌规则（2023年修订）》</w:t>
      </w:r>
    </w:p>
    <w:p>
      <w:pPr>
        <w:spacing w:line="560" w:lineRule="exact"/>
        <w:ind w:firstLine="640" w:firstLineChars="200"/>
        <w:rPr>
          <w:rFonts w:ascii="仿宋" w:hAnsi="仿宋" w:eastAsia="仿宋"/>
          <w:sz w:val="32"/>
          <w:szCs w:val="32"/>
        </w:rPr>
      </w:pPr>
    </w:p>
    <w:p>
      <w:pPr>
        <w:pStyle w:val="3"/>
        <w:ind w:firstLine="640" w:firstLineChars="200"/>
      </w:pPr>
      <w:bookmarkStart w:id="2" w:name="_Toc54887818"/>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ind w:firstLine="640" w:firstLineChars="200"/>
      </w:pPr>
      <w:bookmarkStart w:id="3" w:name="_Toc54887819"/>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黑体" w:hAnsi="黑体" w:eastAsia="黑体"/>
          <w:sz w:val="32"/>
          <w:szCs w:val="32"/>
        </w:rPr>
      </w:pPr>
    </w:p>
    <w:p>
      <w:pPr>
        <w:pStyle w:val="3"/>
        <w:ind w:firstLine="640" w:firstLineChars="200"/>
      </w:pPr>
      <w:bookmarkStart w:id="4" w:name="_Toc54887820"/>
      <w:r>
        <w:rPr>
          <w:rFonts w:hint="eastAsia"/>
        </w:rPr>
        <w:t>五、收费标准及依据</w:t>
      </w:r>
      <w:bookmarkEnd w:id="4"/>
    </w:p>
    <w:p>
      <w:pPr>
        <w:pStyle w:val="4"/>
        <w:ind w:firstLine="643" w:firstLineChars="200"/>
      </w:pPr>
      <w:bookmarkStart w:id="5" w:name="_Toc54272126"/>
      <w:bookmarkStart w:id="6" w:name="_Toc54887821"/>
      <w:r>
        <w:rPr>
          <w:rFonts w:hint="eastAsia"/>
        </w:rPr>
        <w:t>（一）收费标准</w:t>
      </w:r>
      <w:bookmarkEnd w:id="5"/>
      <w:bookmarkEnd w:id="6"/>
    </w:p>
    <w:p>
      <w:pPr>
        <w:spacing w:line="560" w:lineRule="exact"/>
        <w:ind w:firstLine="640" w:firstLineChars="200"/>
        <w:rPr>
          <w:rFonts w:ascii="仿宋" w:hAnsi="仿宋" w:eastAsia="仿宋"/>
          <w:sz w:val="32"/>
          <w:szCs w:val="32"/>
        </w:rPr>
      </w:pPr>
      <w:r>
        <w:rPr>
          <w:rFonts w:hint="eastAsia" w:ascii="仿宋" w:hAnsi="仿宋" w:eastAsia="仿宋"/>
          <w:sz w:val="32"/>
          <w:szCs w:val="32"/>
        </w:rPr>
        <w:t>暂免收取上市初费和上市年费</w:t>
      </w:r>
    </w:p>
    <w:p>
      <w:pPr>
        <w:pStyle w:val="4"/>
        <w:ind w:firstLine="643" w:firstLineChars="200"/>
      </w:pPr>
      <w:bookmarkStart w:id="7" w:name="_Toc54272127"/>
      <w:bookmarkStart w:id="8" w:name="_Toc54887822"/>
      <w:r>
        <w:rPr>
          <w:rFonts w:hint="eastAsia"/>
        </w:rPr>
        <w:t>（二）收费依据</w:t>
      </w:r>
      <w:bookmarkEnd w:id="7"/>
      <w:bookmarkEnd w:id="8"/>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《深圳证券交易所业务收费管理办法》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《深圳证券交易所关于调整固定收益类产品上市和交易收费标准的通知》</w:t>
      </w:r>
    </w:p>
    <w:p>
      <w:pPr>
        <w:spacing w:line="560" w:lineRule="exact"/>
        <w:ind w:firstLine="640" w:firstLineChars="200"/>
        <w:rPr>
          <w:rFonts w:ascii="仿宋" w:hAnsi="仿宋" w:eastAsia="仿宋"/>
          <w:sz w:val="32"/>
          <w:szCs w:val="32"/>
        </w:rPr>
      </w:pPr>
    </w:p>
    <w:p>
      <w:pPr>
        <w:pStyle w:val="3"/>
        <w:ind w:firstLine="640" w:firstLineChars="200"/>
      </w:pPr>
      <w:bookmarkStart w:id="9" w:name="_Toc54887823"/>
      <w:r>
        <w:rPr>
          <w:rFonts w:hint="eastAsia"/>
        </w:rPr>
        <w:t>六、办理时限</w:t>
      </w:r>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深圳证券交易所在收到完备的挂牌转让申请材料后，在五个工作日内作出是否同意挂牌转让的决定。</w:t>
      </w:r>
    </w:p>
    <w:p>
      <w:pPr>
        <w:spacing w:line="560" w:lineRule="exact"/>
        <w:ind w:firstLine="640" w:firstLineChars="200"/>
        <w:rPr>
          <w:rFonts w:ascii="仿宋" w:hAnsi="仿宋" w:eastAsia="仿宋"/>
          <w:sz w:val="32"/>
          <w:szCs w:val="32"/>
        </w:rPr>
      </w:pPr>
    </w:p>
    <w:p>
      <w:pPr>
        <w:pStyle w:val="3"/>
        <w:ind w:firstLine="640" w:firstLineChars="200"/>
      </w:pPr>
      <w:bookmarkStart w:id="10" w:name="_Toc54887824"/>
      <w:r>
        <w:rPr>
          <w:rFonts w:hint="eastAsia"/>
        </w:rPr>
        <w:t>七、办理情形和条件</w:t>
      </w:r>
      <w:bookmarkEnd w:id="10"/>
    </w:p>
    <w:p>
      <w:pPr>
        <w:pStyle w:val="4"/>
        <w:ind w:firstLine="643" w:firstLineChars="200"/>
      </w:pPr>
      <w:bookmarkStart w:id="11" w:name="_Toc54887825"/>
      <w:r>
        <w:rPr>
          <w:rFonts w:hint="eastAsia"/>
        </w:rPr>
        <w:t>（一）办理情形</w:t>
      </w:r>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非公开发行的公司债券在本所的挂牌转让。</w:t>
      </w:r>
    </w:p>
    <w:p>
      <w:pPr>
        <w:pStyle w:val="4"/>
        <w:ind w:firstLine="643" w:firstLineChars="200"/>
      </w:pPr>
      <w:bookmarkStart w:id="12" w:name="_Toc54887826"/>
      <w:r>
        <w:rPr>
          <w:rFonts w:hint="eastAsia"/>
        </w:rPr>
        <w:t>（二）办理条件</w:t>
      </w:r>
      <w:bookmarkEnd w:id="12"/>
    </w:p>
    <w:p>
      <w:pPr>
        <w:spacing w:line="560" w:lineRule="exact"/>
        <w:ind w:firstLine="640" w:firstLineChars="200"/>
        <w:rPr>
          <w:rFonts w:ascii="仿宋" w:hAnsi="仿宋" w:eastAsia="仿宋"/>
          <w:sz w:val="32"/>
          <w:szCs w:val="32"/>
        </w:rPr>
      </w:pPr>
      <w:r>
        <w:rPr>
          <w:rFonts w:hint="eastAsia" w:ascii="仿宋" w:hAnsi="仿宋" w:eastAsia="仿宋"/>
          <w:sz w:val="32"/>
          <w:szCs w:val="32"/>
        </w:rPr>
        <w:t>应符合《深圳证券交易所非公开发行公司债券挂牌规则（2023年修订）》第十条的规定。</w:t>
      </w:r>
    </w:p>
    <w:p>
      <w:pPr>
        <w:spacing w:line="560" w:lineRule="exact"/>
        <w:ind w:firstLine="640" w:firstLineChars="200"/>
        <w:rPr>
          <w:rFonts w:ascii="仿宋" w:hAnsi="仿宋" w:eastAsia="仿宋"/>
          <w:sz w:val="32"/>
          <w:szCs w:val="32"/>
        </w:rPr>
      </w:pPr>
    </w:p>
    <w:p>
      <w:pPr>
        <w:pStyle w:val="3"/>
        <w:numPr>
          <w:ilvl w:val="0"/>
          <w:numId w:val="1"/>
        </w:numPr>
        <w:ind w:firstLine="640" w:firstLineChars="200"/>
      </w:pPr>
      <w:bookmarkStart w:id="13" w:name="_Toc54887827"/>
      <w:r>
        <w:rPr>
          <w:rFonts w:hint="eastAsia"/>
        </w:rPr>
        <w:t>申请材料清单</w:t>
      </w:r>
      <w:bookmarkEnd w:id="13"/>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根据《深圳证券交易所非公开发行公司债券挂牌规则（2023年修订）》第十一条、第十二条、第十四条等规定，需提供以下材料：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（一）债券挂牌转让申请书；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（二）发行结果公告、债券实际募集资金证明文件；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（三）承销机构对发行人及其债券相关情况进行全面核查的核查意见及承诺；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（四）本所要求的其他文件。</w:t>
      </w:r>
    </w:p>
    <w:p>
      <w:pPr>
        <w:spacing w:line="560" w:lineRule="exact"/>
        <w:ind w:firstLine="640" w:firstLineChars="200"/>
        <w:rPr>
          <w:rFonts w:ascii="仿宋" w:hAnsi="仿宋" w:eastAsia="仿宋"/>
          <w:sz w:val="32"/>
          <w:szCs w:val="32"/>
        </w:rPr>
      </w:pPr>
    </w:p>
    <w:p>
      <w:pPr>
        <w:pStyle w:val="3"/>
        <w:ind w:firstLine="640" w:firstLineChars="200"/>
      </w:pPr>
      <w:bookmarkStart w:id="14" w:name="_Toc54887828"/>
      <w:r>
        <w:rPr>
          <w:rFonts w:hint="eastAsia"/>
        </w:rPr>
        <w:t>九、申请接收</w:t>
      </w:r>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承销商应通过深圳证券交易所“固定收益业务专区”（以下简称固收专区）（</w:t>
      </w:r>
      <w:r>
        <w:rPr>
          <w:rFonts w:ascii="仿宋" w:hAnsi="仿宋" w:eastAsia="仿宋"/>
          <w:sz w:val="32"/>
          <w:szCs w:val="32"/>
        </w:rPr>
        <w:t>https://biz.szse.cn/fic</w:t>
      </w:r>
      <w:r>
        <w:rPr>
          <w:rFonts w:hint="eastAsia" w:ascii="仿宋" w:hAnsi="仿宋" w:eastAsia="仿宋"/>
          <w:sz w:val="32"/>
          <w:szCs w:val="32"/>
        </w:rPr>
        <w:t>）提交挂牌转让申请的相关材料。</w:t>
      </w:r>
    </w:p>
    <w:p>
      <w:pPr>
        <w:spacing w:line="560" w:lineRule="exact"/>
        <w:ind w:firstLine="640" w:firstLineChars="200"/>
        <w:rPr>
          <w:rFonts w:ascii="仿宋" w:hAnsi="仿宋" w:eastAsia="仿宋"/>
          <w:sz w:val="32"/>
          <w:szCs w:val="32"/>
        </w:rPr>
      </w:pPr>
    </w:p>
    <w:p>
      <w:pPr>
        <w:pStyle w:val="3"/>
        <w:ind w:firstLine="640" w:firstLineChars="200"/>
      </w:pPr>
      <w:bookmarkStart w:id="15" w:name="_Toc54887829"/>
      <w:r>
        <w:rPr>
          <w:rFonts w:hint="eastAsia"/>
        </w:rPr>
        <w:t>十、办理流程</w:t>
      </w:r>
      <w:bookmarkEnd w:id="15"/>
    </w:p>
    <w:p>
      <w:pPr>
        <w:spacing w:line="560" w:lineRule="exact"/>
        <w:ind w:firstLine="640" w:firstLineChars="200"/>
        <w:rPr>
          <w:rFonts w:ascii="仿宋" w:hAnsi="仿宋" w:eastAsia="仿宋"/>
          <w:sz w:val="32"/>
          <w:szCs w:val="32"/>
        </w:rPr>
      </w:pPr>
      <w:r>
        <w:rPr>
          <w:rFonts w:hint="eastAsia" w:ascii="仿宋" w:hAnsi="仿宋" w:eastAsia="仿宋"/>
          <w:sz w:val="32"/>
          <w:szCs w:val="32"/>
        </w:rPr>
        <w:t>1. 公司债券发行结束次日，承销商通过固收专区提交初始登记申请与挂牌转让申请。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初始登记完成后，深圳证券交易所做出是否同意挂牌转让的决定，承销商最晚于挂牌前一日通过固收专区提交并披露转让服务公告。</w:t>
      </w:r>
    </w:p>
    <w:p>
      <w:pPr>
        <w:spacing w:line="560" w:lineRule="exact"/>
        <w:ind w:firstLine="640" w:firstLineChars="200"/>
        <w:rPr>
          <w:rFonts w:ascii="仿宋" w:hAnsi="仿宋" w:eastAsia="仿宋"/>
          <w:sz w:val="32"/>
          <w:szCs w:val="32"/>
        </w:rPr>
      </w:pPr>
    </w:p>
    <w:p>
      <w:pPr>
        <w:pStyle w:val="3"/>
        <w:ind w:firstLine="640" w:firstLineChars="200"/>
      </w:pPr>
      <w:bookmarkStart w:id="16" w:name="_Toc54887830"/>
      <w:r>
        <w:rPr>
          <w:rFonts w:hint="eastAsia"/>
        </w:rPr>
        <w:t>十一、办理结果及送达</w:t>
      </w:r>
      <w:bookmarkEnd w:id="16"/>
    </w:p>
    <w:p>
      <w:pPr>
        <w:spacing w:line="560" w:lineRule="exact"/>
        <w:ind w:firstLine="640" w:firstLineChars="200"/>
        <w:rPr>
          <w:rFonts w:ascii="仿宋" w:hAnsi="仿宋" w:eastAsia="仿宋"/>
          <w:sz w:val="32"/>
          <w:szCs w:val="32"/>
        </w:rPr>
      </w:pPr>
      <w:r>
        <w:rPr>
          <w:rFonts w:hint="eastAsia" w:ascii="仿宋" w:hAnsi="仿宋" w:eastAsia="仿宋"/>
          <w:sz w:val="32"/>
          <w:szCs w:val="32"/>
        </w:rPr>
        <w:t>做出是否同意挂牌转让的决定后，深圳证券交易所于官方网站（www.szse.cn</w:t>
      </w:r>
      <w:r>
        <w:rPr>
          <w:rFonts w:ascii="仿宋" w:hAnsi="仿宋" w:eastAsia="仿宋"/>
          <w:sz w:val="32"/>
          <w:szCs w:val="32"/>
        </w:rPr>
        <w:t>）</w:t>
      </w:r>
      <w:r>
        <w:rPr>
          <w:rFonts w:hint="eastAsia" w:ascii="仿宋" w:hAnsi="仿宋" w:eastAsia="仿宋"/>
          <w:sz w:val="32"/>
          <w:szCs w:val="32"/>
        </w:rPr>
        <w:t>披露为相关公司债券提供转让服务的通知。</w:t>
      </w:r>
    </w:p>
    <w:p>
      <w:pPr>
        <w:spacing w:line="560" w:lineRule="exact"/>
        <w:ind w:firstLine="640" w:firstLineChars="200"/>
        <w:rPr>
          <w:rFonts w:ascii="仿宋" w:hAnsi="仿宋" w:eastAsia="仿宋"/>
          <w:sz w:val="32"/>
          <w:szCs w:val="32"/>
        </w:rPr>
      </w:pPr>
    </w:p>
    <w:p>
      <w:pPr>
        <w:pStyle w:val="3"/>
        <w:ind w:firstLine="640" w:firstLineChars="200"/>
      </w:pPr>
      <w:bookmarkStart w:id="17" w:name="_Toc54887831"/>
      <w:r>
        <w:rPr>
          <w:rFonts w:hint="eastAsia"/>
        </w:rPr>
        <w:t>十二、咨询途径</w:t>
      </w:r>
      <w:bookmarkEnd w:id="17"/>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电话咨询：（0755）8866 8721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邮件咨询：szsebond@szse.cn</w:t>
      </w:r>
    </w:p>
    <w:p>
      <w:pPr>
        <w:spacing w:line="560" w:lineRule="exact"/>
        <w:ind w:firstLine="640" w:firstLineChars="200"/>
        <w:rPr>
          <w:rFonts w:ascii="仿宋" w:hAnsi="仿宋" w:eastAsia="仿宋"/>
          <w:sz w:val="32"/>
          <w:szCs w:val="32"/>
        </w:rPr>
      </w:pPr>
    </w:p>
    <w:p>
      <w:pPr>
        <w:pStyle w:val="3"/>
        <w:ind w:firstLine="640" w:firstLineChars="200"/>
      </w:pPr>
      <w:bookmarkStart w:id="18" w:name="_Toc54887832"/>
      <w:r>
        <w:rPr>
          <w:rFonts w:hint="eastAsia"/>
        </w:rPr>
        <w:t>十三、办理地点和时间</w:t>
      </w:r>
      <w:bookmarkEnd w:id="18"/>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深圳证券交易所固收专区7×24小时接受公司债券挂牌转让申请。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02214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6FFAF"/>
    <w:multiLevelType w:val="singleLevel"/>
    <w:tmpl w:val="F5D6FFA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36FD6"/>
    <w:rsid w:val="00037156"/>
    <w:rsid w:val="0004496F"/>
    <w:rsid w:val="00052F7E"/>
    <w:rsid w:val="00063D7E"/>
    <w:rsid w:val="000900F5"/>
    <w:rsid w:val="000B67BC"/>
    <w:rsid w:val="000F3E49"/>
    <w:rsid w:val="00126895"/>
    <w:rsid w:val="00162858"/>
    <w:rsid w:val="00163D3E"/>
    <w:rsid w:val="00187188"/>
    <w:rsid w:val="00191FF2"/>
    <w:rsid w:val="0020392E"/>
    <w:rsid w:val="00207932"/>
    <w:rsid w:val="00216FCC"/>
    <w:rsid w:val="002756E8"/>
    <w:rsid w:val="00280D9D"/>
    <w:rsid w:val="002A378E"/>
    <w:rsid w:val="002B05ED"/>
    <w:rsid w:val="00305365"/>
    <w:rsid w:val="003121BA"/>
    <w:rsid w:val="0037480E"/>
    <w:rsid w:val="00397973"/>
    <w:rsid w:val="003A3DC9"/>
    <w:rsid w:val="003B46FE"/>
    <w:rsid w:val="003C7AEE"/>
    <w:rsid w:val="00411D74"/>
    <w:rsid w:val="004300BA"/>
    <w:rsid w:val="00434744"/>
    <w:rsid w:val="004B6376"/>
    <w:rsid w:val="004C104F"/>
    <w:rsid w:val="004D3E11"/>
    <w:rsid w:val="004F0657"/>
    <w:rsid w:val="00503E6D"/>
    <w:rsid w:val="00526FAC"/>
    <w:rsid w:val="005461FB"/>
    <w:rsid w:val="00553576"/>
    <w:rsid w:val="00586AD6"/>
    <w:rsid w:val="00594D1F"/>
    <w:rsid w:val="00595458"/>
    <w:rsid w:val="005C1A42"/>
    <w:rsid w:val="00617A53"/>
    <w:rsid w:val="00620B88"/>
    <w:rsid w:val="0063239D"/>
    <w:rsid w:val="0063662A"/>
    <w:rsid w:val="00642E68"/>
    <w:rsid w:val="00652CDD"/>
    <w:rsid w:val="006D3A86"/>
    <w:rsid w:val="00714090"/>
    <w:rsid w:val="007A52A6"/>
    <w:rsid w:val="008343A1"/>
    <w:rsid w:val="00861FFE"/>
    <w:rsid w:val="008731DA"/>
    <w:rsid w:val="008D3AD9"/>
    <w:rsid w:val="008E0759"/>
    <w:rsid w:val="008F4861"/>
    <w:rsid w:val="00903899"/>
    <w:rsid w:val="00935364"/>
    <w:rsid w:val="00973F5C"/>
    <w:rsid w:val="009A238B"/>
    <w:rsid w:val="009D289A"/>
    <w:rsid w:val="009F5CA5"/>
    <w:rsid w:val="00A01914"/>
    <w:rsid w:val="00A06CD3"/>
    <w:rsid w:val="00A1485C"/>
    <w:rsid w:val="00A26BFC"/>
    <w:rsid w:val="00A31E50"/>
    <w:rsid w:val="00A522D9"/>
    <w:rsid w:val="00A52FA7"/>
    <w:rsid w:val="00A66153"/>
    <w:rsid w:val="00A75E43"/>
    <w:rsid w:val="00AB0FE7"/>
    <w:rsid w:val="00AD6478"/>
    <w:rsid w:val="00B028C8"/>
    <w:rsid w:val="00B305D7"/>
    <w:rsid w:val="00B31B38"/>
    <w:rsid w:val="00B8738C"/>
    <w:rsid w:val="00BB340F"/>
    <w:rsid w:val="00BE0AF6"/>
    <w:rsid w:val="00BF3050"/>
    <w:rsid w:val="00BF392D"/>
    <w:rsid w:val="00CB711D"/>
    <w:rsid w:val="00CD147B"/>
    <w:rsid w:val="00CE0E77"/>
    <w:rsid w:val="00CF24AA"/>
    <w:rsid w:val="00D4682C"/>
    <w:rsid w:val="00D479A2"/>
    <w:rsid w:val="00D81795"/>
    <w:rsid w:val="00DC34BA"/>
    <w:rsid w:val="00DF3F8C"/>
    <w:rsid w:val="00E01754"/>
    <w:rsid w:val="00E24599"/>
    <w:rsid w:val="00E52BC7"/>
    <w:rsid w:val="00E76C84"/>
    <w:rsid w:val="00E86BA6"/>
    <w:rsid w:val="00EF18BA"/>
    <w:rsid w:val="00EF4FDE"/>
    <w:rsid w:val="00F16444"/>
    <w:rsid w:val="00F342BC"/>
    <w:rsid w:val="00F57274"/>
    <w:rsid w:val="00F748C5"/>
    <w:rsid w:val="04797D9E"/>
    <w:rsid w:val="084F5179"/>
    <w:rsid w:val="0BD77845"/>
    <w:rsid w:val="10A30FB4"/>
    <w:rsid w:val="1F1C0399"/>
    <w:rsid w:val="23931F66"/>
    <w:rsid w:val="2E2E65F5"/>
    <w:rsid w:val="2EEA1542"/>
    <w:rsid w:val="315E2C20"/>
    <w:rsid w:val="32802B99"/>
    <w:rsid w:val="36AD0C04"/>
    <w:rsid w:val="39007FC8"/>
    <w:rsid w:val="39636C5B"/>
    <w:rsid w:val="3B815FB2"/>
    <w:rsid w:val="3BDD61E3"/>
    <w:rsid w:val="3CBA3130"/>
    <w:rsid w:val="3E841FA7"/>
    <w:rsid w:val="3F4305D7"/>
    <w:rsid w:val="42E331E5"/>
    <w:rsid w:val="42ED3B35"/>
    <w:rsid w:val="431C1104"/>
    <w:rsid w:val="484961BB"/>
    <w:rsid w:val="4F737FE7"/>
    <w:rsid w:val="532E7431"/>
    <w:rsid w:val="54713313"/>
    <w:rsid w:val="55AB33D1"/>
    <w:rsid w:val="575B3C53"/>
    <w:rsid w:val="57DF7515"/>
    <w:rsid w:val="591C6A9D"/>
    <w:rsid w:val="59B44771"/>
    <w:rsid w:val="5D4B54DD"/>
    <w:rsid w:val="5F3C02E0"/>
    <w:rsid w:val="6994050E"/>
    <w:rsid w:val="725560EA"/>
    <w:rsid w:val="72EF68B7"/>
    <w:rsid w:val="7B85289F"/>
    <w:rsid w:val="7CED1572"/>
    <w:rsid w:val="7F03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4"/>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800080"/>
      <w:u w:val="single"/>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标题 2 Char"/>
    <w:basedOn w:val="14"/>
    <w:link w:val="3"/>
    <w:qFormat/>
    <w:uiPriority w:val="9"/>
    <w:rPr>
      <w:rFonts w:eastAsia="黑体" w:asciiTheme="majorHAnsi" w:hAnsiTheme="majorHAnsi" w:cstheme="majorBidi"/>
      <w:bCs/>
      <w:sz w:val="32"/>
      <w:szCs w:val="32"/>
    </w:rPr>
  </w:style>
  <w:style w:type="character" w:customStyle="1" w:styleId="24">
    <w:name w:val="标题 3 Char"/>
    <w:basedOn w:val="14"/>
    <w:link w:val="4"/>
    <w:qFormat/>
    <w:uiPriority w:val="9"/>
    <w:rPr>
      <w:rFonts w:eastAsia="仿宋"/>
      <w:b/>
      <w:bCs/>
      <w:sz w:val="32"/>
      <w:szCs w:val="32"/>
    </w:rPr>
  </w:style>
  <w:style w:type="character" w:customStyle="1" w:styleId="25">
    <w:name w:val="标题 1 Char"/>
    <w:basedOn w:val="14"/>
    <w:link w:val="2"/>
    <w:qFormat/>
    <w:uiPriority w:val="9"/>
    <w:rPr>
      <w:b/>
      <w:bCs/>
      <w:kern w:val="44"/>
      <w:sz w:val="44"/>
      <w:szCs w:val="44"/>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A569-C99A-4BF8-8675-5AE9FC386507}">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1819</Characters>
  <Lines>15</Lines>
  <Paragraphs>4</Paragraphs>
  <TotalTime>6</TotalTime>
  <ScaleCrop>false</ScaleCrop>
  <LinksUpToDate>false</LinksUpToDate>
  <CharactersWithSpaces>2134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2020-10-30T03:02:00Z</dcterms:created>
  <dc:creator>张畅[zhangchang]</dc:creator>
  <cp:lastModifiedBy>Administrator</cp:lastModifiedBy>
  <cp:lastPrinted>2020-10-23T08:01:00Z</cp:lastPrinted>
  <dcterms:modified xsi:type="dcterms:W3CDTF">2023-10-20T06:37:22Z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316C66CAE1054C0F97224703B90DDE1C</vt:lpwstr>
  </property>
</Properties>
</file>