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资产支持证券挂牌转让业务办理</w:t>
      </w:r>
    </w:p>
    <w:p>
      <w:pPr>
        <w:spacing w:line="560" w:lineRule="exact"/>
        <w:jc w:val="center"/>
        <w:rPr>
          <w:rFonts w:ascii="黑体" w:hAnsi="黑体" w:eastAsia="黑体"/>
          <w:sz w:val="32"/>
          <w:szCs w:val="32"/>
        </w:rPr>
      </w:pPr>
    </w:p>
    <w:p>
      <w:pPr>
        <w:spacing w:line="560" w:lineRule="exact"/>
        <w:jc w:val="center"/>
        <w:rPr>
          <w:rFonts w:ascii="黑体" w:hAnsi="黑体" w:eastAsia="黑体"/>
          <w:b/>
          <w:sz w:val="32"/>
          <w:szCs w:val="32"/>
        </w:rPr>
      </w:pPr>
      <w:r>
        <w:rPr>
          <w:rFonts w:hint="eastAsia" w:ascii="黑体" w:hAnsi="黑体" w:eastAsia="黑体"/>
          <w:b/>
          <w:sz w:val="32"/>
          <w:szCs w:val="32"/>
        </w:rPr>
        <w:t>目录</w:t>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"1-3" \h \z \u </w:instrText>
      </w:r>
      <w:r>
        <w:rPr>
          <w:rFonts w:hint="eastAsia" w:ascii="仿宋" w:hAnsi="仿宋" w:eastAsia="仿宋" w:cs="仿宋"/>
          <w:b w:val="0"/>
          <w:bCs w:val="0"/>
          <w:sz w:val="28"/>
          <w:szCs w:val="28"/>
        </w:rPr>
        <w:fldChar w:fldCharType="separate"/>
      </w: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_Toc21408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_Toc21408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_Toc19752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_Toc19752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_Toc21858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_Toc21858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_Toc12463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_Toc12463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_Toc2954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_Toc6821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（一）收费标准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_Toc6821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_Toc7291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（二）收费依据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_Toc7291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_Toc7926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_Toc7926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_Toc32576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_Toc32576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_Toc26657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（一）办理情形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_Toc26657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40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_Toc3444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（二）办理条件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_Toc3444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_Toc17925 </w:instrText>
      </w:r>
      <w:r>
        <w:rPr>
          <w:rFonts w:hint="eastAsia" w:ascii="仿宋" w:hAnsi="仿宋" w:eastAsia="仿宋" w:cs="仿宋"/>
          <w:bCs w:val="0"/>
          <w:sz w:val="28"/>
          <w:szCs w:val="28"/>
        </w:rPr>
        <w:fldChar w:fldCharType="separate"/>
      </w:r>
      <w:r>
        <w:rPr>
          <w:rFonts w:hint="eastAsia" w:ascii="仿宋" w:hAnsi="仿宋" w:eastAsia="仿宋" w:cs="仿宋"/>
          <w:bCs/>
          <w:sz w:val="28"/>
          <w:szCs w:val="28"/>
        </w:rPr>
        <w:t>八、申请材料清单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_Toc17925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_Toc2404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九、申请接收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_Toc1026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十、办理流程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_Toc25132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十一、办理结果及送达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_Toc25132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_Toc18706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十二、咨询途径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_Toc18706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pStyle w:val="11"/>
        <w:tabs>
          <w:tab w:val="right" w:leader="dot" w:pos="8306"/>
        </w:tabs>
        <w:spacing w:line="400" w:lineRule="exact"/>
        <w:ind w:left="0" w:leftChars="0"/>
        <w:rPr>
          <w:rFonts w:hint="eastAsia" w:ascii="仿宋" w:hAnsi="仿宋" w:eastAsia="仿宋" w:cs="仿宋"/>
          <w:sz w:val="28"/>
          <w:szCs w:val="28"/>
        </w:rPr>
      </w:pPr>
      <w:r>
        <w:rPr>
          <w:rFonts w:hint="eastAsia" w:ascii="仿宋" w:hAnsi="仿宋" w:eastAsia="仿宋" w:cs="仿宋"/>
          <w:bCs w:val="0"/>
          <w:sz w:val="28"/>
          <w:szCs w:val="28"/>
        </w:rPr>
        <w:fldChar w:fldCharType="begin"/>
      </w:r>
      <w:r>
        <w:rPr>
          <w:rFonts w:hint="eastAsia" w:ascii="仿宋" w:hAnsi="仿宋" w:eastAsia="仿宋" w:cs="仿宋"/>
          <w:bCs w:val="0"/>
          <w:sz w:val="28"/>
          <w:szCs w:val="28"/>
        </w:rPr>
        <w:instrText xml:space="preserve"> HYPERLINK \l _Toc3556 </w:instrText>
      </w:r>
      <w:r>
        <w:rPr>
          <w:rFonts w:hint="eastAsia" w:ascii="仿宋" w:hAnsi="仿宋" w:eastAsia="仿宋" w:cs="仿宋"/>
          <w:bCs w:val="0"/>
          <w:sz w:val="28"/>
          <w:szCs w:val="28"/>
        </w:rPr>
        <w:fldChar w:fldCharType="separate"/>
      </w:r>
      <w:r>
        <w:rPr>
          <w:rFonts w:hint="eastAsia" w:ascii="仿宋" w:hAnsi="仿宋" w:eastAsia="仿宋" w:cs="仿宋"/>
          <w:sz w:val="28"/>
          <w:szCs w:val="28"/>
        </w:rPr>
        <w:t>十三、办理地点和时间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_Toc3556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val="0"/>
          <w:sz w:val="28"/>
          <w:szCs w:val="28"/>
        </w:rPr>
        <w:fldChar w:fldCharType="end"/>
      </w:r>
    </w:p>
    <w:p>
      <w:pPr>
        <w:spacing w:before="0" w:after="0" w:line="400" w:lineRule="exact"/>
        <w:rPr>
          <w:rFonts w:ascii="黑体" w:hAnsi="黑体" w:eastAsia="黑体"/>
          <w:sz w:val="32"/>
          <w:szCs w:val="32"/>
        </w:rPr>
      </w:pPr>
      <w:r>
        <w:rPr>
          <w:rFonts w:hint="eastAsia" w:ascii="仿宋" w:hAnsi="仿宋" w:eastAsia="仿宋" w:cs="仿宋"/>
          <w:b w:val="0"/>
          <w:bCs w:val="0"/>
          <w:sz w:val="28"/>
          <w:szCs w:val="28"/>
        </w:rPr>
        <w:fldChar w:fldCharType="end"/>
      </w:r>
    </w:p>
    <w:p>
      <w:pPr>
        <w:spacing w:line="560" w:lineRule="exact"/>
        <w:rPr>
          <w:rFonts w:ascii="黑体" w:hAnsi="黑体" w:eastAsia="黑体"/>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3"/>
        <w:spacing w:line="560" w:lineRule="exact"/>
        <w:ind w:firstLine="640" w:firstLineChars="200"/>
      </w:pPr>
      <w:bookmarkStart w:id="0" w:name="_Toc53666991"/>
      <w:bookmarkStart w:id="1" w:name="_Toc54622230"/>
      <w:bookmarkStart w:id="2" w:name="_Toc21408"/>
      <w:bookmarkStart w:id="3" w:name="_Toc54880430"/>
      <w:r>
        <w:rPr>
          <w:rFonts w:hint="eastAsia"/>
        </w:rPr>
        <w:t>一、事项名称</w:t>
      </w:r>
      <w:bookmarkEnd w:id="0"/>
      <w:bookmarkEnd w:id="1"/>
      <w:bookmarkEnd w:id="2"/>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资产支持证券挂牌转让业务办理</w:t>
      </w:r>
    </w:p>
    <w:p>
      <w:pPr>
        <w:spacing w:line="560" w:lineRule="exact"/>
        <w:ind w:firstLine="640" w:firstLineChars="200"/>
        <w:rPr>
          <w:rFonts w:ascii="仿宋" w:hAnsi="仿宋" w:eastAsia="仿宋"/>
          <w:sz w:val="32"/>
          <w:szCs w:val="32"/>
        </w:rPr>
      </w:pPr>
    </w:p>
    <w:p>
      <w:pPr>
        <w:pStyle w:val="3"/>
        <w:spacing w:line="560" w:lineRule="exact"/>
        <w:ind w:firstLine="640" w:firstLineChars="200"/>
      </w:pPr>
      <w:bookmarkStart w:id="4" w:name="_Toc54880431"/>
      <w:bookmarkStart w:id="5" w:name="_Toc54622231"/>
      <w:bookmarkStart w:id="6" w:name="_Toc19752"/>
      <w:bookmarkStart w:id="7" w:name="_Toc53666992"/>
      <w:r>
        <w:rPr>
          <w:rFonts w:hint="eastAsia"/>
        </w:rPr>
        <w:t>二、规则依据</w:t>
      </w:r>
      <w:bookmarkEnd w:id="4"/>
      <w:bookmarkEnd w:id="5"/>
      <w:bookmarkEnd w:id="6"/>
      <w:bookmarkEnd w:id="7"/>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《深圳证券交易所资产证券化业务指引》</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pStyle w:val="3"/>
        <w:spacing w:line="560" w:lineRule="exact"/>
        <w:ind w:firstLine="640" w:firstLineChars="200"/>
      </w:pPr>
      <w:bookmarkStart w:id="8" w:name="_Toc21858"/>
      <w:bookmarkStart w:id="9" w:name="_Toc54880432"/>
      <w:bookmarkStart w:id="10" w:name="_Toc53666993"/>
      <w:bookmarkStart w:id="11" w:name="_Toc54622232"/>
      <w:r>
        <w:rPr>
          <w:rFonts w:hint="eastAsia"/>
        </w:rPr>
        <w:t>三、受理部门</w:t>
      </w:r>
      <w:bookmarkEnd w:id="8"/>
      <w:bookmarkEnd w:id="9"/>
      <w:bookmarkEnd w:id="10"/>
      <w:bookmarkEnd w:id="11"/>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仿宋" w:hAnsi="仿宋" w:eastAsia="仿宋"/>
          <w:sz w:val="32"/>
          <w:szCs w:val="32"/>
        </w:rPr>
      </w:pPr>
    </w:p>
    <w:p>
      <w:pPr>
        <w:pStyle w:val="3"/>
        <w:spacing w:line="560" w:lineRule="exact"/>
        <w:ind w:firstLine="640" w:firstLineChars="200"/>
      </w:pPr>
      <w:bookmarkStart w:id="12" w:name="_Toc54622233"/>
      <w:bookmarkStart w:id="13" w:name="_Toc12463"/>
      <w:bookmarkStart w:id="14" w:name="_Toc54880433"/>
      <w:bookmarkStart w:id="15" w:name="_Toc53666994"/>
      <w:r>
        <w:rPr>
          <w:rFonts w:hint="eastAsia"/>
        </w:rPr>
        <w:t>四、办理部门</w:t>
      </w:r>
      <w:bookmarkEnd w:id="12"/>
      <w:bookmarkEnd w:id="13"/>
      <w:bookmarkEnd w:id="14"/>
      <w:bookmarkEnd w:id="15"/>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黑体" w:hAnsi="黑体" w:eastAsia="黑体"/>
          <w:sz w:val="32"/>
          <w:szCs w:val="32"/>
        </w:rPr>
      </w:pPr>
    </w:p>
    <w:p>
      <w:pPr>
        <w:pStyle w:val="3"/>
        <w:spacing w:line="560" w:lineRule="exact"/>
        <w:ind w:firstLine="640" w:firstLineChars="200"/>
      </w:pPr>
      <w:bookmarkStart w:id="16" w:name="_Toc2954"/>
      <w:bookmarkStart w:id="17" w:name="_Toc53666995"/>
      <w:bookmarkStart w:id="18" w:name="_Toc54622234"/>
      <w:bookmarkStart w:id="19" w:name="_Toc54880434"/>
      <w:r>
        <w:rPr>
          <w:rFonts w:hint="eastAsia"/>
        </w:rPr>
        <w:t>五、收费标准及依据</w:t>
      </w:r>
      <w:bookmarkEnd w:id="16"/>
      <w:bookmarkEnd w:id="17"/>
      <w:bookmarkEnd w:id="18"/>
      <w:bookmarkEnd w:id="19"/>
    </w:p>
    <w:p>
      <w:pPr>
        <w:pStyle w:val="4"/>
        <w:spacing w:line="560" w:lineRule="exact"/>
        <w:ind w:firstLine="643" w:firstLineChars="200"/>
      </w:pPr>
      <w:bookmarkStart w:id="20" w:name="_Toc6821"/>
      <w:bookmarkStart w:id="21" w:name="_Toc54880435"/>
      <w:bookmarkStart w:id="22" w:name="_Toc54622235"/>
      <w:bookmarkStart w:id="23" w:name="_Toc53666996"/>
      <w:r>
        <w:rPr>
          <w:rFonts w:hint="eastAsia"/>
        </w:rPr>
        <w:t>（一）收费标准</w:t>
      </w:r>
      <w:bookmarkEnd w:id="20"/>
      <w:bookmarkEnd w:id="21"/>
      <w:bookmarkEnd w:id="22"/>
      <w:bookmarkEnd w:id="23"/>
    </w:p>
    <w:p>
      <w:pPr>
        <w:spacing w:line="560" w:lineRule="exact"/>
        <w:ind w:firstLine="640" w:firstLineChars="200"/>
        <w:rPr>
          <w:rFonts w:ascii="仿宋" w:hAnsi="仿宋" w:eastAsia="仿宋"/>
          <w:sz w:val="32"/>
          <w:szCs w:val="32"/>
        </w:rPr>
      </w:pPr>
      <w:r>
        <w:rPr>
          <w:rFonts w:hint="eastAsia" w:ascii="仿宋" w:hAnsi="仿宋" w:eastAsia="仿宋"/>
          <w:sz w:val="32"/>
          <w:szCs w:val="32"/>
        </w:rPr>
        <w:t>暂免收取上市初费和上市年费</w:t>
      </w:r>
    </w:p>
    <w:p>
      <w:pPr>
        <w:pStyle w:val="4"/>
        <w:spacing w:line="560" w:lineRule="exact"/>
        <w:ind w:firstLine="643" w:firstLineChars="200"/>
      </w:pPr>
      <w:bookmarkStart w:id="24" w:name="_Toc54880436"/>
      <w:bookmarkStart w:id="25" w:name="_Toc53666997"/>
      <w:bookmarkStart w:id="26" w:name="_Toc7291"/>
      <w:bookmarkStart w:id="27" w:name="_Toc54622236"/>
      <w:r>
        <w:rPr>
          <w:rFonts w:hint="eastAsia"/>
        </w:rPr>
        <w:t>（二）收费依据</w:t>
      </w:r>
      <w:bookmarkEnd w:id="24"/>
      <w:bookmarkEnd w:id="25"/>
      <w:bookmarkEnd w:id="26"/>
      <w:bookmarkEnd w:id="27"/>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《深圳证券交易所业务收费管理办法》</w:t>
      </w:r>
    </w:p>
    <w:p>
      <w:pPr>
        <w:spacing w:line="560" w:lineRule="exact"/>
        <w:ind w:firstLine="420" w:firstLineChars="200"/>
      </w:pPr>
    </w:p>
    <w:p>
      <w:pPr>
        <w:pStyle w:val="3"/>
        <w:spacing w:line="560" w:lineRule="exact"/>
        <w:ind w:firstLine="640" w:firstLineChars="200"/>
      </w:pPr>
      <w:bookmarkStart w:id="28" w:name="_Toc53666998"/>
      <w:bookmarkStart w:id="29" w:name="_Toc54622237"/>
      <w:bookmarkStart w:id="30" w:name="_Toc54880437"/>
      <w:bookmarkStart w:id="31" w:name="_Toc7926"/>
      <w:r>
        <w:rPr>
          <w:rFonts w:hint="eastAsia"/>
        </w:rPr>
        <w:t>六、办理时限</w:t>
      </w:r>
      <w:bookmarkEnd w:id="28"/>
      <w:bookmarkEnd w:id="29"/>
      <w:bookmarkEnd w:id="30"/>
      <w:bookmarkEnd w:id="31"/>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深圳证券交易所自接受完备申请材料之日起五个交易日内，出具接受挂牌通知书。</w:t>
      </w:r>
    </w:p>
    <w:p>
      <w:pPr>
        <w:spacing w:line="560" w:lineRule="exact"/>
        <w:ind w:firstLine="640" w:firstLineChars="200"/>
        <w:rPr>
          <w:rFonts w:ascii="仿宋" w:hAnsi="仿宋" w:eastAsia="仿宋"/>
          <w:sz w:val="32"/>
          <w:szCs w:val="32"/>
        </w:rPr>
      </w:pPr>
    </w:p>
    <w:p>
      <w:pPr>
        <w:pStyle w:val="3"/>
        <w:spacing w:line="560" w:lineRule="exact"/>
        <w:ind w:firstLine="640" w:firstLineChars="200"/>
      </w:pPr>
      <w:bookmarkStart w:id="32" w:name="_Toc54880438"/>
      <w:bookmarkStart w:id="33" w:name="_Toc54358679"/>
      <w:bookmarkStart w:id="34" w:name="_Toc32576"/>
      <w:bookmarkStart w:id="35" w:name="_Toc54622238"/>
      <w:bookmarkStart w:id="36" w:name="_Toc53666999"/>
      <w:r>
        <w:rPr>
          <w:rFonts w:hint="eastAsia"/>
        </w:rPr>
        <w:t>七、办理情形和条件</w:t>
      </w:r>
      <w:bookmarkEnd w:id="32"/>
      <w:bookmarkEnd w:id="33"/>
      <w:bookmarkEnd w:id="34"/>
      <w:bookmarkStart w:id="37" w:name="_Toc54358680"/>
    </w:p>
    <w:p>
      <w:pPr>
        <w:pStyle w:val="3"/>
        <w:spacing w:line="560" w:lineRule="exact"/>
        <w:ind w:firstLine="643" w:firstLineChars="200"/>
        <w:rPr>
          <w:rFonts w:hint="eastAsia" w:ascii="仿宋" w:hAnsi="仿宋" w:eastAsia="仿宋" w:cs="仿宋"/>
          <w:b/>
          <w:bCs w:val="0"/>
        </w:rPr>
      </w:pPr>
      <w:bookmarkStart w:id="38" w:name="_Toc54880439"/>
      <w:bookmarkStart w:id="39" w:name="_Toc26657"/>
      <w:r>
        <w:rPr>
          <w:rFonts w:hint="eastAsia" w:ascii="仿宋" w:hAnsi="仿宋" w:eastAsia="仿宋" w:cs="仿宋"/>
          <w:b/>
          <w:bCs w:val="0"/>
        </w:rPr>
        <w:t>（一）办理</w:t>
      </w:r>
      <w:bookmarkStart w:id="63" w:name="_GoBack"/>
      <w:bookmarkEnd w:id="63"/>
      <w:r>
        <w:rPr>
          <w:rFonts w:hint="eastAsia" w:ascii="仿宋" w:hAnsi="仿宋" w:eastAsia="仿宋" w:cs="仿宋"/>
          <w:b/>
          <w:bCs w:val="0"/>
        </w:rPr>
        <w:t>情形</w:t>
      </w:r>
      <w:bookmarkEnd w:id="37"/>
      <w:bookmarkEnd w:id="38"/>
      <w:bookmarkEnd w:id="39"/>
    </w:p>
    <w:p>
      <w:pPr>
        <w:spacing w:line="560" w:lineRule="exact"/>
        <w:ind w:firstLine="640" w:firstLineChars="200"/>
        <w:rPr>
          <w:rFonts w:ascii="仿宋" w:hAnsi="仿宋" w:eastAsia="仿宋"/>
          <w:sz w:val="32"/>
          <w:szCs w:val="32"/>
        </w:rPr>
      </w:pPr>
      <w:r>
        <w:rPr>
          <w:rFonts w:hint="eastAsia" w:ascii="仿宋" w:hAnsi="仿宋" w:eastAsia="仿宋"/>
          <w:sz w:val="32"/>
          <w:szCs w:val="32"/>
        </w:rPr>
        <w:t>资产支持证券在本所的挂牌转让。</w:t>
      </w:r>
    </w:p>
    <w:p>
      <w:pPr>
        <w:pStyle w:val="4"/>
        <w:spacing w:line="560" w:lineRule="exact"/>
        <w:ind w:firstLine="643" w:firstLineChars="200"/>
      </w:pPr>
      <w:bookmarkStart w:id="40" w:name="_Toc54358681"/>
      <w:bookmarkStart w:id="41" w:name="_Toc54880440"/>
      <w:bookmarkStart w:id="42" w:name="_Toc3444"/>
      <w:r>
        <w:rPr>
          <w:rFonts w:hint="eastAsia"/>
        </w:rPr>
        <w:t>（二）办理条件</w:t>
      </w:r>
      <w:bookmarkEnd w:id="40"/>
      <w:bookmarkEnd w:id="41"/>
      <w:bookmarkEnd w:id="42"/>
    </w:p>
    <w:p>
      <w:pPr>
        <w:spacing w:line="560" w:lineRule="exact"/>
        <w:ind w:firstLine="640" w:firstLineChars="200"/>
        <w:rPr>
          <w:rFonts w:ascii="仿宋" w:hAnsi="仿宋" w:eastAsia="仿宋"/>
          <w:sz w:val="32"/>
          <w:szCs w:val="32"/>
        </w:rPr>
      </w:pPr>
      <w:r>
        <w:rPr>
          <w:rFonts w:hint="eastAsia" w:ascii="仿宋" w:hAnsi="仿宋" w:eastAsia="仿宋"/>
          <w:sz w:val="32"/>
          <w:szCs w:val="32"/>
        </w:rPr>
        <w:t>应符合业务规则《深圳证券交易所资产证券化业务指引》办理条件要求。</w:t>
      </w:r>
    </w:p>
    <w:p>
      <w:pPr>
        <w:spacing w:line="560" w:lineRule="exact"/>
        <w:ind w:firstLine="640" w:firstLineChars="200"/>
        <w:rPr>
          <w:rFonts w:ascii="仿宋" w:hAnsi="仿宋" w:eastAsia="仿宋"/>
          <w:sz w:val="32"/>
          <w:szCs w:val="32"/>
        </w:rPr>
      </w:pPr>
    </w:p>
    <w:p>
      <w:pPr>
        <w:keepNext/>
        <w:keepLines/>
        <w:spacing w:line="560" w:lineRule="exact"/>
        <w:ind w:firstLine="640" w:firstLineChars="200"/>
        <w:outlineLvl w:val="1"/>
        <w:rPr>
          <w:rFonts w:eastAsia="黑体" w:asciiTheme="majorHAnsi" w:hAnsiTheme="majorHAnsi" w:cstheme="majorBidi"/>
          <w:bCs/>
          <w:sz w:val="32"/>
          <w:szCs w:val="32"/>
        </w:rPr>
      </w:pPr>
      <w:bookmarkStart w:id="43" w:name="_Toc54880441"/>
      <w:bookmarkStart w:id="44" w:name="_Toc17925"/>
      <w:r>
        <w:rPr>
          <w:rFonts w:hint="eastAsia" w:eastAsia="黑体" w:asciiTheme="majorHAnsi" w:hAnsiTheme="majorHAnsi" w:cstheme="majorBidi"/>
          <w:bCs/>
          <w:sz w:val="32"/>
          <w:szCs w:val="32"/>
        </w:rPr>
        <w:t>八、申请材料清单</w:t>
      </w:r>
      <w:bookmarkEnd w:id="43"/>
      <w:bookmarkEnd w:id="44"/>
    </w:p>
    <w:p>
      <w:pPr>
        <w:spacing w:line="560" w:lineRule="exact"/>
        <w:ind w:firstLine="640" w:firstLineChars="200"/>
        <w:rPr>
          <w:rFonts w:ascii="仿宋" w:hAnsi="仿宋" w:eastAsia="仿宋"/>
          <w:sz w:val="32"/>
          <w:szCs w:val="32"/>
        </w:rPr>
      </w:pPr>
      <w:r>
        <w:rPr>
          <w:rFonts w:hint="eastAsia" w:ascii="仿宋" w:hAnsi="仿宋" w:eastAsia="仿宋"/>
          <w:sz w:val="32"/>
          <w:szCs w:val="32"/>
        </w:rPr>
        <w:t>（一）挂牌申请书；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（二）专项计划备案证明文件；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（三）计划说明书、交易合同文本以及法律意见书等专项计划法律文件；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（四）资信评级机构出具的报告（如有）；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（五）特定原始权益人最近三年（未满三年的自成立之日起）经具有从事证券期货相关业务资格的会计事务所审计的财务会计报告及融资情况说明；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（六）募集完成后经具有从事证券期货相关业务资格的会计师事务所出具的验资报告；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（七）本所指定登记结算机构出具的登记托管证明文件；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（八）专项计划是否发生重大变化的说明；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（九）本所要求的其他文件。</w:t>
      </w:r>
    </w:p>
    <w:p>
      <w:pPr>
        <w:spacing w:line="560" w:lineRule="exact"/>
        <w:ind w:firstLine="420" w:firstLineChars="200"/>
      </w:pPr>
    </w:p>
    <w:p>
      <w:pPr>
        <w:pStyle w:val="3"/>
        <w:spacing w:line="560" w:lineRule="exact"/>
        <w:ind w:firstLine="640" w:firstLineChars="200"/>
      </w:pPr>
      <w:bookmarkStart w:id="45" w:name="_Toc2404"/>
      <w:bookmarkStart w:id="46" w:name="_Toc54358683"/>
      <w:bookmarkStart w:id="47" w:name="_Toc54880442"/>
      <w:r>
        <w:rPr>
          <w:rFonts w:hint="eastAsia"/>
        </w:rPr>
        <w:t>九、申请接收</w:t>
      </w:r>
      <w:bookmarkEnd w:id="45"/>
      <w:bookmarkEnd w:id="46"/>
      <w:bookmarkEnd w:id="47"/>
    </w:p>
    <w:p>
      <w:pPr>
        <w:spacing w:line="560" w:lineRule="exact"/>
        <w:ind w:firstLine="640" w:firstLineChars="200"/>
        <w:rPr>
          <w:rFonts w:ascii="仿宋" w:hAnsi="仿宋" w:eastAsia="仿宋"/>
          <w:sz w:val="32"/>
          <w:szCs w:val="32"/>
        </w:rPr>
      </w:pPr>
      <w:r>
        <w:rPr>
          <w:rFonts w:hint="eastAsia" w:ascii="仿宋" w:hAnsi="仿宋" w:eastAsia="仿宋"/>
          <w:sz w:val="32"/>
          <w:szCs w:val="32"/>
        </w:rPr>
        <w:t>专项计划管理人应通过深圳证券交易所“固定收益品种业务专区”（以下简称固收专区）（</w:t>
      </w:r>
      <w:r>
        <w:rPr>
          <w:rFonts w:ascii="仿宋" w:hAnsi="仿宋" w:eastAsia="仿宋"/>
          <w:sz w:val="32"/>
          <w:szCs w:val="32"/>
        </w:rPr>
        <w:t>https://biz.szse.cn/fic</w:t>
      </w:r>
      <w:r>
        <w:rPr>
          <w:rFonts w:hint="eastAsia" w:ascii="仿宋" w:hAnsi="仿宋" w:eastAsia="仿宋"/>
          <w:sz w:val="32"/>
          <w:szCs w:val="32"/>
        </w:rPr>
        <w:t>）提交挂牌转让申请相关材料。</w:t>
      </w:r>
    </w:p>
    <w:p>
      <w:pPr>
        <w:spacing w:line="560" w:lineRule="exact"/>
        <w:ind w:firstLine="640" w:firstLineChars="200"/>
        <w:rPr>
          <w:rFonts w:ascii="仿宋" w:hAnsi="仿宋" w:eastAsia="仿宋"/>
          <w:sz w:val="32"/>
          <w:szCs w:val="32"/>
        </w:rPr>
      </w:pPr>
    </w:p>
    <w:p>
      <w:pPr>
        <w:pStyle w:val="3"/>
        <w:spacing w:line="560" w:lineRule="exact"/>
        <w:ind w:firstLine="640" w:firstLineChars="200"/>
      </w:pPr>
      <w:bookmarkStart w:id="48" w:name="_Toc1026"/>
      <w:bookmarkStart w:id="49" w:name="_Toc54880443"/>
      <w:bookmarkStart w:id="50" w:name="_Toc54358684"/>
      <w:r>
        <w:rPr>
          <w:rFonts w:hint="eastAsia"/>
        </w:rPr>
        <w:t>十、办理流程</w:t>
      </w:r>
      <w:bookmarkEnd w:id="48"/>
      <w:bookmarkEnd w:id="49"/>
      <w:bookmarkEnd w:id="50"/>
    </w:p>
    <w:p>
      <w:pPr>
        <w:spacing w:line="560" w:lineRule="exact"/>
        <w:ind w:firstLine="640" w:firstLineChars="200"/>
        <w:rPr>
          <w:rFonts w:ascii="仿宋" w:hAnsi="仿宋" w:eastAsia="仿宋"/>
          <w:sz w:val="32"/>
          <w:szCs w:val="32"/>
        </w:rPr>
      </w:pPr>
      <w:r>
        <w:rPr>
          <w:rFonts w:hint="eastAsia" w:ascii="仿宋" w:hAnsi="仿宋" w:eastAsia="仿宋"/>
          <w:sz w:val="32"/>
          <w:szCs w:val="32"/>
        </w:rPr>
        <w:t>见深圳证券交易所固收专区《发行、登记及上市一站式服务流程及模版》。</w:t>
      </w:r>
    </w:p>
    <w:p>
      <w:pPr>
        <w:spacing w:line="560" w:lineRule="exact"/>
        <w:ind w:firstLine="640" w:firstLineChars="200"/>
        <w:rPr>
          <w:rFonts w:ascii="仿宋" w:hAnsi="仿宋" w:eastAsia="仿宋"/>
          <w:sz w:val="32"/>
          <w:szCs w:val="32"/>
        </w:rPr>
      </w:pPr>
    </w:p>
    <w:bookmarkEnd w:id="35"/>
    <w:bookmarkEnd w:id="36"/>
    <w:p>
      <w:pPr>
        <w:pStyle w:val="3"/>
        <w:spacing w:line="560" w:lineRule="exact"/>
        <w:ind w:firstLine="640" w:firstLineChars="200"/>
      </w:pPr>
      <w:bookmarkStart w:id="51" w:name="_Toc54880444"/>
      <w:bookmarkStart w:id="52" w:name="_Toc54622247"/>
      <w:bookmarkStart w:id="53" w:name="_Toc53667010"/>
      <w:bookmarkStart w:id="54" w:name="_Toc25132"/>
      <w:r>
        <w:rPr>
          <w:rFonts w:hint="eastAsia"/>
        </w:rPr>
        <w:t>十一、办理结果及送达</w:t>
      </w:r>
      <w:bookmarkEnd w:id="51"/>
      <w:bookmarkEnd w:id="52"/>
      <w:bookmarkEnd w:id="53"/>
      <w:bookmarkEnd w:id="54"/>
    </w:p>
    <w:p>
      <w:pPr>
        <w:spacing w:line="560" w:lineRule="exact"/>
        <w:ind w:firstLine="640" w:firstLineChars="200"/>
      </w:pPr>
      <w:r>
        <w:rPr>
          <w:rFonts w:hint="eastAsia" w:ascii="仿宋" w:hAnsi="仿宋" w:eastAsia="仿宋"/>
          <w:sz w:val="32"/>
          <w:szCs w:val="32"/>
        </w:rPr>
        <w:t>深圳证券交易所于官方网站（www.szse.cn</w:t>
      </w:r>
      <w:r>
        <w:rPr>
          <w:rFonts w:ascii="仿宋" w:hAnsi="仿宋" w:eastAsia="仿宋"/>
          <w:sz w:val="32"/>
          <w:szCs w:val="32"/>
        </w:rPr>
        <w:t>）</w:t>
      </w:r>
      <w:r>
        <w:rPr>
          <w:rFonts w:hint="eastAsia" w:ascii="仿宋" w:hAnsi="仿宋" w:eastAsia="仿宋"/>
          <w:sz w:val="32"/>
          <w:szCs w:val="32"/>
        </w:rPr>
        <w:t>披露提供转让服务的公告，并于挂牌日后发送挂牌转让通知。</w:t>
      </w:r>
    </w:p>
    <w:p>
      <w:pPr>
        <w:spacing w:line="560" w:lineRule="exact"/>
        <w:ind w:firstLine="640" w:firstLineChars="200"/>
        <w:rPr>
          <w:rFonts w:ascii="仿宋" w:hAnsi="仿宋" w:eastAsia="仿宋"/>
          <w:sz w:val="32"/>
          <w:szCs w:val="32"/>
        </w:rPr>
      </w:pPr>
    </w:p>
    <w:p>
      <w:pPr>
        <w:pStyle w:val="3"/>
        <w:spacing w:line="560" w:lineRule="exact"/>
        <w:ind w:firstLine="640" w:firstLineChars="200"/>
      </w:pPr>
      <w:bookmarkStart w:id="55" w:name="_Toc18706"/>
      <w:bookmarkStart w:id="56" w:name="_Toc54622248"/>
      <w:bookmarkStart w:id="57" w:name="_Toc53667011"/>
      <w:bookmarkStart w:id="58" w:name="_Toc54880445"/>
      <w:r>
        <w:rPr>
          <w:rFonts w:hint="eastAsia"/>
        </w:rPr>
        <w:t>十二、咨询途径</w:t>
      </w:r>
      <w:bookmarkEnd w:id="55"/>
      <w:bookmarkEnd w:id="56"/>
      <w:bookmarkEnd w:id="57"/>
      <w:bookmarkEnd w:id="58"/>
    </w:p>
    <w:p>
      <w:pPr>
        <w:spacing w:line="560" w:lineRule="exact"/>
        <w:ind w:firstLine="640" w:firstLineChars="200"/>
        <w:rPr>
          <w:rFonts w:ascii="仿宋" w:hAnsi="仿宋" w:eastAsia="仿宋"/>
          <w:sz w:val="32"/>
          <w:szCs w:val="32"/>
        </w:rPr>
      </w:pPr>
      <w:r>
        <w:rPr>
          <w:rFonts w:ascii="仿宋" w:hAnsi="仿宋" w:eastAsia="仿宋"/>
          <w:sz w:val="32"/>
          <w:szCs w:val="32"/>
        </w:rPr>
        <w:t>电话：0755-8866</w:t>
      </w:r>
      <w:r>
        <w:rPr>
          <w:rFonts w:hint="eastAsia" w:ascii="仿宋" w:hAnsi="仿宋" w:eastAsia="仿宋"/>
          <w:sz w:val="32"/>
          <w:szCs w:val="32"/>
        </w:rPr>
        <w:t xml:space="preserve"> 8299</w:t>
      </w:r>
      <w:r>
        <w:rPr>
          <w:rFonts w:ascii="仿宋" w:hAnsi="仿宋" w:eastAsia="仿宋"/>
          <w:sz w:val="32"/>
          <w:szCs w:val="32"/>
        </w:rPr>
        <w:t xml:space="preserve"> 邮箱：</w:t>
      </w:r>
      <w:r>
        <w:rPr>
          <w:rFonts w:hint="eastAsia" w:ascii="仿宋" w:hAnsi="仿宋" w:eastAsia="仿宋"/>
          <w:sz w:val="32"/>
          <w:szCs w:val="32"/>
        </w:rPr>
        <w:t>abs@szse.cn</w:t>
      </w:r>
    </w:p>
    <w:p>
      <w:pPr>
        <w:spacing w:line="560" w:lineRule="exact"/>
        <w:ind w:firstLine="640" w:firstLineChars="200"/>
        <w:rPr>
          <w:rFonts w:ascii="仿宋" w:hAnsi="仿宋" w:eastAsia="仿宋"/>
          <w:sz w:val="32"/>
          <w:szCs w:val="32"/>
        </w:rPr>
      </w:pPr>
    </w:p>
    <w:p>
      <w:pPr>
        <w:pStyle w:val="3"/>
        <w:spacing w:line="560" w:lineRule="exact"/>
        <w:ind w:firstLine="640" w:firstLineChars="200"/>
      </w:pPr>
      <w:bookmarkStart w:id="59" w:name="_Toc53667014"/>
      <w:bookmarkStart w:id="60" w:name="_Toc54880446"/>
      <w:bookmarkStart w:id="61" w:name="_Toc3556"/>
      <w:bookmarkStart w:id="62" w:name="_Toc54622249"/>
      <w:r>
        <w:rPr>
          <w:rFonts w:hint="eastAsia"/>
        </w:rPr>
        <w:t>十三、办理地点和时间</w:t>
      </w:r>
      <w:bookmarkEnd w:id="59"/>
      <w:bookmarkEnd w:id="60"/>
      <w:bookmarkEnd w:id="61"/>
      <w:bookmarkEnd w:id="62"/>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深圳证券交易所固收专区7×24小时接受资产支持证券挂牌转让申请。</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617551"/>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2617551"/>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462C4"/>
    <w:rsid w:val="000A5A86"/>
    <w:rsid w:val="001030AB"/>
    <w:rsid w:val="001149DE"/>
    <w:rsid w:val="00162309"/>
    <w:rsid w:val="001A1B93"/>
    <w:rsid w:val="001D1F50"/>
    <w:rsid w:val="0020392E"/>
    <w:rsid w:val="00207932"/>
    <w:rsid w:val="0022640E"/>
    <w:rsid w:val="00253B29"/>
    <w:rsid w:val="00254874"/>
    <w:rsid w:val="00257DD2"/>
    <w:rsid w:val="0028179D"/>
    <w:rsid w:val="002B05ED"/>
    <w:rsid w:val="00344011"/>
    <w:rsid w:val="00411D74"/>
    <w:rsid w:val="0041589E"/>
    <w:rsid w:val="004236F5"/>
    <w:rsid w:val="00473CB0"/>
    <w:rsid w:val="00480347"/>
    <w:rsid w:val="004A0D57"/>
    <w:rsid w:val="004B6376"/>
    <w:rsid w:val="005745F5"/>
    <w:rsid w:val="00603A72"/>
    <w:rsid w:val="0060590A"/>
    <w:rsid w:val="00617A53"/>
    <w:rsid w:val="0063239D"/>
    <w:rsid w:val="00650A0A"/>
    <w:rsid w:val="006F23EE"/>
    <w:rsid w:val="0070220E"/>
    <w:rsid w:val="00705593"/>
    <w:rsid w:val="00714090"/>
    <w:rsid w:val="007342FE"/>
    <w:rsid w:val="007939BD"/>
    <w:rsid w:val="00800AAB"/>
    <w:rsid w:val="00806112"/>
    <w:rsid w:val="008417E5"/>
    <w:rsid w:val="00850813"/>
    <w:rsid w:val="0092779C"/>
    <w:rsid w:val="00954535"/>
    <w:rsid w:val="00974923"/>
    <w:rsid w:val="009905C4"/>
    <w:rsid w:val="009A238B"/>
    <w:rsid w:val="009F4007"/>
    <w:rsid w:val="009F5CA5"/>
    <w:rsid w:val="00A758F1"/>
    <w:rsid w:val="00A75E43"/>
    <w:rsid w:val="00AD6478"/>
    <w:rsid w:val="00B16095"/>
    <w:rsid w:val="00B62E39"/>
    <w:rsid w:val="00B823BA"/>
    <w:rsid w:val="00B95FBB"/>
    <w:rsid w:val="00BB2353"/>
    <w:rsid w:val="00C33002"/>
    <w:rsid w:val="00C660D0"/>
    <w:rsid w:val="00C963A0"/>
    <w:rsid w:val="00CD147B"/>
    <w:rsid w:val="00CE1E3E"/>
    <w:rsid w:val="00CE4175"/>
    <w:rsid w:val="00CF24AA"/>
    <w:rsid w:val="00D06BC3"/>
    <w:rsid w:val="00D479A2"/>
    <w:rsid w:val="00D76A83"/>
    <w:rsid w:val="00DB57F7"/>
    <w:rsid w:val="00E47E7A"/>
    <w:rsid w:val="00ED294E"/>
    <w:rsid w:val="00F01F07"/>
    <w:rsid w:val="00F24F4F"/>
    <w:rsid w:val="00F748C5"/>
    <w:rsid w:val="00F82419"/>
    <w:rsid w:val="00F94928"/>
    <w:rsid w:val="00FD4442"/>
    <w:rsid w:val="130C3189"/>
    <w:rsid w:val="27163005"/>
    <w:rsid w:val="28352B49"/>
    <w:rsid w:val="2E8F00B7"/>
    <w:rsid w:val="32D835BB"/>
    <w:rsid w:val="33C33583"/>
    <w:rsid w:val="375D6419"/>
    <w:rsid w:val="3B2F4BF0"/>
    <w:rsid w:val="3B6616ED"/>
    <w:rsid w:val="3CA73FAE"/>
    <w:rsid w:val="3D057016"/>
    <w:rsid w:val="42922780"/>
    <w:rsid w:val="43AC15E4"/>
    <w:rsid w:val="48BD4684"/>
    <w:rsid w:val="4E68540B"/>
    <w:rsid w:val="53171763"/>
    <w:rsid w:val="5BAE2C41"/>
    <w:rsid w:val="5C957A94"/>
    <w:rsid w:val="5D053FB7"/>
    <w:rsid w:val="5F8B651B"/>
    <w:rsid w:val="65E87690"/>
    <w:rsid w:val="6C25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5"/>
    <w:unhideWhenUsed/>
    <w:qFormat/>
    <w:uiPriority w:val="9"/>
    <w:pPr>
      <w:keepNext/>
      <w:keepLines/>
      <w:spacing w:line="560" w:lineRule="exact"/>
      <w:outlineLvl w:val="2"/>
    </w:pPr>
    <w:rPr>
      <w:rFonts w:eastAsia="仿宋"/>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2"/>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批注文字 Char"/>
    <w:basedOn w:val="15"/>
    <w:link w:val="5"/>
    <w:semiHidden/>
    <w:qFormat/>
    <w:uiPriority w:val="99"/>
  </w:style>
  <w:style w:type="character" w:customStyle="1" w:styleId="22">
    <w:name w:val="批注主题 Char"/>
    <w:basedOn w:val="21"/>
    <w:link w:val="12"/>
    <w:semiHidden/>
    <w:qFormat/>
    <w:uiPriority w:val="99"/>
    <w:rPr>
      <w:b/>
      <w:bCs/>
    </w:rPr>
  </w:style>
  <w:style w:type="character" w:customStyle="1" w:styleId="23">
    <w:name w:val="批注框文本 Char"/>
    <w:basedOn w:val="15"/>
    <w:link w:val="7"/>
    <w:semiHidden/>
    <w:qFormat/>
    <w:uiPriority w:val="99"/>
    <w:rPr>
      <w:sz w:val="18"/>
      <w:szCs w:val="18"/>
    </w:rPr>
  </w:style>
  <w:style w:type="character" w:customStyle="1" w:styleId="24">
    <w:name w:val="标题 2 Char"/>
    <w:basedOn w:val="15"/>
    <w:link w:val="3"/>
    <w:qFormat/>
    <w:uiPriority w:val="9"/>
    <w:rPr>
      <w:rFonts w:eastAsia="黑体" w:asciiTheme="majorHAnsi" w:hAnsiTheme="majorHAnsi" w:cstheme="majorBidi"/>
      <w:bCs/>
      <w:sz w:val="32"/>
      <w:szCs w:val="32"/>
    </w:rPr>
  </w:style>
  <w:style w:type="character" w:customStyle="1" w:styleId="25">
    <w:name w:val="标题 3 Char"/>
    <w:basedOn w:val="15"/>
    <w:link w:val="4"/>
    <w:qFormat/>
    <w:uiPriority w:val="9"/>
    <w:rPr>
      <w:rFonts w:eastAsia="仿宋"/>
      <w:b/>
      <w:bCs/>
      <w:sz w:val="32"/>
      <w:szCs w:val="32"/>
    </w:rPr>
  </w:style>
  <w:style w:type="character" w:customStyle="1" w:styleId="26">
    <w:name w:val="标题 1 Char"/>
    <w:basedOn w:val="15"/>
    <w:link w:val="2"/>
    <w:qFormat/>
    <w:uiPriority w:val="9"/>
    <w:rPr>
      <w:b/>
      <w:bCs/>
      <w:kern w:val="44"/>
      <w:sz w:val="44"/>
      <w:szCs w:val="44"/>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64FF9-D095-4958-A10A-C02E09F05E95}">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318</Words>
  <Characters>1816</Characters>
  <Lines>15</Lines>
  <Paragraphs>4</Paragraphs>
  <TotalTime>1</TotalTime>
  <ScaleCrop>false</ScaleCrop>
  <LinksUpToDate>false</LinksUpToDate>
  <CharactersWithSpaces>2130</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2020-10-30T02:07:00Z</dcterms:created>
  <dc:creator>张畅[zhangchang]</dc:creator>
  <cp:lastModifiedBy>xxb19</cp:lastModifiedBy>
  <cp:lastPrinted>2020-10-30T00:58:00Z</cp:lastPrinted>
  <dcterms:modified xsi:type="dcterms:W3CDTF">2023-09-09T03:25:02Z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A51011ADD3CA495A9B9FD54D61663A00</vt:lpwstr>
  </property>
</Properties>
</file>