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资产支持证券挂牌条件确认申请</w:t>
      </w:r>
    </w:p>
    <w:p>
      <w:pPr>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r>
        <w:rPr>
          <w:rFonts w:hint="eastAsia" w:ascii="黑体" w:hAnsi="黑体" w:eastAsia="黑体"/>
          <w:sz w:val="32"/>
          <w:szCs w:val="32"/>
        </w:rPr>
        <w:t>目录</w:t>
      </w:r>
    </w:p>
    <w:p>
      <w:pPr>
        <w:snapToGrid w:val="0"/>
        <w:spacing w:line="560" w:lineRule="exact"/>
        <w:jc w:val="center"/>
        <w:rPr>
          <w:rFonts w:ascii="黑体" w:hAnsi="黑体" w:eastAsia="黑体"/>
          <w:sz w:val="32"/>
          <w:szCs w:val="32"/>
        </w:rPr>
      </w:pPr>
    </w:p>
    <w:p>
      <w:pPr>
        <w:pStyle w:val="10"/>
        <w:tabs>
          <w:tab w:val="right" w:leader="dot" w:pos="8296"/>
        </w:tabs>
        <w:spacing w:line="400" w:lineRule="exact"/>
        <w:ind w:left="0" w:leftChars="0"/>
        <w:rPr>
          <w:rFonts w:ascii="仿宋" w:hAnsi="仿宋" w:eastAsia="仿宋" w:cs="仿宋"/>
          <w:sz w:val="28"/>
          <w:szCs w:val="28"/>
        </w:rPr>
      </w:pP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hint="eastAsia" w:asciiTheme="minorEastAsia" w:hAnsiTheme="minorEastAsia"/>
          <w:sz w:val="24"/>
          <w:szCs w:val="24"/>
        </w:rPr>
        <w:instrText xml:space="preserve">TOC \o "1-3" \h \z \u</w:instrText>
      </w:r>
      <w:r>
        <w:rPr>
          <w:rFonts w:asciiTheme="minorEastAsia" w:hAnsiTheme="minorEastAsia"/>
          <w:sz w:val="24"/>
          <w:szCs w:val="24"/>
        </w:rPr>
        <w:instrText xml:space="preserve"> </w:instrText>
      </w:r>
      <w:r>
        <w:rPr>
          <w:rFonts w:asciiTheme="minorEastAsia" w:hAnsiTheme="minorEastAsia"/>
          <w:sz w:val="24"/>
          <w:szCs w:val="24"/>
        </w:rPr>
        <w:fldChar w:fldCharType="separate"/>
      </w:r>
      <w:r>
        <w:fldChar w:fldCharType="begin"/>
      </w:r>
      <w:r>
        <w:instrText xml:space="preserve"> HYPERLINK \l "_Toc54968166" </w:instrText>
      </w:r>
      <w:r>
        <w:fldChar w:fldCharType="separate"/>
      </w:r>
      <w:r>
        <w:rPr>
          <w:rStyle w:val="15"/>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_Toc54968166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"_Toc54968167" </w:instrText>
      </w:r>
      <w:r>
        <w:fldChar w:fldCharType="separate"/>
      </w:r>
      <w:r>
        <w:rPr>
          <w:rStyle w:val="15"/>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_Toc54968167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"_Toc54968168" </w:instrText>
      </w:r>
      <w:r>
        <w:fldChar w:fldCharType="separate"/>
      </w:r>
      <w:r>
        <w:rPr>
          <w:rStyle w:val="15"/>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_Toc54968168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"_Toc54968169" </w:instrText>
      </w:r>
      <w:r>
        <w:fldChar w:fldCharType="separate"/>
      </w:r>
      <w:r>
        <w:rPr>
          <w:rStyle w:val="15"/>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_Toc54968169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"_Toc54968170" </w:instrText>
      </w:r>
      <w:r>
        <w:fldChar w:fldCharType="separate"/>
      </w:r>
      <w:r>
        <w:rPr>
          <w:rStyle w:val="15"/>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"_Toc54968171" </w:instrText>
      </w:r>
      <w:r>
        <w:fldChar w:fldCharType="separate"/>
      </w:r>
      <w:r>
        <w:rPr>
          <w:rStyle w:val="15"/>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"_Toc54968172" </w:instrText>
      </w:r>
      <w:r>
        <w:fldChar w:fldCharType="separate"/>
      </w:r>
      <w:r>
        <w:rPr>
          <w:rStyle w:val="15"/>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"_Toc54968173" </w:instrText>
      </w:r>
      <w:r>
        <w:fldChar w:fldCharType="separate"/>
      </w:r>
      <w:r>
        <w:rPr>
          <w:rStyle w:val="15"/>
          <w:rFonts w:hint="eastAsia" w:ascii="仿宋" w:hAnsi="仿宋" w:eastAsia="仿宋" w:cs="仿宋"/>
          <w:sz w:val="28"/>
          <w:szCs w:val="28"/>
        </w:rPr>
        <w:t>（一）办理情形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"_Toc54968174" </w:instrText>
      </w:r>
      <w:r>
        <w:fldChar w:fldCharType="separate"/>
      </w:r>
      <w:r>
        <w:rPr>
          <w:rStyle w:val="15"/>
          <w:rFonts w:hint="eastAsia" w:ascii="仿宋" w:hAnsi="仿宋" w:eastAsia="仿宋" w:cs="仿宋"/>
          <w:sz w:val="28"/>
          <w:szCs w:val="28"/>
        </w:rPr>
        <w:t>（二）办理条件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"_Toc54968175" </w:instrText>
      </w:r>
      <w:r>
        <w:fldChar w:fldCharType="separate"/>
      </w:r>
      <w:r>
        <w:rPr>
          <w:rStyle w:val="15"/>
          <w:rFonts w:hint="eastAsia" w:ascii="仿宋" w:hAnsi="仿宋" w:eastAsia="仿宋" w:cs="仿宋"/>
          <w:sz w:val="28"/>
          <w:szCs w:val="28"/>
        </w:rPr>
        <w:t>八、不予受理情形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"_Toc54968176" </w:instrText>
      </w:r>
      <w:r>
        <w:fldChar w:fldCharType="separate"/>
      </w:r>
      <w:r>
        <w:rPr>
          <w:rStyle w:val="15"/>
          <w:rFonts w:hint="eastAsia" w:ascii="仿宋" w:hAnsi="仿宋" w:eastAsia="仿宋" w:cs="仿宋"/>
          <w:sz w:val="28"/>
          <w:szCs w:val="28"/>
        </w:rPr>
        <w:t>九、申请材料清单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"_Toc54968177" </w:instrText>
      </w:r>
      <w:r>
        <w:fldChar w:fldCharType="separate"/>
      </w:r>
      <w:r>
        <w:rPr>
          <w:rStyle w:val="15"/>
          <w:rFonts w:hint="eastAsia" w:ascii="仿宋" w:hAnsi="仿宋" w:eastAsia="仿宋" w:cs="仿宋"/>
          <w:sz w:val="28"/>
          <w:szCs w:val="28"/>
        </w:rPr>
        <w:t>十、申请接收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"_Toc54968178" </w:instrText>
      </w:r>
      <w:r>
        <w:fldChar w:fldCharType="separate"/>
      </w:r>
      <w:r>
        <w:rPr>
          <w:rStyle w:val="15"/>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"_Toc54968179" </w:instrText>
      </w:r>
      <w:r>
        <w:fldChar w:fldCharType="separate"/>
      </w:r>
      <w:r>
        <w:rPr>
          <w:rStyle w:val="15"/>
          <w:rFonts w:hint="eastAsia" w:ascii="仿宋" w:hAnsi="仿宋" w:eastAsia="仿宋" w:cs="仿宋"/>
          <w:sz w:val="28"/>
          <w:szCs w:val="28"/>
        </w:rPr>
        <w:t>（一）受理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_Toc54968179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"_Toc54968180" </w:instrText>
      </w:r>
      <w:r>
        <w:fldChar w:fldCharType="separate"/>
      </w:r>
      <w:r>
        <w:rPr>
          <w:rStyle w:val="15"/>
          <w:rFonts w:hint="eastAsia" w:ascii="仿宋" w:hAnsi="仿宋" w:eastAsia="仿宋" w:cs="仿宋"/>
          <w:sz w:val="28"/>
          <w:szCs w:val="28"/>
        </w:rPr>
        <w:t>（二）核对与反馈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_Toc54968180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"_Toc54968181" </w:instrText>
      </w:r>
      <w:r>
        <w:fldChar w:fldCharType="separate"/>
      </w:r>
      <w:r>
        <w:rPr>
          <w:rStyle w:val="15"/>
          <w:rFonts w:hint="eastAsia" w:ascii="仿宋" w:hAnsi="仿宋" w:eastAsia="仿宋" w:cs="仿宋"/>
          <w:sz w:val="28"/>
          <w:szCs w:val="28"/>
        </w:rPr>
        <w:t>（三）召开挂牌工作小组会议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_Toc54968181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"_Toc54968182" </w:instrText>
      </w:r>
      <w:r>
        <w:fldChar w:fldCharType="separate"/>
      </w:r>
      <w:r>
        <w:rPr>
          <w:rStyle w:val="15"/>
          <w:rFonts w:hint="eastAsia" w:ascii="仿宋" w:hAnsi="仿宋" w:eastAsia="仿宋" w:cs="仿宋"/>
          <w:sz w:val="28"/>
          <w:szCs w:val="28"/>
        </w:rPr>
        <w:t>（四）特殊情形处理程序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_Toc54968182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"_Toc54968183" </w:instrText>
      </w:r>
      <w:r>
        <w:fldChar w:fldCharType="separate"/>
      </w:r>
      <w:r>
        <w:rPr>
          <w:rStyle w:val="15"/>
          <w:rFonts w:hint="eastAsia" w:ascii="仿宋" w:hAnsi="仿宋" w:eastAsia="仿宋" w:cs="仿宋"/>
          <w:sz w:val="28"/>
          <w:szCs w:val="28"/>
        </w:rPr>
        <w:t>（五）期后事项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_Toc54968183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"_Toc54968184" </w:instrText>
      </w:r>
      <w:r>
        <w:fldChar w:fldCharType="separate"/>
      </w:r>
      <w:r>
        <w:rPr>
          <w:rStyle w:val="15"/>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_Toc54968184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"_Toc54968185" </w:instrText>
      </w:r>
      <w:r>
        <w:fldChar w:fldCharType="separate"/>
      </w:r>
      <w:r>
        <w:rPr>
          <w:rStyle w:val="15"/>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_Toc54968185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296"/>
        </w:tabs>
        <w:spacing w:line="400" w:lineRule="exact"/>
        <w:ind w:left="0" w:leftChars="0"/>
        <w:rPr>
          <w:rFonts w:ascii="仿宋" w:hAnsi="仿宋" w:eastAsia="仿宋" w:cs="仿宋"/>
          <w:sz w:val="28"/>
          <w:szCs w:val="28"/>
        </w:rPr>
      </w:pPr>
      <w:r>
        <w:fldChar w:fldCharType="begin"/>
      </w:r>
      <w:r>
        <w:instrText xml:space="preserve"> HYPERLINK \l "_Toc54968186" </w:instrText>
      </w:r>
      <w:r>
        <w:fldChar w:fldCharType="separate"/>
      </w:r>
      <w:r>
        <w:rPr>
          <w:rStyle w:val="15"/>
          <w:rFonts w:hint="eastAsia" w:ascii="仿宋" w:hAnsi="仿宋" w:eastAsia="仿宋" w:cs="仿宋"/>
          <w:sz w:val="28"/>
          <w:szCs w:val="28"/>
        </w:rPr>
        <w:t>十四、办理地点和时间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_Toc54968186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400" w:lineRule="exact"/>
        <w:rPr>
          <w:rFonts w:asciiTheme="minorEastAsia" w:hAnsiTheme="minorEastAsia"/>
          <w:sz w:val="24"/>
          <w:szCs w:val="24"/>
        </w:rPr>
      </w:pPr>
      <w:r>
        <w:rPr>
          <w:rFonts w:asciiTheme="minorEastAsia" w:hAnsiTheme="minorEastAsia"/>
          <w:sz w:val="24"/>
          <w:szCs w:val="24"/>
        </w:rPr>
        <w:fldChar w:fldCharType="end"/>
      </w:r>
    </w:p>
    <w:p>
      <w:pPr>
        <w:widowControl/>
        <w:jc w:val="left"/>
        <w:rPr>
          <w:rFonts w:asciiTheme="minorEastAsia" w:hAnsiTheme="minorEastAsia" w:cstheme="majorBidi"/>
          <w:bCs/>
          <w:sz w:val="24"/>
          <w:szCs w:val="24"/>
        </w:rPr>
      </w:pPr>
      <w:r>
        <w:rPr>
          <w:rFonts w:asciiTheme="minorEastAsia" w:hAnsiTheme="minorEastAsia"/>
          <w:sz w:val="24"/>
          <w:szCs w:val="24"/>
        </w:rPr>
        <w:br w:type="page"/>
      </w:r>
    </w:p>
    <w:p>
      <w:pPr>
        <w:pStyle w:val="3"/>
        <w:ind w:firstLine="640" w:firstLineChars="200"/>
      </w:pPr>
      <w:bookmarkStart w:id="0" w:name="_Toc54968166"/>
      <w:r>
        <w:rPr>
          <w:rFonts w:hint="eastAsia"/>
        </w:rPr>
        <w:t>一、事项名称</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资产支持证券挂牌条件确认申请</w:t>
      </w:r>
    </w:p>
    <w:p>
      <w:pPr>
        <w:spacing w:line="560" w:lineRule="exact"/>
        <w:ind w:firstLine="640" w:firstLineChars="200"/>
        <w:rPr>
          <w:rFonts w:ascii="仿宋" w:hAnsi="仿宋" w:eastAsia="仿宋"/>
          <w:sz w:val="32"/>
          <w:szCs w:val="32"/>
        </w:rPr>
      </w:pPr>
    </w:p>
    <w:p>
      <w:pPr>
        <w:pStyle w:val="3"/>
        <w:ind w:firstLine="640" w:firstLineChars="200"/>
      </w:pPr>
      <w:bookmarkStart w:id="1" w:name="_Toc54968167"/>
      <w:r>
        <w:rPr>
          <w:rFonts w:hint="eastAsia"/>
        </w:rPr>
        <w:t>二、规则依据</w:t>
      </w:r>
      <w:bookmarkEnd w:id="1"/>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《深圳证券交易所资产证券化业务指引》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《深圳证券交易所资产支持证券挂牌条件确认业务指引第1号——确认程序》</w:t>
      </w:r>
    </w:p>
    <w:p>
      <w:pPr>
        <w:spacing w:line="560" w:lineRule="exact"/>
        <w:ind w:firstLine="640" w:firstLineChars="200"/>
        <w:rPr>
          <w:rFonts w:ascii="仿宋" w:hAnsi="仿宋" w:eastAsia="仿宋"/>
          <w:sz w:val="32"/>
          <w:szCs w:val="32"/>
        </w:rPr>
      </w:pPr>
    </w:p>
    <w:p>
      <w:pPr>
        <w:pStyle w:val="3"/>
        <w:ind w:firstLine="640" w:firstLineChars="200"/>
      </w:pPr>
      <w:bookmarkStart w:id="2" w:name="_Toc54968168"/>
      <w:r>
        <w:rPr>
          <w:rFonts w:hint="eastAsia"/>
        </w:rPr>
        <w:t>三、受理部门</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仿宋" w:hAnsi="仿宋" w:eastAsia="仿宋"/>
          <w:sz w:val="32"/>
          <w:szCs w:val="32"/>
        </w:rPr>
      </w:pPr>
    </w:p>
    <w:p>
      <w:pPr>
        <w:pStyle w:val="3"/>
        <w:ind w:firstLine="640" w:firstLineChars="200"/>
      </w:pPr>
      <w:bookmarkStart w:id="3" w:name="_Toc54968169"/>
      <w:r>
        <w:rPr>
          <w:rFonts w:hint="eastAsia"/>
        </w:rPr>
        <w:t>四、办理部门</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黑体" w:hAnsi="黑体" w:eastAsia="黑体"/>
          <w:sz w:val="32"/>
          <w:szCs w:val="32"/>
        </w:rPr>
      </w:pPr>
    </w:p>
    <w:p>
      <w:pPr>
        <w:pStyle w:val="3"/>
        <w:ind w:firstLine="640" w:firstLineChars="200"/>
      </w:pPr>
      <w:bookmarkStart w:id="4" w:name="_Toc54968170"/>
      <w:r>
        <w:rPr>
          <w:rFonts w:hint="eastAsia"/>
        </w:rPr>
        <w:t>五、收费标准及依据</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不收费</w:t>
      </w:r>
    </w:p>
    <w:p>
      <w:pPr>
        <w:spacing w:line="560" w:lineRule="exact"/>
        <w:ind w:firstLine="640" w:firstLineChars="200"/>
        <w:rPr>
          <w:rFonts w:ascii="仿宋" w:hAnsi="仿宋" w:eastAsia="仿宋"/>
          <w:sz w:val="32"/>
          <w:szCs w:val="32"/>
        </w:rPr>
      </w:pPr>
    </w:p>
    <w:p>
      <w:pPr>
        <w:pStyle w:val="3"/>
        <w:ind w:firstLine="640" w:firstLineChars="200"/>
      </w:pPr>
      <w:bookmarkStart w:id="5" w:name="_Toc54968171"/>
      <w:r>
        <w:rPr>
          <w:rFonts w:hint="eastAsia"/>
        </w:rPr>
        <w:t>六、办理时限</w:t>
      </w:r>
      <w:bookmarkEnd w:id="5"/>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本所自受理申请文件之日起四十五个工作日内出具挂牌条件确认意见。</w:t>
      </w:r>
    </w:p>
    <w:p>
      <w:pPr>
        <w:spacing w:line="560" w:lineRule="exact"/>
        <w:ind w:firstLine="640" w:firstLineChars="200"/>
        <w:rPr>
          <w:rFonts w:ascii="仿宋" w:hAnsi="仿宋" w:eastAsia="仿宋"/>
          <w:sz w:val="32"/>
          <w:szCs w:val="32"/>
        </w:rPr>
      </w:pPr>
    </w:p>
    <w:p>
      <w:pPr>
        <w:pStyle w:val="3"/>
        <w:ind w:firstLine="640" w:firstLineChars="200"/>
      </w:pPr>
      <w:bookmarkStart w:id="6" w:name="_Toc54968172"/>
      <w:r>
        <w:rPr>
          <w:rFonts w:hint="eastAsia"/>
        </w:rPr>
        <w:t>七、办理情形和条件</w:t>
      </w:r>
      <w:bookmarkEnd w:id="6"/>
    </w:p>
    <w:p>
      <w:pPr>
        <w:pStyle w:val="4"/>
        <w:ind w:firstLine="643" w:firstLineChars="200"/>
      </w:pPr>
      <w:bookmarkStart w:id="7" w:name="_Toc54968173"/>
      <w:r>
        <w:rPr>
          <w:rFonts w:hint="eastAsia"/>
        </w:rPr>
        <w:t>（一）办理情形</w:t>
      </w:r>
      <w:bookmarkEnd w:id="7"/>
    </w:p>
    <w:p>
      <w:pPr>
        <w:spacing w:line="560" w:lineRule="exact"/>
        <w:ind w:firstLine="640" w:firstLineChars="200"/>
        <w:rPr>
          <w:rFonts w:ascii="仿宋" w:hAnsi="仿宋" w:eastAsia="仿宋"/>
          <w:sz w:val="32"/>
          <w:szCs w:val="32"/>
        </w:rPr>
      </w:pPr>
      <w:r>
        <w:rPr>
          <w:rFonts w:hint="eastAsia" w:ascii="仿宋" w:hAnsi="仿宋" w:eastAsia="仿宋"/>
          <w:sz w:val="32"/>
          <w:szCs w:val="32"/>
        </w:rPr>
        <w:t>资产支持证券拟在本所挂牌转让的，管理人应当在发行前向本所提交挂牌条件确认申请。</w:t>
      </w:r>
    </w:p>
    <w:p>
      <w:pPr>
        <w:pStyle w:val="4"/>
        <w:ind w:firstLine="643" w:firstLineChars="200"/>
      </w:pPr>
      <w:bookmarkStart w:id="8" w:name="_Toc54968174"/>
      <w:r>
        <w:rPr>
          <w:rFonts w:hint="eastAsia"/>
        </w:rPr>
        <w:t>（二）办理条件</w:t>
      </w:r>
      <w:bookmarkEnd w:id="8"/>
    </w:p>
    <w:p>
      <w:pPr>
        <w:spacing w:line="560" w:lineRule="exact"/>
        <w:ind w:firstLine="640" w:firstLineChars="200"/>
        <w:rPr>
          <w:rFonts w:ascii="仿宋" w:hAnsi="仿宋" w:eastAsia="仿宋"/>
          <w:sz w:val="32"/>
          <w:szCs w:val="32"/>
        </w:rPr>
      </w:pPr>
      <w:r>
        <w:rPr>
          <w:rFonts w:hint="eastAsia" w:ascii="仿宋" w:hAnsi="仿宋" w:eastAsia="仿宋"/>
          <w:sz w:val="32"/>
          <w:szCs w:val="32"/>
        </w:rPr>
        <w:t>资产支持证券在本所挂牌转让，应当符合《证券公司及基金管理公司子公司资产证券化业务管理规定》等法律、行政法规、部门规章、规范性文件和本所业务规则的规定，且不存在中国证券投资基金业协会《资产证券化基础资产负面清单》列示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本所《资产证券化业务指引》第八条规定，资产支持证券在本所挂牌转让的，应当符合以下条件：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（一）基础资产符合相关法律法规以及负面清单的规定，权属明确，可特定化，可以产生独立、可预测的现金流；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（二）产品结构设计符合中国证监会以及本指引的相关要求；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（三）本所规定的其他条件。</w:t>
      </w:r>
    </w:p>
    <w:p>
      <w:pPr>
        <w:spacing w:line="560" w:lineRule="exact"/>
        <w:ind w:firstLine="640" w:firstLineChars="200"/>
        <w:rPr>
          <w:rFonts w:ascii="仿宋" w:hAnsi="仿宋" w:eastAsia="仿宋"/>
          <w:sz w:val="32"/>
          <w:szCs w:val="32"/>
        </w:rPr>
      </w:pPr>
    </w:p>
    <w:p>
      <w:pPr>
        <w:pStyle w:val="3"/>
        <w:ind w:firstLine="640" w:firstLineChars="200"/>
      </w:pPr>
      <w:bookmarkStart w:id="9" w:name="_Toc54968175"/>
      <w:r>
        <w:rPr>
          <w:rFonts w:hint="eastAsia"/>
        </w:rPr>
        <w:t>八、不予受理情形</w:t>
      </w:r>
      <w:bookmarkEnd w:id="9"/>
    </w:p>
    <w:p>
      <w:pPr>
        <w:spacing w:line="560" w:lineRule="exact"/>
        <w:ind w:firstLine="640" w:firstLineChars="200"/>
        <w:rPr>
          <w:rFonts w:ascii="仿宋" w:hAnsi="仿宋" w:eastAsia="仿宋"/>
          <w:sz w:val="32"/>
          <w:szCs w:val="32"/>
        </w:rPr>
      </w:pPr>
      <w:r>
        <w:rPr>
          <w:rFonts w:hint="eastAsia" w:ascii="仿宋" w:hAnsi="仿宋" w:eastAsia="仿宋"/>
          <w:sz w:val="32"/>
          <w:szCs w:val="32"/>
        </w:rPr>
        <w:t>存在下列情形之一的，本所不予受理，并书面告知管理人理由：</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（一）通知管理人补正申请文件，管理人在三十个工作日内未能提交全部补正申请文件；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（二）管理人在三十个工作日内提交的补正申请文件不符合规定形式；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（三）法律法规以及本所业务规则规定的其他情形。</w:t>
      </w:r>
    </w:p>
    <w:p>
      <w:pPr>
        <w:spacing w:line="560" w:lineRule="exact"/>
        <w:ind w:firstLine="640" w:firstLineChars="200"/>
        <w:rPr>
          <w:rFonts w:ascii="仿宋" w:hAnsi="仿宋" w:eastAsia="仿宋"/>
          <w:sz w:val="32"/>
          <w:szCs w:val="32"/>
        </w:rPr>
      </w:pPr>
    </w:p>
    <w:p>
      <w:pPr>
        <w:pStyle w:val="3"/>
        <w:ind w:firstLine="640" w:firstLineChars="200"/>
      </w:pPr>
      <w:bookmarkStart w:id="10" w:name="_Toc54968176"/>
      <w:r>
        <w:rPr>
          <w:rFonts w:hint="eastAsia"/>
        </w:rPr>
        <w:t>九、申请材料清单</w:t>
      </w:r>
      <w:bookmarkEnd w:id="10"/>
    </w:p>
    <w:p>
      <w:pPr>
        <w:spacing w:line="560" w:lineRule="exact"/>
        <w:ind w:firstLine="640" w:firstLineChars="200"/>
        <w:rPr>
          <w:rFonts w:ascii="仿宋" w:hAnsi="仿宋" w:eastAsia="仿宋"/>
          <w:sz w:val="32"/>
          <w:szCs w:val="32"/>
        </w:rPr>
      </w:pPr>
      <w:r>
        <w:rPr>
          <w:rFonts w:hint="eastAsia" w:ascii="仿宋" w:hAnsi="仿宋" w:eastAsia="仿宋"/>
          <w:sz w:val="32"/>
          <w:szCs w:val="32"/>
        </w:rPr>
        <w:t>1. “资产支持专项计划”挂牌条件确认申请书；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管理人合规审查意见；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 计划说明书、标准条款（如有）；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 基础资产买卖协议、托管协议、监管协议（如有）、资产服务协议（如有）、其他合同文本（如有）等主要交易合同文本；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 法律意见书及补充法律意见书模板（适用于储架发行项目）；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 信用评级报告（如有）；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 特定原始权益人最近三年（未满三年的自成立之日起）经审计的财务报告和审计报告、最近一期财务报告或会计报表（注明是否经审计）（上市公司非必备）；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 增信方最近一年的财务报告或会计报表（注明是否经审计）（如有）；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 特定原始权益人最近三年及一期的融资情况说明；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 基础资产评估报告、现金流预测报告（如有）；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 差额支付承诺函、担保协议或担保函及授权文件（如有）；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 尽职调查报告；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 关于专项计划会计处理意见的说明（如有）；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14. 有权机构关于开展资产证券化融资相关事宜的决议；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15. 电子封卷相关事项的承诺函；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16. 基础资产未被列入负面清单的专项说明；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17. 多期申报资产支持专项计划挂牌条件确认申请材料差异说明（如有）；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18. 廉洁从业承诺函；</w:t>
      </w:r>
    </w:p>
    <w:p>
      <w:pPr>
        <w:spacing w:line="560" w:lineRule="exact"/>
        <w:ind w:firstLine="640" w:firstLineChars="200"/>
        <w:rPr>
          <w:rFonts w:ascii="仿宋" w:hAnsi="仿宋" w:eastAsia="仿宋"/>
        </w:rPr>
      </w:pPr>
      <w:r>
        <w:rPr>
          <w:rFonts w:hint="eastAsia" w:ascii="仿宋" w:hAnsi="仿宋" w:eastAsia="仿宋"/>
          <w:sz w:val="32"/>
          <w:szCs w:val="32"/>
        </w:rPr>
        <w:t>19. 本所要求的其他材料。</w:t>
      </w:r>
    </w:p>
    <w:p>
      <w:pPr>
        <w:spacing w:line="560" w:lineRule="exact"/>
        <w:ind w:firstLine="640" w:firstLineChars="200"/>
        <w:rPr>
          <w:rFonts w:ascii="仿宋" w:hAnsi="仿宋" w:eastAsia="仿宋"/>
          <w:sz w:val="32"/>
          <w:szCs w:val="32"/>
        </w:rPr>
      </w:pPr>
    </w:p>
    <w:p>
      <w:pPr>
        <w:pStyle w:val="3"/>
        <w:ind w:firstLine="640" w:firstLineChars="200"/>
      </w:pPr>
      <w:bookmarkStart w:id="11" w:name="_Toc54968177"/>
      <w:r>
        <w:rPr>
          <w:rFonts w:hint="eastAsia"/>
        </w:rPr>
        <w:t>十、申请接收</w:t>
      </w:r>
      <w:bookmarkEnd w:id="11"/>
    </w:p>
    <w:p>
      <w:pPr>
        <w:spacing w:line="560" w:lineRule="exact"/>
        <w:ind w:firstLine="640" w:firstLineChars="200"/>
        <w:rPr>
          <w:rFonts w:ascii="仿宋" w:hAnsi="仿宋" w:eastAsia="仿宋"/>
          <w:sz w:val="32"/>
          <w:szCs w:val="32"/>
        </w:rPr>
      </w:pPr>
      <w:r>
        <w:rPr>
          <w:rFonts w:hint="eastAsia" w:ascii="仿宋" w:hAnsi="仿宋" w:eastAsia="仿宋"/>
          <w:sz w:val="32"/>
          <w:szCs w:val="32"/>
        </w:rPr>
        <w:t>管理人通过本所“固定收益品种业务专区”（以下简称固收专区）（</w:t>
      </w:r>
      <w:r>
        <w:rPr>
          <w:rFonts w:ascii="仿宋" w:hAnsi="仿宋" w:eastAsia="仿宋"/>
          <w:sz w:val="32"/>
          <w:szCs w:val="32"/>
        </w:rPr>
        <w:t>https://biz.szse.cn/fic/index.html</w:t>
      </w:r>
      <w:r>
        <w:rPr>
          <w:rFonts w:hint="eastAsia" w:ascii="仿宋" w:hAnsi="仿宋" w:eastAsia="仿宋"/>
          <w:sz w:val="32"/>
          <w:szCs w:val="32"/>
        </w:rPr>
        <w:t>）提交资产支持证券挂牌条件确认申请材料并填报申请信息。</w:t>
      </w:r>
    </w:p>
    <w:p>
      <w:pPr>
        <w:spacing w:line="560" w:lineRule="exact"/>
        <w:ind w:firstLine="640" w:firstLineChars="200"/>
        <w:rPr>
          <w:rFonts w:ascii="仿宋" w:hAnsi="仿宋" w:eastAsia="仿宋"/>
          <w:sz w:val="32"/>
          <w:szCs w:val="32"/>
        </w:rPr>
      </w:pPr>
    </w:p>
    <w:p>
      <w:pPr>
        <w:pStyle w:val="3"/>
        <w:ind w:firstLine="640" w:firstLineChars="200"/>
      </w:pPr>
      <w:bookmarkStart w:id="12" w:name="_Toc54968178"/>
      <w:r>
        <w:rPr>
          <w:rFonts w:hint="eastAsia"/>
        </w:rPr>
        <w:t>十一、办理流程</w:t>
      </w:r>
      <w:bookmarkEnd w:id="12"/>
    </w:p>
    <w:p>
      <w:pPr>
        <w:pStyle w:val="4"/>
        <w:ind w:firstLine="643" w:firstLineChars="200"/>
      </w:pPr>
      <w:bookmarkStart w:id="13" w:name="_Toc54968179"/>
      <w:r>
        <w:rPr>
          <w:rFonts w:hint="eastAsia"/>
        </w:rPr>
        <w:t>（一）受理</w:t>
      </w:r>
      <w:bookmarkEnd w:id="13"/>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接收管理人提交的挂牌条件确认申请材料后，在二个工作日内对申请材料的齐备性进行核对。文件齐备且符合要求的，本所予以受理，并及时告知管理人；文件不齐备或者不符合要求的，本所一次性告知需补正的事项，管理人应当及时予以补正，补正时间最长不得超过三十个工作日。</w:t>
      </w:r>
    </w:p>
    <w:p>
      <w:pPr>
        <w:pStyle w:val="4"/>
        <w:ind w:firstLine="643" w:firstLineChars="200"/>
      </w:pPr>
      <w:bookmarkStart w:id="14" w:name="_Toc54968180"/>
      <w:r>
        <w:rPr>
          <w:rFonts w:hint="eastAsia"/>
        </w:rPr>
        <w:t>（二）核对与反馈</w:t>
      </w:r>
      <w:bookmarkEnd w:id="14"/>
    </w:p>
    <w:p>
      <w:pPr>
        <w:spacing w:line="560" w:lineRule="exact"/>
        <w:ind w:firstLine="640" w:firstLineChars="200"/>
        <w:rPr>
          <w:rFonts w:ascii="仿宋" w:hAnsi="仿宋" w:eastAsia="仿宋"/>
          <w:sz w:val="32"/>
          <w:szCs w:val="32"/>
        </w:rPr>
      </w:pPr>
      <w:r>
        <w:rPr>
          <w:rFonts w:hint="eastAsia" w:ascii="仿宋" w:hAnsi="仿宋" w:eastAsia="仿宋"/>
          <w:sz w:val="32"/>
          <w:szCs w:val="32"/>
        </w:rPr>
        <w:t>自受理申请材料之日起十个工作日内，本所经反馈会确定书面反馈意见（如有）后通过固收专区向管理人出具，特殊情况除外。管理人应当在书面反馈意见出具之日起十五个工作日内，通过固收专区提交符合要求的书面反馈意见回复、修改后的申请材料及修改说明。管理人不能在规定期限内予以回复的，应当在回复期限届满前通过固收专区向本所提交延期回复申请，说明延期理由和延期回复时间，延期回复时间最长不超过十五个工作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反馈会确认不需要</w:t>
      </w:r>
      <w:r>
        <w:rPr>
          <w:rFonts w:hint="eastAsia" w:ascii="仿宋" w:hAnsi="仿宋" w:eastAsia="仿宋" w:cs="Calibri"/>
          <w:sz w:val="32"/>
          <w:szCs w:val="32"/>
        </w:rPr>
        <w:t>出具反馈意见的，本所</w:t>
      </w:r>
      <w:r>
        <w:rPr>
          <w:rFonts w:hint="eastAsia" w:ascii="仿宋" w:hAnsi="仿宋" w:eastAsia="仿宋"/>
          <w:sz w:val="32"/>
          <w:szCs w:val="32"/>
        </w:rPr>
        <w:t>应当自受理申请文件之日起十个工作日内</w:t>
      </w:r>
      <w:r>
        <w:rPr>
          <w:rFonts w:hint="eastAsia" w:ascii="仿宋" w:hAnsi="仿宋" w:eastAsia="仿宋" w:cs="Calibri"/>
          <w:sz w:val="32"/>
          <w:szCs w:val="32"/>
        </w:rPr>
        <w:t>通知管理人。</w:t>
      </w:r>
    </w:p>
    <w:p>
      <w:pPr>
        <w:pStyle w:val="4"/>
        <w:ind w:firstLine="643" w:firstLineChars="200"/>
      </w:pPr>
      <w:bookmarkStart w:id="15" w:name="_Toc54968181"/>
      <w:r>
        <w:rPr>
          <w:rFonts w:hint="eastAsia"/>
        </w:rPr>
        <w:t>（三）召开挂牌工作小组会议</w:t>
      </w:r>
      <w:bookmarkEnd w:id="15"/>
    </w:p>
    <w:p>
      <w:pPr>
        <w:spacing w:line="560" w:lineRule="exact"/>
        <w:ind w:firstLine="640" w:firstLineChars="200"/>
        <w:rPr>
          <w:rFonts w:ascii="仿宋" w:hAnsi="仿宋" w:eastAsia="仿宋"/>
          <w:sz w:val="32"/>
          <w:szCs w:val="32"/>
        </w:rPr>
      </w:pPr>
      <w:r>
        <w:rPr>
          <w:rFonts w:hint="eastAsia" w:ascii="仿宋" w:hAnsi="仿宋" w:eastAsia="仿宋"/>
          <w:sz w:val="32"/>
          <w:szCs w:val="32"/>
        </w:rPr>
        <w:t>反馈意见回复符合要求的，本所自确认反馈意见回复符合要求之日起五个工作日内召开挂牌工作小组会议进行审议。无需出具书面反馈意见的，自通知管理人之日起五个工作日内召开挂牌工作小组会议。挂牌工作小组会议通过形成“通过”或者“不通过”的审议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审议意见为“通过”且不存在需要补充披露或完善事项的，</w:t>
      </w:r>
      <w:r>
        <w:rPr>
          <w:rFonts w:hint="eastAsia" w:ascii="仿宋" w:hAnsi="仿宋" w:eastAsia="仿宋"/>
          <w:kern w:val="0"/>
          <w:sz w:val="32"/>
          <w:szCs w:val="32"/>
        </w:rPr>
        <w:t>本所自挂牌工作小组会议形成审议意见之日起一个工作日内通知发行人和主承销商</w:t>
      </w:r>
      <w:r>
        <w:rPr>
          <w:rFonts w:hint="eastAsia" w:ascii="仿宋" w:hAnsi="仿宋" w:eastAsia="仿宋"/>
          <w:sz w:val="32"/>
          <w:szCs w:val="32"/>
        </w:rPr>
        <w:t>。</w:t>
      </w:r>
    </w:p>
    <w:p>
      <w:pPr>
        <w:tabs>
          <w:tab w:val="left" w:pos="1985"/>
        </w:tabs>
        <w:spacing w:line="560" w:lineRule="exact"/>
        <w:ind w:firstLine="640" w:firstLineChars="200"/>
        <w:rPr>
          <w:rFonts w:ascii="仿宋" w:hAnsi="仿宋" w:eastAsia="仿宋" w:cs="Calibri"/>
          <w:sz w:val="32"/>
          <w:szCs w:val="32"/>
        </w:rPr>
      </w:pPr>
      <w:r>
        <w:rPr>
          <w:rFonts w:hint="eastAsia" w:ascii="仿宋" w:hAnsi="仿宋" w:eastAsia="仿宋"/>
          <w:sz w:val="32"/>
          <w:szCs w:val="32"/>
        </w:rPr>
        <w:t>审议意见为“通过”但要求管理人等补充披露或完善相关事项的，</w:t>
      </w:r>
      <w:r>
        <w:rPr>
          <w:rFonts w:hint="eastAsia" w:ascii="仿宋" w:hAnsi="仿宋" w:eastAsia="仿宋"/>
          <w:kern w:val="0"/>
          <w:sz w:val="32"/>
          <w:szCs w:val="32"/>
        </w:rPr>
        <w:t>本所自挂牌工作小组会议形成审议意见之日起一个工作日内告知相关事项</w:t>
      </w:r>
      <w:r>
        <w:rPr>
          <w:rFonts w:hint="eastAsia" w:ascii="仿宋" w:hAnsi="仿宋" w:eastAsia="仿宋"/>
          <w:sz w:val="32"/>
          <w:szCs w:val="32"/>
        </w:rPr>
        <w:t>。</w:t>
      </w:r>
      <w:r>
        <w:rPr>
          <w:rFonts w:hint="eastAsia" w:ascii="仿宋" w:hAnsi="仿宋" w:eastAsia="仿宋" w:cs="Calibri"/>
          <w:sz w:val="32"/>
          <w:szCs w:val="32"/>
        </w:rPr>
        <w:t>管理人、原始权益人和证券服务机构应当及时更新申请文件或者完善相关事项。本所对</w:t>
      </w:r>
      <w:r>
        <w:rPr>
          <w:rFonts w:hint="eastAsia" w:ascii="仿宋" w:hAnsi="仿宋" w:eastAsia="仿宋" w:cs="黑体"/>
          <w:bCs/>
          <w:sz w:val="32"/>
          <w:szCs w:val="32"/>
        </w:rPr>
        <w:t>补充披露或者完善事项</w:t>
      </w:r>
      <w:r>
        <w:rPr>
          <w:rFonts w:hint="eastAsia" w:ascii="仿宋" w:hAnsi="仿宋" w:eastAsia="仿宋" w:cs="Calibri"/>
          <w:sz w:val="32"/>
          <w:szCs w:val="32"/>
        </w:rPr>
        <w:t>的落实情况予以核对、确认，无须再次召开挂牌工作小组会议审议。本所自确认补充披露或者完善的事项落实之日起一个工作日内通知管理人。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审议意见为“不通过”的，本所向管理人出具终止挂牌条件确认文件并告知理由。</w:t>
      </w:r>
    </w:p>
    <w:p>
      <w:pPr>
        <w:spacing w:line="560" w:lineRule="exact"/>
        <w:ind w:firstLine="640" w:firstLineChars="200"/>
        <w:rPr>
          <w:rFonts w:ascii="仿宋" w:hAnsi="仿宋" w:eastAsia="仿宋"/>
          <w:sz w:val="32"/>
          <w:szCs w:val="32"/>
        </w:rPr>
      </w:pPr>
      <w:r>
        <w:rPr>
          <w:rFonts w:hint="eastAsia" w:ascii="仿宋" w:hAnsi="仿宋" w:eastAsia="仿宋" w:cs="Calibri"/>
          <w:sz w:val="32"/>
          <w:szCs w:val="32"/>
        </w:rPr>
        <w:t>因存在尚待核实的重大问题，无法形成审议意见的，可以暂缓审议。</w:t>
      </w:r>
    </w:p>
    <w:p>
      <w:pPr>
        <w:pStyle w:val="4"/>
        <w:ind w:firstLine="643" w:firstLineChars="200"/>
      </w:pPr>
      <w:bookmarkStart w:id="16" w:name="_Toc54968182"/>
      <w:r>
        <w:rPr>
          <w:rFonts w:hint="eastAsia"/>
        </w:rPr>
        <w:t>（四）特殊情形处理程序</w:t>
      </w:r>
      <w:bookmarkEnd w:id="16"/>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1. 中止情形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本所核对过程中，发生下列情形之一的，</w:t>
      </w:r>
      <w:r>
        <w:rPr>
          <w:rFonts w:hint="eastAsia" w:ascii="仿宋" w:hAnsi="仿宋" w:eastAsia="仿宋" w:cs="Calibri"/>
          <w:sz w:val="32"/>
          <w:szCs w:val="32"/>
        </w:rPr>
        <w:t>管理人、原始权益人和证券服务机构应当及时书面报告本所，</w:t>
      </w:r>
      <w:r>
        <w:rPr>
          <w:rFonts w:hint="eastAsia" w:ascii="仿宋" w:hAnsi="仿宋" w:eastAsia="仿宋"/>
          <w:sz w:val="32"/>
          <w:szCs w:val="32"/>
        </w:rPr>
        <w:t>本所可以中止核对：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（1）原始权益人因涉嫌违法违规被行政机关调查，或者被司法机关侦查，尚未结案，预计对资产支持证券挂牌影响重大；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（2）管理人、证券服务机构因涉嫌资产证券化业务违法违规，或者其他业务涉嫌违法违规且对市场有重大影响，被中国证监会及其派出机构立案调查，或者被司法机关侦查，尚未结案；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（3）管理人、证券服务机构的签字人员因涉嫌资产证券化业务违法违规，或者其他业务涉嫌违法违规且对市场有重大影响，被中国证监会及其派出机构立案调查，或者被司法机关侦查，尚未结案；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管理人、原始权益人、证券服务机构或者增信主体（如有）被主管部门依法采取限制参与资产证券化相关业务活动、责令停业整顿、指定其他机构托管或者接管等监管措施，或者被本所实施一定期限内不接受其出具的相关文件的纪律处分，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管理人、原始权益人、证券服务机构或者增信主体（如有）的签字人员被主管部门依法采取限制参与资产证券化相关业务活动等监管措施或者证券市场禁入的措施，或者被本所实施一定期限内不接受其出具的相关文件的纪律处分，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（6）申请文件中的财务资料已过有效期，需要一定期限补充提交；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（7）管理人未在要求的期限内对申请文件作出解释说明或者补充、修改；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（8）管理人主动要求中止核对且理由正当；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（9）本所认为需要中止核对的其他情形。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本所中止核对的期限不超过三个月。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相关中止情形消失后，管理人可以向本所申请恢复核对，本所也可以根据相关规定决定恢复核对。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自恢复核对之日起，管理人应当于十五个工作日内更新申请文件。</w:t>
      </w:r>
    </w:p>
    <w:p>
      <w:pPr>
        <w:numPr>
          <w:ilvl w:val="0"/>
          <w:numId w:val="1"/>
        </w:numPr>
        <w:spacing w:line="560" w:lineRule="exact"/>
        <w:ind w:firstLine="643" w:firstLineChars="200"/>
        <w:rPr>
          <w:rFonts w:ascii="仿宋" w:hAnsi="仿宋" w:eastAsia="仿宋"/>
          <w:b/>
          <w:sz w:val="32"/>
          <w:szCs w:val="32"/>
        </w:rPr>
      </w:pPr>
      <w:r>
        <w:rPr>
          <w:rFonts w:hint="eastAsia" w:ascii="仿宋" w:hAnsi="仿宋" w:eastAsia="仿宋"/>
          <w:b/>
          <w:sz w:val="32"/>
          <w:szCs w:val="32"/>
        </w:rPr>
        <w:t>终止情形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发生下列情形之一的，本所可以终止核对：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（1）管理人主动要求撤回申请的；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（2）管理人、原始权益人法人资格终止；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（3）管理人、原始权益人阻碍或者拒绝中国证监会、本所依法对其实施检查、核查；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（4）管理人、原始权益人及其关联方以不正当手段严重干扰挂牌条件确认工作；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（5）申请文件存在虚假记载、误导性陈述或者重大遗漏；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（6）申请文件内容存在重大缺陷，严重影响挂牌条件确认工作和投资者理解；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（7）中止核对</w:t>
      </w:r>
      <w:bookmarkStart w:id="21" w:name="_GoBack"/>
      <w:bookmarkEnd w:id="21"/>
      <w:r>
        <w:rPr>
          <w:rFonts w:hint="eastAsia" w:ascii="仿宋" w:hAnsi="仿宋" w:eastAsia="仿宋"/>
          <w:sz w:val="32"/>
          <w:szCs w:val="32"/>
        </w:rPr>
        <w:t>超过三个月；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（8）本所认为资产支持证券不符合挂牌条件或者信息披露要求；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（9）本所认为需要终止核对的其他情形。</w:t>
      </w:r>
    </w:p>
    <w:p>
      <w:pPr>
        <w:pStyle w:val="4"/>
        <w:ind w:firstLine="643" w:firstLineChars="200"/>
      </w:pPr>
      <w:bookmarkStart w:id="17" w:name="_Toc54968183"/>
      <w:r>
        <w:rPr>
          <w:rFonts w:hint="eastAsia"/>
        </w:rPr>
        <w:t>（五）期后事项</w:t>
      </w:r>
      <w:bookmarkEnd w:id="17"/>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本所出具挂牌条件确认文件至资产支持证券挂牌前，出现可能影响本次资产支持证券发行和挂牌的重大事项的，管理人应当向本所提交专项说明和核查意见。</w:t>
      </w:r>
    </w:p>
    <w:p>
      <w:pPr>
        <w:spacing w:line="560" w:lineRule="exact"/>
        <w:ind w:firstLine="640" w:firstLineChars="200"/>
        <w:rPr>
          <w:rFonts w:ascii="仿宋" w:hAnsi="仿宋" w:eastAsia="仿宋"/>
          <w:sz w:val="32"/>
          <w:szCs w:val="32"/>
        </w:rPr>
      </w:pPr>
    </w:p>
    <w:p>
      <w:pPr>
        <w:pStyle w:val="3"/>
        <w:ind w:firstLine="640" w:firstLineChars="200"/>
      </w:pPr>
      <w:bookmarkStart w:id="18" w:name="_Toc54968184"/>
      <w:r>
        <w:rPr>
          <w:rFonts w:hint="eastAsia"/>
        </w:rPr>
        <w:t>十二、办理结果及送达</w:t>
      </w:r>
      <w:bookmarkEnd w:id="18"/>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本所对资产支持专项计划是否符合挂牌条件出具的相关意见通过固收专区通知管理人。</w:t>
      </w:r>
    </w:p>
    <w:p>
      <w:pPr>
        <w:spacing w:line="560" w:lineRule="exact"/>
        <w:ind w:firstLine="640" w:firstLineChars="200"/>
        <w:rPr>
          <w:rFonts w:ascii="仿宋" w:hAnsi="仿宋" w:eastAsia="仿宋"/>
          <w:sz w:val="32"/>
          <w:szCs w:val="32"/>
        </w:rPr>
      </w:pPr>
    </w:p>
    <w:p>
      <w:pPr>
        <w:pStyle w:val="3"/>
        <w:ind w:firstLine="640" w:firstLineChars="200"/>
      </w:pPr>
      <w:bookmarkStart w:id="19" w:name="_Toc54968185"/>
      <w:r>
        <w:rPr>
          <w:rFonts w:hint="eastAsia"/>
        </w:rPr>
        <w:t>十三、咨询途径</w:t>
      </w:r>
      <w:bookmarkEnd w:id="19"/>
    </w:p>
    <w:p>
      <w:pPr>
        <w:spacing w:line="560" w:lineRule="exact"/>
        <w:ind w:firstLine="640" w:firstLineChars="200"/>
        <w:rPr>
          <w:rFonts w:ascii="仿宋" w:hAnsi="仿宋" w:eastAsia="仿宋"/>
          <w:sz w:val="32"/>
          <w:szCs w:val="32"/>
        </w:rPr>
      </w:pPr>
      <w:r>
        <w:rPr>
          <w:rFonts w:hint="eastAsia" w:ascii="仿宋" w:hAnsi="仿宋" w:eastAsia="仿宋"/>
          <w:sz w:val="32"/>
          <w:szCs w:val="32"/>
        </w:rPr>
        <w:t>电话：0755-8866 8299</w:t>
      </w:r>
      <w:r>
        <w:rPr>
          <w:rFonts w:ascii="仿宋" w:hAnsi="仿宋" w:eastAsia="仿宋"/>
          <w:sz w:val="32"/>
          <w:szCs w:val="32"/>
        </w:rPr>
        <w:t xml:space="preserve"> </w:t>
      </w:r>
      <w:r>
        <w:rPr>
          <w:rFonts w:hint="eastAsia" w:ascii="仿宋" w:hAnsi="仿宋" w:eastAsia="仿宋"/>
          <w:sz w:val="32"/>
          <w:szCs w:val="32"/>
        </w:rPr>
        <w:t>邮箱：abs</w:t>
      </w:r>
      <w:r>
        <w:rPr>
          <w:rFonts w:ascii="仿宋" w:hAnsi="仿宋" w:eastAsia="仿宋"/>
          <w:sz w:val="32"/>
          <w:szCs w:val="32"/>
        </w:rPr>
        <w:t>@szse.cn</w:t>
      </w:r>
    </w:p>
    <w:p>
      <w:pPr>
        <w:spacing w:line="560" w:lineRule="exact"/>
        <w:ind w:firstLine="640" w:firstLineChars="200"/>
        <w:rPr>
          <w:rFonts w:ascii="仿宋" w:hAnsi="仿宋" w:eastAsia="仿宋"/>
          <w:sz w:val="32"/>
          <w:szCs w:val="32"/>
        </w:rPr>
      </w:pPr>
    </w:p>
    <w:p>
      <w:pPr>
        <w:pStyle w:val="3"/>
        <w:ind w:firstLine="640" w:firstLineChars="200"/>
      </w:pPr>
      <w:bookmarkStart w:id="20" w:name="_Toc54968186"/>
      <w:r>
        <w:rPr>
          <w:rFonts w:hint="eastAsia"/>
        </w:rPr>
        <w:t>十四、办理地点和时间</w:t>
      </w:r>
      <w:bookmarkEnd w:id="20"/>
    </w:p>
    <w:p>
      <w:pPr>
        <w:spacing w:line="560" w:lineRule="exact"/>
        <w:ind w:firstLine="640" w:firstLineChars="200"/>
        <w:rPr>
          <w:rFonts w:hint="eastAsia" w:ascii="仿宋" w:hAnsi="仿宋" w:eastAsia="仿宋" w:cs="仿宋"/>
        </w:rPr>
      </w:pPr>
      <w:r>
        <w:rPr>
          <w:rFonts w:hint="eastAsia" w:ascii="仿宋" w:hAnsi="仿宋" w:eastAsia="仿宋" w:cs="仿宋"/>
          <w:sz w:val="32"/>
          <w:szCs w:val="32"/>
        </w:rPr>
        <w:t>本所固收专</w:t>
      </w:r>
      <w:r>
        <w:rPr>
          <w:rFonts w:hint="eastAsia" w:ascii="仿宋" w:hAnsi="仿宋" w:eastAsia="仿宋" w:cs="仿宋"/>
          <w:sz w:val="32"/>
          <w:szCs w:val="32"/>
        </w:rPr>
        <w:t>区7×24小时接受资产支持证券挂牌条件确认申请。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2898522"/>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BDE010"/>
    <w:multiLevelType w:val="singleLevel"/>
    <w:tmpl w:val="FCBDE01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10A40"/>
    <w:rsid w:val="00054B71"/>
    <w:rsid w:val="0005709B"/>
    <w:rsid w:val="000728EB"/>
    <w:rsid w:val="000D0D39"/>
    <w:rsid w:val="000F6B18"/>
    <w:rsid w:val="00153C8D"/>
    <w:rsid w:val="00162771"/>
    <w:rsid w:val="00166DC6"/>
    <w:rsid w:val="00187151"/>
    <w:rsid w:val="001A5388"/>
    <w:rsid w:val="001A6553"/>
    <w:rsid w:val="001B327B"/>
    <w:rsid w:val="001C42DF"/>
    <w:rsid w:val="001F303E"/>
    <w:rsid w:val="0020392E"/>
    <w:rsid w:val="00207932"/>
    <w:rsid w:val="002350D9"/>
    <w:rsid w:val="00240CB2"/>
    <w:rsid w:val="002436CC"/>
    <w:rsid w:val="00277454"/>
    <w:rsid w:val="00291193"/>
    <w:rsid w:val="002B05ED"/>
    <w:rsid w:val="002D520B"/>
    <w:rsid w:val="00310255"/>
    <w:rsid w:val="00335720"/>
    <w:rsid w:val="003A57D8"/>
    <w:rsid w:val="003B6EB7"/>
    <w:rsid w:val="003E0C16"/>
    <w:rsid w:val="00411D74"/>
    <w:rsid w:val="004353D6"/>
    <w:rsid w:val="00441176"/>
    <w:rsid w:val="00496282"/>
    <w:rsid w:val="004B6376"/>
    <w:rsid w:val="004F5F74"/>
    <w:rsid w:val="005175C9"/>
    <w:rsid w:val="00522C2F"/>
    <w:rsid w:val="00523F50"/>
    <w:rsid w:val="005666BC"/>
    <w:rsid w:val="00580554"/>
    <w:rsid w:val="00595799"/>
    <w:rsid w:val="005D57C5"/>
    <w:rsid w:val="00617A53"/>
    <w:rsid w:val="0063239D"/>
    <w:rsid w:val="00634C2C"/>
    <w:rsid w:val="0064452A"/>
    <w:rsid w:val="0067371B"/>
    <w:rsid w:val="0068547F"/>
    <w:rsid w:val="006A6A0D"/>
    <w:rsid w:val="006E1E1E"/>
    <w:rsid w:val="006F6AB8"/>
    <w:rsid w:val="00714090"/>
    <w:rsid w:val="00722EA2"/>
    <w:rsid w:val="00740C07"/>
    <w:rsid w:val="007902C5"/>
    <w:rsid w:val="00797B97"/>
    <w:rsid w:val="007E30A5"/>
    <w:rsid w:val="007E481F"/>
    <w:rsid w:val="007E4E55"/>
    <w:rsid w:val="007F126A"/>
    <w:rsid w:val="007F773B"/>
    <w:rsid w:val="0080046C"/>
    <w:rsid w:val="00821F30"/>
    <w:rsid w:val="008507E2"/>
    <w:rsid w:val="008C68B0"/>
    <w:rsid w:val="008C6FAC"/>
    <w:rsid w:val="008E54D3"/>
    <w:rsid w:val="0090666B"/>
    <w:rsid w:val="00992C06"/>
    <w:rsid w:val="009A238B"/>
    <w:rsid w:val="009F5CA5"/>
    <w:rsid w:val="00A22FCE"/>
    <w:rsid w:val="00A4707A"/>
    <w:rsid w:val="00A73DF4"/>
    <w:rsid w:val="00A75E43"/>
    <w:rsid w:val="00A84A44"/>
    <w:rsid w:val="00AB47F0"/>
    <w:rsid w:val="00AC2F19"/>
    <w:rsid w:val="00AC3D24"/>
    <w:rsid w:val="00AD6478"/>
    <w:rsid w:val="00B460AD"/>
    <w:rsid w:val="00BE44CE"/>
    <w:rsid w:val="00C13198"/>
    <w:rsid w:val="00C27FEF"/>
    <w:rsid w:val="00C54952"/>
    <w:rsid w:val="00CD147B"/>
    <w:rsid w:val="00CF24AA"/>
    <w:rsid w:val="00D41778"/>
    <w:rsid w:val="00D479A2"/>
    <w:rsid w:val="00D835BE"/>
    <w:rsid w:val="00D968B5"/>
    <w:rsid w:val="00E33453"/>
    <w:rsid w:val="00E72CB6"/>
    <w:rsid w:val="00EB1FF0"/>
    <w:rsid w:val="00ED2FBF"/>
    <w:rsid w:val="00F748C5"/>
    <w:rsid w:val="00FD3425"/>
    <w:rsid w:val="00FD5E47"/>
    <w:rsid w:val="00FF6902"/>
    <w:rsid w:val="01544CC9"/>
    <w:rsid w:val="02C5702A"/>
    <w:rsid w:val="0F995DDE"/>
    <w:rsid w:val="19EC5264"/>
    <w:rsid w:val="1C014197"/>
    <w:rsid w:val="1FD44A0E"/>
    <w:rsid w:val="231F23D7"/>
    <w:rsid w:val="275F28EE"/>
    <w:rsid w:val="2B834DE4"/>
    <w:rsid w:val="2D341F54"/>
    <w:rsid w:val="31930FE5"/>
    <w:rsid w:val="38461AC4"/>
    <w:rsid w:val="3EB55030"/>
    <w:rsid w:val="415573DD"/>
    <w:rsid w:val="48CE1E02"/>
    <w:rsid w:val="49C734CE"/>
    <w:rsid w:val="4B0826CE"/>
    <w:rsid w:val="4E710F72"/>
    <w:rsid w:val="52CE3C93"/>
    <w:rsid w:val="5C964723"/>
    <w:rsid w:val="65144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3"/>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标题 2 Char"/>
    <w:basedOn w:val="14"/>
    <w:link w:val="3"/>
    <w:qFormat/>
    <w:uiPriority w:val="9"/>
    <w:rPr>
      <w:rFonts w:eastAsia="黑体" w:asciiTheme="majorHAnsi" w:hAnsiTheme="majorHAnsi" w:cstheme="majorBidi"/>
      <w:bCs/>
      <w:sz w:val="32"/>
      <w:szCs w:val="32"/>
    </w:rPr>
  </w:style>
  <w:style w:type="character" w:customStyle="1" w:styleId="23">
    <w:name w:val="标题 3 Char"/>
    <w:basedOn w:val="14"/>
    <w:link w:val="4"/>
    <w:qFormat/>
    <w:uiPriority w:val="9"/>
    <w:rPr>
      <w:rFonts w:eastAsia="仿宋"/>
      <w:b/>
      <w:bCs/>
      <w:sz w:val="32"/>
      <w:szCs w:val="32"/>
    </w:rPr>
  </w:style>
  <w:style w:type="character" w:customStyle="1" w:styleId="24">
    <w:name w:val="标题 1 Char"/>
    <w:basedOn w:val="14"/>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B78A-A429-467D-A3F4-ED28CA632760}">
  <ds:schemaRefs/>
</ds:datastoreItem>
</file>

<file path=docProps/app.xml><?xml version="1.0" encoding="utf-8"?>
<Properties xmlns="http://schemas.openxmlformats.org/officeDocument/2006/extended-properties" xmlns:vt="http://schemas.openxmlformats.org/officeDocument/2006/docPropsVTypes">
  <Template>Normal</Template>
  <Pages>9</Pages>
  <Words>728</Words>
  <Characters>4151</Characters>
  <Lines>34</Lines>
  <Paragraphs>9</Paragraphs>
  <TotalTime>9</TotalTime>
  <ScaleCrop>false</ScaleCrop>
  <LinksUpToDate>false</LinksUpToDate>
  <CharactersWithSpaces>4870</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2023-08-11T10:31:00Z</dcterms:created>
  <dc:creator>张畅[zhangchang]</dc:creator>
  <cp:lastModifiedBy>xxb19</cp:lastModifiedBy>
  <cp:lastPrinted>2020-10-15T08:19:00Z</cp:lastPrinted>
  <dcterms:modified xsi:type="dcterms:W3CDTF">2023-09-09T03:23:12Z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B2C4FFF2F09A4F0290E15412E6AFE58B</vt:lpwstr>
  </property>
</Properties>
</file>