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93" w:line="22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5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5"/>
          <w:kern w:val="0"/>
          <w:sz w:val="44"/>
          <w:szCs w:val="44"/>
        </w:rPr>
        <w:t>监管服务事项办事指南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93" w:line="220" w:lineRule="auto"/>
        <w:jc w:val="center"/>
        <w:textAlignment w:val="baseline"/>
        <w:rPr>
          <w:rFonts w:ascii="仿宋" w:hAnsi="仿宋" w:eastAsia="仿宋" w:cs="仿宋"/>
          <w:b/>
          <w:bCs/>
          <w:snapToGrid w:val="0"/>
          <w:color w:val="000000"/>
          <w:spacing w:val="-5"/>
          <w:kern w:val="0"/>
          <w:sz w:val="44"/>
          <w:szCs w:val="44"/>
        </w:rPr>
      </w:pPr>
      <w:bookmarkStart w:id="92" w:name="_GoBack"/>
      <w:r>
        <w:rPr>
          <w:rFonts w:hint="eastAsia" w:ascii="仿宋" w:hAnsi="仿宋" w:eastAsia="仿宋" w:cs="仿宋"/>
          <w:b/>
          <w:bCs/>
          <w:snapToGrid w:val="0"/>
          <w:color w:val="000000"/>
          <w:spacing w:val="-5"/>
          <w:kern w:val="0"/>
          <w:sz w:val="44"/>
          <w:szCs w:val="44"/>
        </w:rPr>
        <w:t>普通会员资格取得和终止</w:t>
      </w:r>
    </w:p>
    <w:bookmarkEnd w:id="92"/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sdt>
      <w:sdtPr>
        <w:rPr>
          <w:rFonts w:hint="eastAsia" w:ascii="黑体" w:hAnsi="黑体" w:eastAsia="黑体" w:cs="黑体"/>
          <w:sz w:val="32"/>
          <w:szCs w:val="32"/>
        </w:rPr>
        <w:id w:val="147455901"/>
        <w:docPartObj>
          <w:docPartGallery w:val="Table of Contents"/>
          <w:docPartUnique/>
        </w:docPartObj>
      </w:sdtPr>
      <w:sdtEndPr>
        <w:rPr>
          <w:rStyle w:val="18"/>
          <w:rFonts w:hint="eastAsia" w:ascii="仿宋" w:hAnsi="仿宋" w:eastAsia="仿宋" w:cs="仿宋"/>
          <w:snapToGrid w:val="0"/>
          <w:color w:val="0000FF" w:themeColor="hyperlink"/>
          <w:kern w:val="0"/>
          <w:sz w:val="30"/>
          <w:szCs w:val="21"/>
          <w:u w:val="single"/>
          <w14:textFill>
            <w14:solidFill>
              <w14:schemeClr w14:val="hlink"/>
            </w14:solidFill>
          </w14:textFill>
        </w:rPr>
      </w:sdtEndPr>
      <w:sdtContent>
        <w:p>
          <w:pPr>
            <w:snapToGrid w:val="0"/>
            <w:jc w:val="center"/>
            <w:rPr>
              <w:rFonts w:ascii="黑体" w:hAnsi="黑体" w:eastAsia="黑体" w:cs="黑体"/>
              <w:snapToGrid w:val="0"/>
              <w:color w:val="000000"/>
              <w:spacing w:val="-5"/>
              <w:kern w:val="0"/>
              <w:sz w:val="32"/>
              <w:szCs w:val="32"/>
              <w:lang w:eastAsia="en-US"/>
            </w:rPr>
          </w:pPr>
          <w:r>
            <w:rPr>
              <w:rFonts w:hint="eastAsia" w:ascii="黑体" w:hAnsi="黑体" w:eastAsia="黑体" w:cs="黑体"/>
              <w:snapToGrid w:val="0"/>
              <w:color w:val="000000"/>
              <w:spacing w:val="-5"/>
              <w:kern w:val="0"/>
              <w:sz w:val="32"/>
              <w:szCs w:val="32"/>
              <w:lang w:eastAsia="en-US"/>
            </w:rPr>
            <w:t>目录</w:t>
          </w:r>
        </w:p>
        <w:p>
          <w:pPr>
            <w:snapToGrid w:val="0"/>
            <w:jc w:val="center"/>
            <w:rPr>
              <w:rFonts w:ascii="黑体" w:hAnsi="黑体" w:eastAsia="黑体" w:cs="黑体"/>
              <w:snapToGrid w:val="0"/>
              <w:color w:val="000000"/>
              <w:spacing w:val="-5"/>
              <w:kern w:val="0"/>
              <w:sz w:val="32"/>
              <w:szCs w:val="32"/>
              <w:lang w:eastAsia="en-US"/>
            </w:rPr>
          </w:pP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rPr>
              <w:rStyle w:val="18"/>
              <w:rFonts w:hint="eastAsia"/>
              <w:sz w:val="30"/>
            </w:rPr>
            <w:fldChar w:fldCharType="begin"/>
          </w:r>
          <w:r>
            <w:rPr>
              <w:rStyle w:val="18"/>
              <w:rFonts w:hint="eastAsia" w:ascii="仿宋" w:hAnsi="仿宋" w:eastAsia="仿宋" w:cs="仿宋"/>
              <w:snapToGrid w:val="0"/>
              <w:kern w:val="0"/>
              <w:sz w:val="30"/>
              <w:szCs w:val="21"/>
            </w:rPr>
            <w:instrText xml:space="preserve">TOC \o "1-3" \h \u </w:instrText>
          </w:r>
          <w:r>
            <w:rPr>
              <w:rStyle w:val="18"/>
              <w:rFonts w:hint="eastAsia"/>
              <w:sz w:val="30"/>
            </w:rPr>
            <w:fldChar w:fldCharType="separate"/>
          </w:r>
          <w:r>
            <w:fldChar w:fldCharType="begin"/>
          </w:r>
          <w:r>
            <w:instrText xml:space="preserve"> HYPERLINK \l "_Toc3666"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一、事项名称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_Toc3666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"_Toc30289"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二、规则依据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_Toc30289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"_Toc29354"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三、受理部门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_Toc29354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"_Toc8465"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四、办理部门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_Toc8465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"_Toc10812"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五、收费标准及依据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_Toc10812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"_Toc5512"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六、办理时限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_Toc5512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"_Toc13160"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七、办理条件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_Toc13160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1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"_Toc7666"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八、办理材料清单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_Toc7666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2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"_Toc10118"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九、材料接收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_Toc10118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"_Toc11809"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十、办理流程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_Toc11809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3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"_Toc29562"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十一、办理结果及送达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_Toc29562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4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"_Toc3678"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十二、咨询途径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_Toc3678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  <w:spacing w:line="400" w:lineRule="exact"/>
            <w:ind w:left="0" w:leftChars="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"_Toc22933"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十三、办公地址和时间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_Toc22933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400" w:lineRule="exact"/>
            <w:ind w:left="420" w:leftChars="200"/>
            <w:rPr>
              <w:rFonts w:ascii="仿宋" w:hAnsi="仿宋" w:eastAsia="仿宋" w:cs="仿宋"/>
              <w:sz w:val="28"/>
              <w:szCs w:val="28"/>
            </w:rPr>
          </w:pPr>
          <w:r>
            <w:fldChar w:fldCharType="begin"/>
          </w:r>
          <w:r>
            <w:instrText xml:space="preserve"> HYPERLINK \l "_Toc20028"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（一）办公地址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_Toc20028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7"/>
            <w:tabs>
              <w:tab w:val="right" w:leader="dot" w:pos="8306"/>
            </w:tabs>
            <w:spacing w:line="400" w:lineRule="exact"/>
            <w:ind w:left="420" w:leftChars="200"/>
          </w:pPr>
          <w:r>
            <w:fldChar w:fldCharType="begin"/>
          </w:r>
          <w:r>
            <w:instrText xml:space="preserve"> HYPERLINK \l "_Toc12182" </w:instrText>
          </w:r>
          <w: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（二）办公时间</w:t>
          </w:r>
          <w:r>
            <w:rPr>
              <w:rFonts w:hint="eastAsia" w:ascii="仿宋" w:hAnsi="仿宋" w:eastAsia="仿宋" w:cs="仿宋"/>
              <w:sz w:val="28"/>
              <w:szCs w:val="28"/>
            </w:rPr>
            <w:tab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begin"/>
          </w:r>
          <w:r>
            <w:rPr>
              <w:rFonts w:hint="eastAsia" w:ascii="仿宋" w:hAnsi="仿宋" w:eastAsia="仿宋" w:cs="仿宋"/>
              <w:sz w:val="28"/>
              <w:szCs w:val="28"/>
            </w:rPr>
            <w:instrText xml:space="preserve"> PAGEREF _Toc12182 \h </w:instrTex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separate"/>
          </w:r>
          <w:r>
            <w:rPr>
              <w:rFonts w:hint="eastAsia" w:ascii="仿宋" w:hAnsi="仿宋" w:eastAsia="仿宋" w:cs="仿宋"/>
              <w:sz w:val="28"/>
              <w:szCs w:val="28"/>
            </w:rPr>
            <w:t>5</w:t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  <w:r>
            <w:rPr>
              <w:rFonts w:hint="eastAsia" w:ascii="仿宋" w:hAnsi="仿宋" w:eastAsia="仿宋" w:cs="仿宋"/>
              <w:sz w:val="28"/>
              <w:szCs w:val="28"/>
            </w:rPr>
            <w:fldChar w:fldCharType="end"/>
          </w:r>
        </w:p>
        <w:p>
          <w:pPr>
            <w:pStyle w:val="13"/>
            <w:tabs>
              <w:tab w:val="right" w:leader="dot" w:pos="8306"/>
            </w:tabs>
          </w:pPr>
        </w:p>
        <w:p>
          <w:pPr>
            <w:pStyle w:val="13"/>
            <w:widowControl/>
            <w:tabs>
              <w:tab w:val="right" w:leader="dot" w:pos="8296"/>
            </w:tabs>
            <w:kinsoku w:val="0"/>
            <w:autoSpaceDE w:val="0"/>
            <w:autoSpaceDN w:val="0"/>
            <w:adjustRightInd w:val="0"/>
            <w:snapToGrid w:val="0"/>
            <w:jc w:val="left"/>
            <w:textAlignment w:val="baseline"/>
            <w:rPr>
              <w:rStyle w:val="18"/>
              <w:rFonts w:ascii="仿宋" w:hAnsi="仿宋" w:eastAsia="仿宋" w:cs="仿宋"/>
              <w:snapToGrid w:val="0"/>
              <w:kern w:val="0"/>
              <w:sz w:val="30"/>
              <w:szCs w:val="21"/>
            </w:rPr>
            <w:sectPr>
              <w:footerReference r:id="rId3" w:type="default"/>
              <w:pgSz w:w="11906" w:h="16838"/>
              <w:pgMar w:top="1440" w:right="1800" w:bottom="1440" w:left="1800" w:header="851" w:footer="992" w:gutter="0"/>
              <w:pgNumType w:start="1"/>
              <w:cols w:space="425" w:num="1"/>
              <w:docGrid w:type="lines" w:linePitch="312" w:charSpace="0"/>
            </w:sectPr>
          </w:pPr>
          <w:r>
            <w:rPr>
              <w:rFonts w:hint="eastAsia" w:ascii="仿宋" w:hAnsi="仿宋" w:eastAsia="仿宋" w:cs="仿宋"/>
              <w:snapToGrid w:val="0"/>
              <w:kern w:val="0"/>
              <w:szCs w:val="21"/>
            </w:rPr>
            <w:fldChar w:fldCharType="end"/>
          </w:r>
        </w:p>
      </w:sdtContent>
    </w:sdt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0" w:name="_Toc25458"/>
      <w:bookmarkStart w:id="1" w:name="_Toc10717"/>
      <w:bookmarkStart w:id="2" w:name="_Toc3666"/>
      <w:bookmarkStart w:id="3" w:name="_Toc19446"/>
      <w:bookmarkStart w:id="4" w:name="_Toc85216126"/>
      <w:r>
        <w:rPr>
          <w:rFonts w:ascii="Times New Roman" w:hAnsi="Times New Roman" w:cs="Times New Roman"/>
        </w:rPr>
        <w:t>一、事项名称</w:t>
      </w:r>
      <w:bookmarkEnd w:id="0"/>
      <w:bookmarkEnd w:id="1"/>
      <w:bookmarkEnd w:id="2"/>
      <w:bookmarkEnd w:id="3"/>
      <w:bookmarkEnd w:id="4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普通会员资格取得和终止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5" w:name="_Toc293"/>
      <w:bookmarkStart w:id="6" w:name="_Toc13490"/>
      <w:bookmarkStart w:id="7" w:name="_Toc85216127"/>
      <w:bookmarkStart w:id="8" w:name="_Toc30289"/>
      <w:bookmarkStart w:id="9" w:name="_Toc19554"/>
      <w:r>
        <w:rPr>
          <w:rFonts w:ascii="Times New Roman" w:hAnsi="Times New Roman" w:cs="Times New Roman"/>
        </w:rPr>
        <w:t>二、规则依据</w:t>
      </w:r>
      <w:bookmarkEnd w:id="5"/>
      <w:bookmarkEnd w:id="6"/>
      <w:bookmarkEnd w:id="7"/>
      <w:bookmarkEnd w:id="8"/>
      <w:bookmarkEnd w:id="9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《深圳证券交易所会员管理规则》（以下简称《会员规则》）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10" w:name="_Toc29354"/>
      <w:bookmarkStart w:id="11" w:name="_Toc24334"/>
      <w:bookmarkStart w:id="12" w:name="_Toc85216128"/>
      <w:bookmarkStart w:id="13" w:name="_Toc11220"/>
      <w:bookmarkStart w:id="14" w:name="_Toc1733"/>
      <w:r>
        <w:rPr>
          <w:rFonts w:ascii="Times New Roman" w:hAnsi="Times New Roman" w:cs="Times New Roman"/>
        </w:rPr>
        <w:t>三、受理部门</w:t>
      </w:r>
      <w:bookmarkEnd w:id="10"/>
      <w:bookmarkEnd w:id="11"/>
      <w:bookmarkEnd w:id="12"/>
      <w:bookmarkEnd w:id="13"/>
      <w:bookmarkEnd w:id="14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深圳证券交易所会员管理部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15" w:name="_Toc1929"/>
      <w:bookmarkStart w:id="16" w:name="_Toc8465"/>
      <w:bookmarkStart w:id="17" w:name="_Toc17282"/>
      <w:bookmarkStart w:id="18" w:name="_Toc85216129"/>
      <w:bookmarkStart w:id="19" w:name="_Toc25281"/>
      <w:r>
        <w:rPr>
          <w:rFonts w:ascii="Times New Roman" w:hAnsi="Times New Roman" w:cs="Times New Roman"/>
        </w:rPr>
        <w:t>四、办理部门</w:t>
      </w:r>
      <w:bookmarkEnd w:id="15"/>
      <w:bookmarkEnd w:id="16"/>
      <w:bookmarkEnd w:id="17"/>
      <w:bookmarkEnd w:id="18"/>
      <w:bookmarkEnd w:id="19"/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深圳证券交易所会员管理部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20" w:name="_Toc85216130"/>
      <w:bookmarkStart w:id="21" w:name="_Toc3264"/>
      <w:bookmarkStart w:id="22" w:name="_Toc29159"/>
      <w:bookmarkStart w:id="23" w:name="_Toc10812"/>
      <w:bookmarkStart w:id="24" w:name="_Toc32625"/>
      <w:r>
        <w:rPr>
          <w:rFonts w:ascii="Times New Roman" w:hAnsi="Times New Roman" w:cs="Times New Roman"/>
        </w:rPr>
        <w:t>五、收费标准及依据</w:t>
      </w:r>
      <w:bookmarkEnd w:id="20"/>
      <w:bookmarkEnd w:id="21"/>
      <w:bookmarkEnd w:id="22"/>
      <w:bookmarkEnd w:id="23"/>
      <w:bookmarkEnd w:id="24"/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不收费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eastAsia="仿宋" w:cs="Times New Roman"/>
        </w:rPr>
      </w:pPr>
      <w:bookmarkStart w:id="25" w:name="_Toc28997"/>
      <w:bookmarkStart w:id="26" w:name="_Toc25003"/>
      <w:bookmarkStart w:id="27" w:name="_Toc5512"/>
      <w:bookmarkStart w:id="28" w:name="_Toc85216133"/>
      <w:bookmarkStart w:id="29" w:name="_Toc32744"/>
      <w:r>
        <w:rPr>
          <w:rFonts w:ascii="Times New Roman" w:hAnsi="Times New Roman" w:cs="Times New Roman"/>
        </w:rPr>
        <w:t>六、办理时限</w:t>
      </w:r>
      <w:bookmarkEnd w:id="25"/>
      <w:bookmarkEnd w:id="26"/>
      <w:bookmarkEnd w:id="27"/>
      <w:bookmarkEnd w:id="28"/>
      <w:bookmarkEnd w:id="29"/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收到完备申请材料之日起10个交易日内。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30" w:name="_Toc23566"/>
      <w:bookmarkStart w:id="31" w:name="_Toc17673"/>
      <w:bookmarkStart w:id="32" w:name="_Toc13160"/>
      <w:bookmarkStart w:id="33" w:name="_Toc1840"/>
      <w:bookmarkStart w:id="34" w:name="_Toc85216134"/>
      <w:r>
        <w:rPr>
          <w:rFonts w:ascii="Times New Roman" w:hAnsi="Times New Roman" w:cs="Times New Roman"/>
        </w:rPr>
        <w:t>七、办理条件</w:t>
      </w:r>
      <w:bookmarkEnd w:id="30"/>
      <w:bookmarkEnd w:id="31"/>
      <w:bookmarkEnd w:id="32"/>
      <w:bookmarkEnd w:id="33"/>
      <w:bookmarkEnd w:id="34"/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（一）普通会员资格取得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根据《会员规则》，经依法批准设立，具备下列条件的境内证券经营机构可以申请成为本所会员：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取得经营证券期货业务许可证，经营证券经纪、证券承销与保荐业务或中国证监会认可的其他证券业务；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取得企业法人营业执照；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具有完善的风险管理及内部控制制度；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具有合格的经营场所、业务设施和技术系统；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承认并遵守本所章程及业务规则；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中国证监会及本所规定的其他条件。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（二）普通会员资格终止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</w:rPr>
        <w:t>根据《会员规则》，</w:t>
      </w:r>
      <w:r>
        <w:rPr>
          <w:rFonts w:hint="eastAsia" w:ascii="仿宋" w:hAnsi="仿宋" w:eastAsia="仿宋" w:cs="仿宋"/>
          <w:sz w:val="30"/>
          <w:szCs w:val="30"/>
        </w:rPr>
        <w:t>有下列情形之一的，会员应当向本所申请终止其会员资格：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1. 被中国证监会依法撤销、责令关闭的；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被中国证监会依法撤销证券业务许可的；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3. 被中国证监会批准解散的；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4. 不能继续履行正常的交易及交收义务的；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 会员决定终止其会员资格的；</w:t>
      </w:r>
    </w:p>
    <w:p>
      <w:pPr>
        <w:spacing w:line="56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6. 不再符合本所章程或者本规则规定的会员条件的。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numPr>
          <w:ilvl w:val="0"/>
          <w:numId w:val="1"/>
        </w:numPr>
        <w:ind w:firstLine="640" w:firstLineChars="200"/>
        <w:rPr>
          <w:rFonts w:ascii="Times New Roman" w:hAnsi="Times New Roman" w:cs="Times New Roman"/>
        </w:rPr>
      </w:pPr>
      <w:bookmarkStart w:id="35" w:name="_Toc27613"/>
      <w:bookmarkStart w:id="36" w:name="_Toc85216138"/>
      <w:bookmarkStart w:id="37" w:name="_Toc23344"/>
      <w:bookmarkStart w:id="38" w:name="_Toc14379"/>
      <w:bookmarkStart w:id="39" w:name="_Toc7666"/>
      <w:r>
        <w:rPr>
          <w:rFonts w:ascii="Times New Roman" w:hAnsi="Times New Roman" w:cs="Times New Roman"/>
        </w:rPr>
        <w:t>办理材料清单</w:t>
      </w:r>
      <w:bookmarkEnd w:id="35"/>
      <w:bookmarkEnd w:id="36"/>
      <w:bookmarkEnd w:id="37"/>
      <w:bookmarkEnd w:id="38"/>
      <w:bookmarkEnd w:id="39"/>
    </w:p>
    <w:p>
      <w:pPr>
        <w:spacing w:line="560" w:lineRule="exact"/>
        <w:ind w:firstLine="643" w:firstLineChars="200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（一）普通会员资格取得</w:t>
      </w:r>
    </w:p>
    <w:p>
      <w:pPr>
        <w:numPr>
          <w:ilvl w:val="255"/>
          <w:numId w:val="0"/>
        </w:num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 录入信息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1-1 机构名称（中文全称）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1-2 机构各项基本信息，高管及相关人员信息和联络方式，主要股东股东名称、出资额及持股比例等各项资料</w:t>
      </w:r>
    </w:p>
    <w:p>
      <w:pPr>
        <w:numPr>
          <w:ilvl w:val="0"/>
          <w:numId w:val="2"/>
        </w:num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上传材料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2-1 申请书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2-2 机构的设立批文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2-3企业法人营业执照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2-4经营证券期货业务许可证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2-5公司章程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2-6会员代表、会员业务联络人推荐材料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2-7信息技术负责人、会籍联络人、 综合管理联络人 、合规联络人的推荐函及其从业证书</w:t>
      </w:r>
    </w:p>
    <w:p>
      <w:pPr>
        <w:numPr>
          <w:ilvl w:val="255"/>
          <w:numId w:val="0"/>
        </w:num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2-8本所要求提交的其他文件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上述材料均需加盖公章。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（二）普通会员资格终止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申请书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有关批准文件或者决定书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会员资格证书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业务清理情况说明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本所要求提交的其他文件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上述材料均需加盖公章。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40" w:name="_Toc10118"/>
      <w:bookmarkStart w:id="41" w:name="_Toc10082"/>
      <w:bookmarkStart w:id="42" w:name="_Toc22777"/>
      <w:bookmarkStart w:id="43" w:name="_Toc85216139"/>
      <w:bookmarkStart w:id="44" w:name="_Toc15707"/>
      <w:r>
        <w:rPr>
          <w:rFonts w:hint="eastAsia" w:ascii="Times New Roman" w:hAnsi="Times New Roman" w:cs="Times New Roman"/>
        </w:rPr>
        <w:t>九</w:t>
      </w:r>
      <w:r>
        <w:rPr>
          <w:rFonts w:ascii="Times New Roman" w:hAnsi="Times New Roman" w:cs="Times New Roman"/>
        </w:rPr>
        <w:t>、材料接收</w:t>
      </w:r>
      <w:bookmarkEnd w:id="40"/>
      <w:bookmarkEnd w:id="41"/>
      <w:bookmarkEnd w:id="42"/>
      <w:bookmarkEnd w:id="43"/>
      <w:bookmarkEnd w:id="44"/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（一）普通会员资格取得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通过本所“会员业务专区”中的“业务办理-会籍业务-会籍申请”栏目在线办理。</w:t>
      </w:r>
    </w:p>
    <w:p>
      <w:pPr>
        <w:numPr>
          <w:ilvl w:val="0"/>
          <w:numId w:val="3"/>
        </w:num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普通会员资格终止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通过本所“会员业务专区”的“公文及报表上传-公文上传”，提出终止会员资格申请，并提交相关申请材料。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45" w:name="_Toc24067"/>
      <w:bookmarkStart w:id="46" w:name="_Toc3925"/>
      <w:bookmarkStart w:id="47" w:name="_Toc12220"/>
      <w:bookmarkStart w:id="48" w:name="_Toc85216143"/>
      <w:bookmarkStart w:id="49" w:name="_Toc11809"/>
      <w:r>
        <w:rPr>
          <w:rFonts w:ascii="Times New Roman" w:hAnsi="Times New Roman" w:cs="Times New Roman"/>
        </w:rPr>
        <w:t>十、办理流程</w:t>
      </w:r>
      <w:bookmarkEnd w:id="45"/>
      <w:bookmarkEnd w:id="46"/>
      <w:bookmarkEnd w:id="47"/>
      <w:bookmarkEnd w:id="48"/>
      <w:bookmarkEnd w:id="49"/>
    </w:p>
    <w:p>
      <w:pPr>
        <w:adjustRightInd w:val="0"/>
        <w:snapToGrid w:val="0"/>
        <w:spacing w:line="56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（一）普通会员资格取得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申请成为本所会员前，需向CA中心申请办理数字证书（具体见http://ca.szse.cn/相关内容）。</w:t>
      </w:r>
    </w:p>
    <w:p>
      <w:pPr>
        <w:wordWrap w:val="0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使用“深圳证券数字证书认证中心”制作的专用电子证书（Ekey）登录本所会员业务专区（https://business.szse.cn/szseMemberPortal）。登录后应当按以下流程完成申请：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通过首页菜单，会员通过“业务办理-会籍业务-会籍申请”栏目、期货公司及银行等交易参与人通过“业务办理-非会员交易参与人资格注册”栏目，进入机构注册页面；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录入机构名称（中文全称）；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录入机构各项基本信息，高管及相关人员信息和联络方式，主要股东名称、出资额及持股比例等各项资料；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上传办理材料清单中的申请材料。</w:t>
      </w:r>
    </w:p>
    <w:p>
      <w:pPr>
        <w:spacing w:line="56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（二）普通会员资格终止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通过本所“会员业务专区”的“公文及报表上传-公文上传”，向会员部提出终止会员资格申请，并提交相关申请材料。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50" w:name="_Toc18531"/>
      <w:bookmarkStart w:id="51" w:name="_Toc13861"/>
      <w:bookmarkStart w:id="52" w:name="_Toc85216146"/>
      <w:bookmarkStart w:id="53" w:name="_Toc29562"/>
      <w:bookmarkStart w:id="54" w:name="_Toc16766"/>
      <w:r>
        <w:rPr>
          <w:rFonts w:ascii="Times New Roman" w:hAnsi="Times New Roman" w:cs="Times New Roman"/>
        </w:rPr>
        <w:t>十</w:t>
      </w:r>
      <w:r>
        <w:rPr>
          <w:rFonts w:hint="eastAsia" w:ascii="Times New Roman" w:hAnsi="Times New Roman" w:cs="Times New Roman"/>
        </w:rPr>
        <w:t>一</w:t>
      </w:r>
      <w:r>
        <w:rPr>
          <w:rFonts w:ascii="Times New Roman" w:hAnsi="Times New Roman" w:cs="Times New Roman"/>
        </w:rPr>
        <w:t>、办理结果及送达</w:t>
      </w:r>
      <w:bookmarkEnd w:id="50"/>
      <w:bookmarkEnd w:id="51"/>
      <w:bookmarkEnd w:id="52"/>
      <w:bookmarkEnd w:id="53"/>
      <w:bookmarkEnd w:id="54"/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（一）普通会员资格取得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获得会员资格的证券公司，本所将发布接纳其成为本所会员的公告，提供纸质《会员资格证书》，并完成会员注册。</w:t>
      </w:r>
    </w:p>
    <w:p>
      <w:pPr>
        <w:spacing w:line="560" w:lineRule="exact"/>
        <w:ind w:firstLine="643" w:firstLineChars="200"/>
        <w:rPr>
          <w:rFonts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</w:rPr>
        <w:t>（二）普通会员资格终止</w:t>
      </w:r>
    </w:p>
    <w:p>
      <w:pPr>
        <w:pStyle w:val="8"/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本所同意终止会员资格申请或者决定取消会员资格的，注销其会员资格，并予以公告，同时自同意或者决定之日起五个工作日内报告中国证监会。会员资格证书自注销之日起失效。</w:t>
      </w:r>
    </w:p>
    <w:p>
      <w:pPr>
        <w:spacing w:line="56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55" w:name="_Toc85216147"/>
      <w:bookmarkStart w:id="56" w:name="_Toc21879"/>
      <w:bookmarkStart w:id="57" w:name="_Toc3678"/>
      <w:bookmarkStart w:id="58" w:name="_Toc5121"/>
      <w:bookmarkStart w:id="59" w:name="_Toc13799"/>
      <w:r>
        <w:rPr>
          <w:rFonts w:ascii="Times New Roman" w:hAnsi="Times New Roman" w:cs="Times New Roman"/>
        </w:rPr>
        <w:t>十</w:t>
      </w:r>
      <w:r>
        <w:rPr>
          <w:rFonts w:hint="eastAsia" w:ascii="Times New Roman" w:hAnsi="Times New Roman" w:cs="Times New Roman"/>
        </w:rPr>
        <w:t>二</w:t>
      </w:r>
      <w:r>
        <w:rPr>
          <w:rFonts w:ascii="Times New Roman" w:hAnsi="Times New Roman" w:cs="Times New Roman"/>
        </w:rPr>
        <w:t>、咨询途径</w:t>
      </w:r>
      <w:bookmarkEnd w:id="55"/>
      <w:bookmarkEnd w:id="56"/>
      <w:bookmarkEnd w:id="57"/>
      <w:bookmarkEnd w:id="58"/>
      <w:bookmarkEnd w:id="59"/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张女士，电话：0755-8866 8095</w:t>
      </w:r>
    </w:p>
    <w:p>
      <w:pPr>
        <w:spacing w:line="56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fldChar w:fldCharType="begin"/>
      </w:r>
      <w:r>
        <w:instrText xml:space="preserve"> HYPERLINK "mailto:wang-hui@szse.cn"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zhangping@szse.cn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邬女士，电话：0755-8866 8157</w:t>
      </w:r>
    </w:p>
    <w:p>
      <w:pPr>
        <w:spacing w:line="560" w:lineRule="exact"/>
        <w:ind w:firstLine="1920" w:firstLineChars="6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邮箱：</w:t>
      </w:r>
      <w:r>
        <w:fldChar w:fldCharType="begin"/>
      </w:r>
      <w:r>
        <w:instrText xml:space="preserve"> HYPERLINK "mailto:wang-hui@szse.cn" </w:instrText>
      </w:r>
      <w: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wushan@szse.cn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pStyle w:val="3"/>
        <w:ind w:firstLine="640" w:firstLineChars="200"/>
        <w:rPr>
          <w:rFonts w:ascii="Times New Roman" w:hAnsi="Times New Roman" w:cs="Times New Roman"/>
        </w:rPr>
      </w:pPr>
      <w:bookmarkStart w:id="60" w:name="_Toc85216148"/>
      <w:bookmarkStart w:id="61" w:name="_Toc28302"/>
      <w:bookmarkStart w:id="62" w:name="_Toc9393"/>
      <w:bookmarkStart w:id="63" w:name="_Toc22933"/>
      <w:bookmarkStart w:id="64" w:name="_Toc13203"/>
      <w:r>
        <w:rPr>
          <w:rFonts w:ascii="Times New Roman" w:hAnsi="Times New Roman" w:cs="Times New Roman"/>
        </w:rPr>
        <w:t>十</w:t>
      </w:r>
      <w:r>
        <w:rPr>
          <w:rFonts w:hint="eastAsia" w:ascii="Times New Roman" w:hAnsi="Times New Roman" w:cs="Times New Roman"/>
        </w:rPr>
        <w:t>三</w:t>
      </w:r>
      <w:r>
        <w:rPr>
          <w:rFonts w:ascii="Times New Roman" w:hAnsi="Times New Roman" w:cs="Times New Roman"/>
        </w:rPr>
        <w:t>、办公地址和时间</w:t>
      </w:r>
      <w:bookmarkEnd w:id="60"/>
      <w:bookmarkEnd w:id="61"/>
      <w:bookmarkEnd w:id="62"/>
      <w:bookmarkEnd w:id="63"/>
      <w:bookmarkEnd w:id="64"/>
    </w:p>
    <w:p>
      <w:pPr>
        <w:pStyle w:val="4"/>
        <w:ind w:firstLine="643"/>
        <w:rPr>
          <w:rFonts w:ascii="仿宋" w:hAnsi="仿宋" w:cs="Times New Roman"/>
        </w:rPr>
      </w:pPr>
      <w:bookmarkStart w:id="65" w:name="_Toc85216149"/>
      <w:bookmarkStart w:id="66" w:name="_Toc20028"/>
      <w:bookmarkStart w:id="67" w:name="_Toc17433"/>
      <w:bookmarkStart w:id="68" w:name="_Toc27555"/>
      <w:bookmarkStart w:id="69" w:name="_Toc13842"/>
      <w:r>
        <w:rPr>
          <w:rFonts w:ascii="仿宋" w:hAnsi="仿宋" w:cs="Times New Roman"/>
        </w:rPr>
        <w:t>（一）办公地址</w:t>
      </w:r>
      <w:bookmarkEnd w:id="65"/>
      <w:bookmarkEnd w:id="66"/>
      <w:bookmarkEnd w:id="67"/>
      <w:bookmarkEnd w:id="68"/>
      <w:bookmarkEnd w:id="69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深圳市深南大道2012号深圳证券交易所</w:t>
      </w:r>
      <w:r>
        <w:rPr>
          <w:rFonts w:hint="eastAsia" w:ascii="仿宋" w:hAnsi="仿宋" w:eastAsia="仿宋" w:cs="Times New Roman"/>
          <w:sz w:val="32"/>
          <w:szCs w:val="32"/>
        </w:rPr>
        <w:t>9</w:t>
      </w:r>
      <w:r>
        <w:rPr>
          <w:rFonts w:ascii="仿宋" w:hAnsi="仿宋" w:eastAsia="仿宋" w:cs="Times New Roman"/>
          <w:sz w:val="32"/>
          <w:szCs w:val="32"/>
        </w:rPr>
        <w:t>楼9</w:t>
      </w:r>
      <w:r>
        <w:rPr>
          <w:rFonts w:hint="eastAsia" w:ascii="仿宋" w:hAnsi="仿宋" w:eastAsia="仿宋" w:cs="Times New Roman"/>
          <w:sz w:val="32"/>
          <w:szCs w:val="32"/>
        </w:rPr>
        <w:t>22</w:t>
      </w:r>
      <w:r>
        <w:rPr>
          <w:rFonts w:ascii="仿宋" w:hAnsi="仿宋" w:eastAsia="仿宋" w:cs="Times New Roman"/>
          <w:sz w:val="32"/>
          <w:szCs w:val="32"/>
        </w:rPr>
        <w:t>室</w:t>
      </w:r>
    </w:p>
    <w:p>
      <w:pPr>
        <w:pStyle w:val="4"/>
        <w:ind w:firstLine="643"/>
        <w:rPr>
          <w:rFonts w:ascii="仿宋" w:hAnsi="仿宋" w:cs="Times New Roman"/>
        </w:rPr>
      </w:pPr>
      <w:bookmarkStart w:id="70" w:name="_Toc7539"/>
      <w:bookmarkStart w:id="71" w:name="_Toc85216150"/>
      <w:bookmarkStart w:id="72" w:name="_Toc13509"/>
      <w:bookmarkStart w:id="73" w:name="_Toc12182"/>
      <w:bookmarkStart w:id="74" w:name="_Toc1336"/>
      <w:r>
        <w:rPr>
          <w:rFonts w:ascii="仿宋" w:hAnsi="仿宋" w:cs="Times New Roman"/>
        </w:rPr>
        <w:t>（二）办公时间</w:t>
      </w:r>
      <w:bookmarkEnd w:id="70"/>
      <w:bookmarkEnd w:id="71"/>
      <w:bookmarkEnd w:id="72"/>
      <w:bookmarkEnd w:id="73"/>
      <w:bookmarkEnd w:id="74"/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周一至周五 8:30-11:30;13:30-17:00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附件：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境内证券公司会员资格取得申请书模板</w:t>
      </w:r>
    </w:p>
    <w:p>
      <w:pPr>
        <w:numPr>
          <w:ilvl w:val="0"/>
          <w:numId w:val="4"/>
        </w:num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会员资格终止申请书模板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p>
      <w:pPr>
        <w:spacing w:line="500" w:lineRule="exact"/>
        <w:rPr>
          <w:rFonts w:ascii="方正仿宋简体" w:eastAsia="方正仿宋简体"/>
          <w:kern w:val="0"/>
          <w:sz w:val="28"/>
          <w:szCs w:val="28"/>
        </w:rPr>
      </w:pPr>
    </w:p>
    <w:p>
      <w:r>
        <w:rPr>
          <w:rFonts w:hint="eastAsia"/>
        </w:rPr>
        <w:br w:type="page"/>
      </w:r>
    </w:p>
    <w:p>
      <w:pPr>
        <w:pStyle w:val="3"/>
        <w:rPr>
          <w:rFonts w:ascii="黑体" w:hAnsi="黑体" w:cs="黑体"/>
          <w:bCs w:val="0"/>
          <w:kern w:val="0"/>
        </w:rPr>
      </w:pPr>
      <w:bookmarkStart w:id="75" w:name="_Toc27702"/>
      <w:bookmarkStart w:id="76" w:name="_Toc18183"/>
      <w:bookmarkStart w:id="77" w:name="_Toc13353"/>
      <w:bookmarkStart w:id="78" w:name="_Toc536539113"/>
      <w:bookmarkStart w:id="79" w:name="_Toc2738"/>
      <w:bookmarkStart w:id="80" w:name="_Toc103263889"/>
      <w:r>
        <w:rPr>
          <w:rFonts w:hint="eastAsia" w:ascii="黑体" w:hAnsi="黑体" w:cs="黑体"/>
          <w:bCs w:val="0"/>
          <w:kern w:val="0"/>
        </w:rPr>
        <w:t>附件</w:t>
      </w:r>
      <w:bookmarkEnd w:id="75"/>
      <w:bookmarkEnd w:id="76"/>
      <w:bookmarkEnd w:id="77"/>
      <w:bookmarkStart w:id="81" w:name="_Toc27066"/>
      <w:r>
        <w:rPr>
          <w:rFonts w:hint="eastAsia" w:ascii="黑体" w:hAnsi="黑体" w:cs="黑体"/>
          <w:bCs w:val="0"/>
          <w:kern w:val="0"/>
        </w:rPr>
        <w:t>1</w:t>
      </w:r>
    </w:p>
    <w:p>
      <w:pPr>
        <w:pStyle w:val="3"/>
        <w:jc w:val="center"/>
        <w:rPr>
          <w:rFonts w:ascii="黑体" w:hAnsi="黑体" w:cs="黑体"/>
          <w:bCs w:val="0"/>
          <w:kern w:val="0"/>
        </w:rPr>
      </w:pPr>
      <w:bookmarkStart w:id="82" w:name="_Toc6389"/>
      <w:bookmarkStart w:id="83" w:name="_Toc8673"/>
      <w:r>
        <w:rPr>
          <w:rFonts w:hint="eastAsia" w:ascii="黑体" w:hAnsi="黑体" w:cs="黑体"/>
          <w:bCs w:val="0"/>
          <w:kern w:val="0"/>
        </w:rPr>
        <w:t>境内证券公司会员资格取得申请书模板</w:t>
      </w:r>
      <w:bookmarkEnd w:id="78"/>
      <w:bookmarkEnd w:id="79"/>
      <w:bookmarkEnd w:id="80"/>
      <w:bookmarkEnd w:id="81"/>
      <w:bookmarkEnd w:id="82"/>
      <w:bookmarkEnd w:id="83"/>
    </w:p>
    <w:p>
      <w:pPr>
        <w:widowControl/>
        <w:numPr>
          <w:ilvl w:val="255"/>
          <w:numId w:val="0"/>
        </w:numPr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（按正式公文形式提交）</w:t>
      </w:r>
    </w:p>
    <w:p>
      <w:pPr>
        <w:widowControl/>
        <w:ind w:left="360"/>
        <w:jc w:val="left"/>
        <w:rPr>
          <w:rFonts w:ascii="仿宋" w:hAnsi="仿宋" w:eastAsia="仿宋"/>
          <w:sz w:val="24"/>
        </w:rPr>
      </w:pPr>
    </w:p>
    <w:p>
      <w:pPr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>深圳证券交易所</w:t>
      </w:r>
      <w:r>
        <w:rPr>
          <w:rFonts w:hint="eastAsia" w:ascii="仿宋" w:hAnsi="仿宋" w:eastAsia="仿宋"/>
          <w:sz w:val="24"/>
        </w:rPr>
        <w:t>会员申请书</w:t>
      </w:r>
    </w:p>
    <w:p>
      <w:pPr>
        <w:rPr>
          <w:rFonts w:ascii="仿宋" w:hAnsi="仿宋" w:eastAsia="仿宋"/>
          <w:sz w:val="24"/>
        </w:rPr>
      </w:pPr>
    </w:p>
    <w:p>
      <w:pPr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 xml:space="preserve">深圳证券交易所： </w:t>
      </w:r>
    </w:p>
    <w:p>
      <w:pPr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 xml:space="preserve">    根据中国证券监督管理委员会《关于核准设立XX公司的批复》（证监许可 号），XX公司于</w:t>
      </w:r>
      <w:r>
        <w:rPr>
          <w:rFonts w:ascii="仿宋" w:hAnsi="仿宋" w:eastAsia="仿宋" w:cs="Arial"/>
          <w:kern w:val="0"/>
          <w:sz w:val="24"/>
        </w:rPr>
        <w:t>20</w:t>
      </w:r>
      <w:r>
        <w:rPr>
          <w:rFonts w:hint="eastAsia" w:ascii="仿宋" w:hAnsi="仿宋" w:eastAsia="仿宋" w:cs="Arial"/>
          <w:kern w:val="0"/>
          <w:sz w:val="24"/>
        </w:rPr>
        <w:t xml:space="preserve">  年  月  日获准设立，并于</w:t>
      </w:r>
      <w:r>
        <w:rPr>
          <w:rFonts w:ascii="仿宋" w:hAnsi="仿宋" w:eastAsia="仿宋" w:cs="Arial"/>
          <w:kern w:val="0"/>
          <w:sz w:val="24"/>
        </w:rPr>
        <w:t>20</w:t>
      </w:r>
      <w:r>
        <w:rPr>
          <w:rFonts w:hint="eastAsia" w:ascii="仿宋" w:hAnsi="仿宋" w:eastAsia="仿宋" w:cs="Arial"/>
          <w:kern w:val="0"/>
          <w:sz w:val="24"/>
        </w:rPr>
        <w:t xml:space="preserve"> 年 月 日办理完成工商登记，取得《企业法人营业执照》（统一社会信用代码：  ）,</w:t>
      </w:r>
      <w:r>
        <w:rPr>
          <w:rFonts w:ascii="仿宋" w:hAnsi="仿宋" w:eastAsia="仿宋" w:cs="Arial"/>
          <w:kern w:val="0"/>
          <w:sz w:val="24"/>
        </w:rPr>
        <w:t>20</w:t>
      </w:r>
      <w:r>
        <w:rPr>
          <w:rFonts w:hint="eastAsia" w:ascii="仿宋" w:hAnsi="仿宋" w:eastAsia="仿宋" w:cs="Arial"/>
          <w:kern w:val="0"/>
          <w:sz w:val="24"/>
        </w:rPr>
        <w:t xml:space="preserve">  年  月  日取得《经营证券期货业务许可证》,业务范围包括：   。为开展  业务，我司申请成为深圳证券交易所会员。</w:t>
      </w:r>
    </w:p>
    <w:p>
      <w:pPr>
        <w:ind w:firstLine="480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>我公司承诺：遵守深圳证券交易所自律规则并接受自律监管，确保申请材料真实准确完整。</w:t>
      </w:r>
    </w:p>
    <w:p>
      <w:pPr>
        <w:ind w:firstLine="480"/>
        <w:rPr>
          <w:rFonts w:ascii="仿宋" w:hAnsi="仿宋" w:eastAsia="仿宋" w:cs="Arial"/>
          <w:kern w:val="0"/>
          <w:sz w:val="24"/>
        </w:rPr>
      </w:pPr>
    </w:p>
    <w:p>
      <w:pPr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 xml:space="preserve">    特此申请</w:t>
      </w:r>
    </w:p>
    <w:p>
      <w:pPr>
        <w:ind w:firstLine="4200" w:firstLineChars="1750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>公司名称：</w:t>
      </w:r>
    </w:p>
    <w:p>
      <w:pPr>
        <w:ind w:firstLine="4200" w:firstLineChars="1750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>单位公章：</w:t>
      </w:r>
    </w:p>
    <w:p>
      <w:pPr>
        <w:ind w:firstLine="4200" w:firstLineChars="1750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>法定代表人签字（或签章）：</w:t>
      </w:r>
    </w:p>
    <w:p>
      <w:pPr>
        <w:ind w:firstLine="4200" w:firstLineChars="1750"/>
        <w:rPr>
          <w:rFonts w:ascii="仿宋" w:hAnsi="仿宋" w:eastAsia="仿宋" w:cs="Arial"/>
          <w:kern w:val="0"/>
          <w:sz w:val="24"/>
        </w:rPr>
      </w:pPr>
      <w:r>
        <w:rPr>
          <w:rFonts w:hint="eastAsia" w:ascii="仿宋" w:hAnsi="仿宋" w:eastAsia="仿宋" w:cs="Arial"/>
          <w:kern w:val="0"/>
          <w:sz w:val="24"/>
        </w:rPr>
        <w:t>______年___月___日</w:t>
      </w:r>
    </w:p>
    <w:p>
      <w:pPr>
        <w:pStyle w:val="3"/>
      </w:pPr>
      <w:bookmarkStart w:id="84" w:name="_Toc15512"/>
    </w:p>
    <w:p>
      <w:pPr>
        <w:pStyle w:val="3"/>
      </w:pPr>
    </w:p>
    <w:p>
      <w:pPr>
        <w:pStyle w:val="3"/>
      </w:pPr>
    </w:p>
    <w:p>
      <w:bookmarkStart w:id="85" w:name="_Toc14080"/>
      <w:r>
        <w:rPr>
          <w:rFonts w:hint="eastAsia"/>
        </w:rPr>
        <w:br w:type="page"/>
      </w:r>
    </w:p>
    <w:p>
      <w:pPr>
        <w:pStyle w:val="3"/>
        <w:rPr>
          <w:rFonts w:ascii="黑体" w:hAnsi="黑体" w:cs="黑体"/>
          <w:bCs w:val="0"/>
        </w:rPr>
      </w:pPr>
      <w:bookmarkStart w:id="86" w:name="_Toc8587"/>
      <w:bookmarkStart w:id="87" w:name="_Toc29375"/>
      <w:bookmarkStart w:id="88" w:name="_Toc2868"/>
      <w:r>
        <w:rPr>
          <w:rFonts w:hint="eastAsia" w:ascii="黑体" w:hAnsi="黑体" w:cs="黑体"/>
          <w:bCs w:val="0"/>
        </w:rPr>
        <w:t>附件</w:t>
      </w:r>
      <w:bookmarkEnd w:id="86"/>
      <w:bookmarkEnd w:id="87"/>
      <w:bookmarkEnd w:id="88"/>
      <w:r>
        <w:rPr>
          <w:rFonts w:hint="eastAsia" w:ascii="黑体" w:hAnsi="黑体" w:cs="黑体"/>
          <w:bCs w:val="0"/>
        </w:rPr>
        <w:t>2</w:t>
      </w:r>
    </w:p>
    <w:p>
      <w:pPr>
        <w:pStyle w:val="3"/>
        <w:jc w:val="center"/>
        <w:rPr>
          <w:rFonts w:ascii="黑体" w:hAnsi="黑体" w:cs="黑体"/>
          <w:bCs w:val="0"/>
        </w:rPr>
      </w:pPr>
      <w:bookmarkStart w:id="89" w:name="_Toc13806"/>
      <w:bookmarkStart w:id="90" w:name="_Toc19732"/>
      <w:bookmarkStart w:id="91" w:name="_Toc20862"/>
      <w:r>
        <w:rPr>
          <w:rFonts w:hint="eastAsia" w:ascii="黑体" w:hAnsi="黑体" w:cs="黑体"/>
          <w:bCs w:val="0"/>
        </w:rPr>
        <w:t>会员资格终止申请书模板</w:t>
      </w:r>
      <w:bookmarkEnd w:id="84"/>
      <w:bookmarkEnd w:id="85"/>
      <w:bookmarkEnd w:id="89"/>
      <w:bookmarkEnd w:id="90"/>
      <w:bookmarkEnd w:id="91"/>
    </w:p>
    <w:p>
      <w:pPr>
        <w:widowControl/>
        <w:numPr>
          <w:ilvl w:val="255"/>
          <w:numId w:val="0"/>
        </w:numPr>
        <w:jc w:val="center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（按正式公文形式提交）</w:t>
      </w:r>
    </w:p>
    <w:p>
      <w:pPr>
        <w:rPr>
          <w:rFonts w:ascii="仿宋" w:hAnsi="仿宋" w:eastAsia="仿宋"/>
          <w:sz w:val="22"/>
        </w:rPr>
      </w:pPr>
    </w:p>
    <w:p>
      <w:pPr>
        <w:widowControl/>
        <w:jc w:val="left"/>
        <w:rPr>
          <w:rFonts w:ascii="仿宋" w:hAnsi="仿宋" w:eastAsia="仿宋" w:cs="Times New Roman"/>
          <w:kern w:val="44"/>
          <w:sz w:val="24"/>
          <w:szCs w:val="24"/>
        </w:rPr>
      </w:pP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关于XX公司注销</w:t>
      </w:r>
    </w:p>
    <w:p>
      <w:pPr>
        <w:jc w:val="center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深圳证券交易所会籍的申请书</w:t>
      </w:r>
    </w:p>
    <w:p>
      <w:pPr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深圳证券交易所：</w:t>
      </w:r>
    </w:p>
    <w:p>
      <w:pPr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 xml:space="preserve">    因     ，根据中国证券监督管理委员会****（相关关闭、撤消或解散的文件），我司向贵所申请注销会员会籍资格。</w:t>
      </w:r>
    </w:p>
    <w:p>
      <w:pPr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 xml:space="preserve">    特此申请，请予受理。</w:t>
      </w:r>
    </w:p>
    <w:p>
      <w:pPr>
        <w:ind w:right="840" w:firstLine="480" w:firstLineChars="200"/>
        <w:jc w:val="right"/>
        <w:rPr>
          <w:rFonts w:ascii="仿宋" w:hAnsi="仿宋" w:eastAsia="仿宋" w:cs="Arial"/>
          <w:kern w:val="0"/>
          <w:sz w:val="24"/>
          <w:szCs w:val="24"/>
        </w:rPr>
      </w:pPr>
    </w:p>
    <w:p>
      <w:pPr>
        <w:ind w:right="840" w:firstLine="480" w:firstLineChars="200"/>
        <w:jc w:val="right"/>
        <w:rPr>
          <w:rFonts w:ascii="仿宋" w:hAnsi="仿宋" w:eastAsia="仿宋" w:cs="Arial"/>
          <w:kern w:val="0"/>
          <w:sz w:val="24"/>
          <w:szCs w:val="24"/>
        </w:rPr>
      </w:pPr>
    </w:p>
    <w:p>
      <w:pPr>
        <w:ind w:right="840" w:firstLine="480" w:firstLineChars="200"/>
        <w:jc w:val="righ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XX公司</w:t>
      </w:r>
      <w:r>
        <w:rPr>
          <w:rFonts w:ascii="仿宋" w:hAnsi="仿宋" w:eastAsia="仿宋" w:cs="Arial"/>
          <w:kern w:val="0"/>
          <w:sz w:val="24"/>
          <w:szCs w:val="24"/>
        </w:rPr>
        <w:t xml:space="preserve"> </w:t>
      </w:r>
    </w:p>
    <w:p>
      <w:pPr>
        <w:ind w:right="560" w:firstLine="480" w:firstLineChars="200"/>
        <w:jc w:val="right"/>
        <w:rPr>
          <w:rFonts w:ascii="仿宋" w:hAnsi="仿宋" w:eastAsia="仿宋" w:cs="Arial"/>
          <w:kern w:val="0"/>
          <w:sz w:val="24"/>
          <w:szCs w:val="24"/>
        </w:rPr>
      </w:pPr>
      <w:r>
        <w:rPr>
          <w:rFonts w:hint="eastAsia" w:ascii="仿宋" w:hAnsi="仿宋" w:eastAsia="仿宋" w:cs="Arial"/>
          <w:kern w:val="0"/>
          <w:sz w:val="24"/>
          <w:szCs w:val="24"/>
        </w:rPr>
        <w:t>年 月 日</w:t>
      </w:r>
    </w:p>
    <w:p>
      <w:pPr>
        <w:spacing w:line="560" w:lineRule="exact"/>
        <w:rPr>
          <w:rFonts w:ascii="仿宋" w:hAnsi="仿宋" w:eastAsia="仿宋" w:cs="Times New Roman"/>
          <w:sz w:val="32"/>
          <w:szCs w:val="32"/>
        </w:rPr>
      </w:pPr>
    </w:p>
    <w:sectPr>
      <w:footerReference r:id="rId5" w:type="firs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07183"/>
    </w:sdtPr>
    <w:sdtContent>
      <w:p>
        <w:pPr>
          <w:pStyle w:val="10"/>
          <w:tabs>
            <w:tab w:val="left" w:pos="1354"/>
          </w:tabs>
        </w:pPr>
        <w:r>
          <w:tab/>
        </w:r>
        <w:r>
          <w:tab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04650486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29895861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B15968"/>
    <w:multiLevelType w:val="singleLevel"/>
    <w:tmpl w:val="A8B1596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098514"/>
    <w:multiLevelType w:val="singleLevel"/>
    <w:tmpl w:val="DD0985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380DA3A2"/>
    <w:multiLevelType w:val="singleLevel"/>
    <w:tmpl w:val="380DA3A2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A299C79"/>
    <w:multiLevelType w:val="singleLevel"/>
    <w:tmpl w:val="5A299C7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3A"/>
    <w:rsid w:val="000E3C7F"/>
    <w:rsid w:val="0020392E"/>
    <w:rsid w:val="002B013A"/>
    <w:rsid w:val="00457909"/>
    <w:rsid w:val="005B4F79"/>
    <w:rsid w:val="00701135"/>
    <w:rsid w:val="00810E5C"/>
    <w:rsid w:val="008F4272"/>
    <w:rsid w:val="009A1AD5"/>
    <w:rsid w:val="009B74A7"/>
    <w:rsid w:val="009D7FF2"/>
    <w:rsid w:val="009F3F80"/>
    <w:rsid w:val="00A65ECD"/>
    <w:rsid w:val="00B506B2"/>
    <w:rsid w:val="00B91B1D"/>
    <w:rsid w:val="00C54A47"/>
    <w:rsid w:val="00CF24AA"/>
    <w:rsid w:val="00D0011E"/>
    <w:rsid w:val="00D36474"/>
    <w:rsid w:val="00D72D3A"/>
    <w:rsid w:val="00E024A8"/>
    <w:rsid w:val="00F15772"/>
    <w:rsid w:val="021B3902"/>
    <w:rsid w:val="135C0FAE"/>
    <w:rsid w:val="141F0426"/>
    <w:rsid w:val="16713F5E"/>
    <w:rsid w:val="16B6732E"/>
    <w:rsid w:val="18BA4F3A"/>
    <w:rsid w:val="18E64973"/>
    <w:rsid w:val="19E141A8"/>
    <w:rsid w:val="1EC65585"/>
    <w:rsid w:val="205E396E"/>
    <w:rsid w:val="24951681"/>
    <w:rsid w:val="255B32D7"/>
    <w:rsid w:val="28DB4847"/>
    <w:rsid w:val="2F986E60"/>
    <w:rsid w:val="30CF1347"/>
    <w:rsid w:val="31FB6519"/>
    <w:rsid w:val="33A309E6"/>
    <w:rsid w:val="372D7740"/>
    <w:rsid w:val="3746174E"/>
    <w:rsid w:val="3B1466B9"/>
    <w:rsid w:val="3FFD636A"/>
    <w:rsid w:val="41015320"/>
    <w:rsid w:val="425111A6"/>
    <w:rsid w:val="497D63AD"/>
    <w:rsid w:val="4DC069CB"/>
    <w:rsid w:val="4DE5765B"/>
    <w:rsid w:val="5239431E"/>
    <w:rsid w:val="532C7EB0"/>
    <w:rsid w:val="54D951A6"/>
    <w:rsid w:val="55CE13D1"/>
    <w:rsid w:val="59AA1CBE"/>
    <w:rsid w:val="5AFC530E"/>
    <w:rsid w:val="5D4B52BA"/>
    <w:rsid w:val="60775FD5"/>
    <w:rsid w:val="6354217F"/>
    <w:rsid w:val="63923A1B"/>
    <w:rsid w:val="66E354FA"/>
    <w:rsid w:val="69E12060"/>
    <w:rsid w:val="6A7D594E"/>
    <w:rsid w:val="6F3B2652"/>
    <w:rsid w:val="6FE611FB"/>
    <w:rsid w:val="7119158F"/>
    <w:rsid w:val="71197EE3"/>
    <w:rsid w:val="71721EAF"/>
    <w:rsid w:val="74A419F3"/>
    <w:rsid w:val="74C60911"/>
    <w:rsid w:val="74E43F4D"/>
    <w:rsid w:val="79B5154D"/>
    <w:rsid w:val="7ED970E9"/>
    <w:rsid w:val="7EE3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line="560" w:lineRule="exact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line="560" w:lineRule="exact"/>
      <w:ind w:firstLine="420" w:firstLineChars="200"/>
      <w:outlineLvl w:val="2"/>
    </w:pPr>
    <w:rPr>
      <w:rFonts w:eastAsia="仿宋"/>
      <w:b/>
      <w:bCs/>
      <w:sz w:val="32"/>
      <w:szCs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line="560" w:lineRule="exact"/>
      <w:ind w:firstLine="420" w:firstLineChars="200"/>
      <w:outlineLvl w:val="3"/>
    </w:pPr>
    <w:rPr>
      <w:rFonts w:ascii="Arial" w:hAnsi="Arial" w:eastAsia="仿宋"/>
      <w:sz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Plain Text"/>
    <w:basedOn w:val="1"/>
    <w:qFormat/>
    <w:uiPriority w:val="0"/>
    <w:rPr>
      <w:rFonts w:ascii="宋体" w:hAnsi="Courier New"/>
    </w:rPr>
  </w:style>
  <w:style w:type="paragraph" w:styleId="9">
    <w:name w:val="Balloon Text"/>
    <w:basedOn w:val="1"/>
    <w:link w:val="26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qFormat/>
    <w:uiPriority w:val="39"/>
  </w:style>
  <w:style w:type="paragraph" w:styleId="13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4">
    <w:name w:val="annotation subject"/>
    <w:basedOn w:val="6"/>
    <w:next w:val="6"/>
    <w:link w:val="27"/>
    <w:semiHidden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标题 3 Char"/>
    <w:basedOn w:val="17"/>
    <w:link w:val="4"/>
    <w:qFormat/>
    <w:uiPriority w:val="9"/>
    <w:rPr>
      <w:rFonts w:eastAsia="仿宋" w:asciiTheme="minorHAnsi" w:hAnsiTheme="minorHAnsi"/>
      <w:b/>
      <w:bCs/>
      <w:sz w:val="32"/>
      <w:szCs w:val="32"/>
    </w:rPr>
  </w:style>
  <w:style w:type="character" w:customStyle="1" w:styleId="21">
    <w:name w:val="页眉 Char"/>
    <w:basedOn w:val="17"/>
    <w:link w:val="11"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0"/>
    <w:qFormat/>
    <w:uiPriority w:val="99"/>
    <w:rPr>
      <w:sz w:val="18"/>
      <w:szCs w:val="18"/>
    </w:rPr>
  </w:style>
  <w:style w:type="character" w:customStyle="1" w:styleId="23">
    <w:name w:val="标题 1 Char"/>
    <w:basedOn w:val="17"/>
    <w:link w:val="2"/>
    <w:qFormat/>
    <w:uiPriority w:val="9"/>
    <w:rPr>
      <w:b/>
      <w:bCs/>
      <w:kern w:val="44"/>
      <w:sz w:val="44"/>
      <w:szCs w:val="44"/>
    </w:rPr>
  </w:style>
  <w:style w:type="character" w:customStyle="1" w:styleId="24">
    <w:name w:val="标题 2 Char"/>
    <w:basedOn w:val="17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25">
    <w:name w:val="批注文字 Char"/>
    <w:basedOn w:val="17"/>
    <w:link w:val="6"/>
    <w:semiHidden/>
    <w:qFormat/>
    <w:uiPriority w:val="99"/>
  </w:style>
  <w:style w:type="character" w:customStyle="1" w:styleId="26">
    <w:name w:val="批注框文本 Char"/>
    <w:basedOn w:val="17"/>
    <w:link w:val="9"/>
    <w:semiHidden/>
    <w:qFormat/>
    <w:uiPriority w:val="99"/>
    <w:rPr>
      <w:sz w:val="18"/>
      <w:szCs w:val="18"/>
    </w:rPr>
  </w:style>
  <w:style w:type="character" w:customStyle="1" w:styleId="27">
    <w:name w:val="批注主题 Char"/>
    <w:basedOn w:val="25"/>
    <w:link w:val="14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CAA49-6A43-4083-AF35-01323FDC12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494</Words>
  <Characters>2819</Characters>
  <Lines>23</Lines>
  <Paragraphs>6</Paragraphs>
  <TotalTime>2</TotalTime>
  <ScaleCrop>false</ScaleCrop>
  <LinksUpToDate>false</LinksUpToDate>
  <CharactersWithSpaces>3307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2021-10-15T10:51:00Z</dcterms:created>
  <dc:creator>NTKO</dc:creator>
  <cp:lastModifiedBy>姚一凡</cp:lastModifiedBy>
  <dcterms:modified xsi:type="dcterms:W3CDTF">2023-09-07T06:40:52Z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F4FA0E1CD7EB4F7DA95AEDE5D71CCEBA</vt:lpwstr>
  </property>
</Properties>
</file>