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60" w:lineRule="exact"/>
        <w:jc w:val="center"/>
        <w:rPr>
          <w:rFonts w:ascii="Times New Roman" w:hAnsi="Times New Roman" w:eastAsia="方正小标宋简体" w:cs="Times New Roman"/>
          <w:sz w:val="44"/>
          <w:szCs w:val="44"/>
        </w:rPr>
      </w:pPr>
    </w:p>
    <w:p>
      <w:pPr>
        <w:widowControl/>
        <w:kinsoku w:val="0"/>
        <w:autoSpaceDE w:val="0"/>
        <w:autoSpaceDN w:val="0"/>
        <w:adjustRightInd w:val="0"/>
        <w:snapToGrid w:val="0"/>
        <w:spacing w:before="193" w:line="220" w:lineRule="auto"/>
        <w:jc w:val="center"/>
        <w:textAlignment w:val="baseline"/>
        <w:rPr>
          <w:rFonts w:ascii="仿宋" w:hAnsi="仿宋" w:eastAsia="仿宋" w:cs="仿宋"/>
          <w:b/>
          <w:bCs/>
          <w:snapToGrid w:val="0"/>
          <w:color w:val="000000"/>
          <w:spacing w:val="-5"/>
          <w:kern w:val="0"/>
          <w:sz w:val="44"/>
          <w:szCs w:val="44"/>
        </w:rPr>
      </w:pPr>
      <w:bookmarkStart w:id="60" w:name="_GoBack"/>
      <w:r>
        <w:rPr>
          <w:rFonts w:hint="eastAsia" w:ascii="方正小标宋简体" w:hAnsi="方正小标宋简体" w:eastAsia="方正小标宋简体" w:cs="方正小标宋简体"/>
          <w:b w:val="0"/>
          <w:bCs w:val="0"/>
          <w:snapToGrid w:val="0"/>
          <w:color w:val="000000"/>
          <w:spacing w:val="-5"/>
          <w:kern w:val="0"/>
          <w:sz w:val="44"/>
          <w:szCs w:val="44"/>
        </w:rPr>
        <w:t>监管服务事项办事指南</w:t>
      </w:r>
      <w:bookmarkEnd w:id="60"/>
    </w:p>
    <w:p>
      <w:pPr>
        <w:widowControl/>
        <w:kinsoku w:val="0"/>
        <w:autoSpaceDE w:val="0"/>
        <w:autoSpaceDN w:val="0"/>
        <w:adjustRightInd w:val="0"/>
        <w:snapToGrid w:val="0"/>
        <w:spacing w:before="193" w:line="220" w:lineRule="auto"/>
        <w:jc w:val="center"/>
        <w:textAlignment w:val="baseline"/>
        <w:rPr>
          <w:rFonts w:ascii="仿宋" w:hAnsi="仿宋" w:eastAsia="仿宋" w:cs="仿宋"/>
          <w:b/>
          <w:bCs/>
          <w:snapToGrid w:val="0"/>
          <w:color w:val="000000"/>
          <w:spacing w:val="-5"/>
          <w:kern w:val="0"/>
          <w:sz w:val="44"/>
          <w:szCs w:val="44"/>
        </w:rPr>
      </w:pPr>
      <w:r>
        <w:rPr>
          <w:rFonts w:hint="eastAsia" w:ascii="仿宋" w:hAnsi="仿宋" w:eastAsia="仿宋" w:cs="仿宋"/>
          <w:b/>
          <w:bCs/>
          <w:snapToGrid w:val="0"/>
          <w:color w:val="000000"/>
          <w:spacing w:val="-5"/>
          <w:kern w:val="0"/>
          <w:sz w:val="44"/>
          <w:szCs w:val="44"/>
        </w:rPr>
        <w:t>股票期权交易权限申请与开通</w:t>
      </w:r>
    </w:p>
    <w:p>
      <w:pPr>
        <w:spacing w:line="560" w:lineRule="exact"/>
        <w:jc w:val="center"/>
        <w:rPr>
          <w:rFonts w:ascii="Times New Roman" w:hAnsi="Times New Roman" w:eastAsia="黑体" w:cs="Times New Roman"/>
          <w:sz w:val="32"/>
          <w:szCs w:val="32"/>
        </w:rPr>
      </w:pPr>
    </w:p>
    <w:sdt>
      <w:sdtPr>
        <w:rPr>
          <w:rFonts w:hint="eastAsia" w:ascii="黑体" w:hAnsi="黑体" w:eastAsia="黑体" w:cs="黑体"/>
          <w:sz w:val="32"/>
          <w:szCs w:val="32"/>
        </w:rPr>
        <w:id w:val="147455901"/>
        <w:docPartObj>
          <w:docPartGallery w:val="Table of Contents"/>
          <w:docPartUnique/>
        </w:docPartObj>
      </w:sdtPr>
      <w:sdtEndPr>
        <w:rPr>
          <w:rStyle w:val="18"/>
          <w:rFonts w:hint="eastAsia" w:ascii="仿宋" w:hAnsi="仿宋" w:eastAsia="仿宋" w:cs="仿宋"/>
          <w:snapToGrid w:val="0"/>
          <w:color w:val="0000FF" w:themeColor="hyperlink"/>
          <w:kern w:val="0"/>
          <w:sz w:val="30"/>
          <w:szCs w:val="21"/>
          <w:u w:val="single"/>
          <w14:textFill>
            <w14:solidFill>
              <w14:schemeClr w14:val="hlink"/>
            </w14:solidFill>
          </w14:textFill>
        </w:rPr>
      </w:sdtEndPr>
      <w:sdtContent>
        <w:p>
          <w:pPr>
            <w:snapToGrid w:val="0"/>
            <w:jc w:val="center"/>
            <w:rPr>
              <w:rFonts w:ascii="黑体" w:hAnsi="黑体" w:eastAsia="黑体" w:cs="黑体"/>
              <w:snapToGrid w:val="0"/>
              <w:color w:val="000000"/>
              <w:spacing w:val="-5"/>
              <w:kern w:val="0"/>
              <w:sz w:val="32"/>
              <w:szCs w:val="32"/>
              <w:lang w:eastAsia="en-US"/>
            </w:rPr>
          </w:pPr>
          <w:r>
            <w:rPr>
              <w:rFonts w:hint="eastAsia" w:ascii="黑体" w:hAnsi="黑体" w:eastAsia="黑体" w:cs="黑体"/>
              <w:snapToGrid w:val="0"/>
              <w:color w:val="000000"/>
              <w:spacing w:val="-5"/>
              <w:kern w:val="0"/>
              <w:sz w:val="32"/>
              <w:szCs w:val="32"/>
              <w:lang w:eastAsia="en-US"/>
            </w:rPr>
            <w:t>目录</w:t>
          </w:r>
        </w:p>
        <w:p>
          <w:pPr>
            <w:snapToGrid w:val="0"/>
            <w:jc w:val="center"/>
            <w:rPr>
              <w:rFonts w:ascii="黑体" w:hAnsi="黑体" w:eastAsia="黑体" w:cs="黑体"/>
              <w:snapToGrid w:val="0"/>
              <w:color w:val="000000"/>
              <w:spacing w:val="-5"/>
              <w:kern w:val="0"/>
              <w:sz w:val="32"/>
              <w:szCs w:val="32"/>
              <w:lang w:eastAsia="en-US"/>
            </w:rPr>
          </w:pPr>
        </w:p>
        <w:p>
          <w:pPr>
            <w:pStyle w:val="13"/>
            <w:tabs>
              <w:tab w:val="right" w:leader="dot" w:pos="8306"/>
            </w:tabs>
            <w:spacing w:line="400" w:lineRule="exact"/>
            <w:ind w:left="0" w:leftChars="0"/>
            <w:rPr>
              <w:rFonts w:ascii="仿宋" w:hAnsi="仿宋" w:eastAsia="仿宋" w:cs="仿宋"/>
              <w:sz w:val="28"/>
              <w:szCs w:val="28"/>
            </w:rPr>
          </w:pPr>
          <w:r>
            <w:rPr>
              <w:rStyle w:val="18"/>
              <w:rFonts w:hint="eastAsia" w:ascii="仿宋" w:hAnsi="仿宋" w:eastAsia="仿宋" w:cs="仿宋"/>
              <w:snapToGrid w:val="0"/>
              <w:kern w:val="0"/>
              <w:sz w:val="28"/>
              <w:szCs w:val="28"/>
            </w:rPr>
            <w:fldChar w:fldCharType="begin"/>
          </w:r>
          <w:r>
            <w:rPr>
              <w:rStyle w:val="18"/>
              <w:rFonts w:hint="eastAsia" w:ascii="仿宋" w:hAnsi="仿宋" w:eastAsia="仿宋" w:cs="仿宋"/>
              <w:snapToGrid w:val="0"/>
              <w:kern w:val="0"/>
              <w:sz w:val="28"/>
              <w:szCs w:val="28"/>
            </w:rPr>
            <w:instrText xml:space="preserve">TOC \o "1-3" \h \u </w:instrText>
          </w:r>
          <w:r>
            <w:rPr>
              <w:rStyle w:val="18"/>
              <w:rFonts w:hint="eastAsia" w:ascii="仿宋" w:hAnsi="仿宋" w:eastAsia="仿宋" w:cs="仿宋"/>
              <w:snapToGrid w:val="0"/>
              <w:kern w:val="0"/>
              <w:sz w:val="28"/>
              <w:szCs w:val="28"/>
            </w:rPr>
            <w:fldChar w:fldCharType="separate"/>
          </w:r>
          <w:r>
            <w:fldChar w:fldCharType="begin"/>
          </w:r>
          <w:r>
            <w:instrText xml:space="preserve"> HYPERLINK \l "_Toc7588" </w:instrText>
          </w:r>
          <w:r>
            <w:fldChar w:fldCharType="separate"/>
          </w:r>
          <w:r>
            <w:rPr>
              <w:rFonts w:hint="eastAsia" w:ascii="仿宋" w:hAnsi="仿宋" w:eastAsia="仿宋" w:cs="仿宋"/>
              <w:sz w:val="28"/>
              <w:szCs w:val="28"/>
            </w:rPr>
            <w:t>一、事项名称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_Toc7588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"_Toc2355" </w:instrText>
          </w:r>
          <w:r>
            <w:fldChar w:fldCharType="separate"/>
          </w:r>
          <w:r>
            <w:rPr>
              <w:rFonts w:hint="eastAsia" w:ascii="仿宋" w:hAnsi="仿宋" w:eastAsia="仿宋" w:cs="仿宋"/>
              <w:sz w:val="28"/>
              <w:szCs w:val="28"/>
            </w:rPr>
            <w:t>二、规则依据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_Toc2355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"_Toc12983" </w:instrText>
          </w:r>
          <w:r>
            <w:fldChar w:fldCharType="separate"/>
          </w:r>
          <w:r>
            <w:rPr>
              <w:rFonts w:hint="eastAsia" w:ascii="仿宋" w:hAnsi="仿宋" w:eastAsia="仿宋" w:cs="仿宋"/>
              <w:sz w:val="28"/>
              <w:szCs w:val="28"/>
            </w:rPr>
            <w:t>三、受理部门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_Toc12983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"_Toc1352" </w:instrText>
          </w:r>
          <w:r>
            <w:fldChar w:fldCharType="separate"/>
          </w:r>
          <w:r>
            <w:rPr>
              <w:rFonts w:hint="eastAsia" w:ascii="仿宋" w:hAnsi="仿宋" w:eastAsia="仿宋" w:cs="仿宋"/>
              <w:sz w:val="28"/>
              <w:szCs w:val="28"/>
            </w:rPr>
            <w:t>四、办理部门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_Toc1352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"_Toc9519" </w:instrText>
          </w:r>
          <w:r>
            <w:fldChar w:fldCharType="separate"/>
          </w:r>
          <w:r>
            <w:rPr>
              <w:rFonts w:hint="eastAsia" w:ascii="仿宋" w:hAnsi="仿宋" w:eastAsia="仿宋" w:cs="仿宋"/>
              <w:sz w:val="28"/>
              <w:szCs w:val="28"/>
            </w:rPr>
            <w:t>五、收费标准及依据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_Toc9519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"_Toc12250" </w:instrText>
          </w:r>
          <w:r>
            <w:fldChar w:fldCharType="separate"/>
          </w:r>
          <w:r>
            <w:rPr>
              <w:rFonts w:hint="eastAsia" w:ascii="仿宋" w:hAnsi="仿宋" w:eastAsia="仿宋" w:cs="仿宋"/>
              <w:sz w:val="28"/>
              <w:szCs w:val="28"/>
            </w:rPr>
            <w:t>六、办理时限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_Toc12250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"_Toc32039" </w:instrText>
          </w:r>
          <w:r>
            <w:fldChar w:fldCharType="separate"/>
          </w:r>
          <w:r>
            <w:rPr>
              <w:rFonts w:hint="eastAsia" w:ascii="仿宋" w:hAnsi="仿宋" w:eastAsia="仿宋" w:cs="仿宋"/>
              <w:sz w:val="28"/>
              <w:szCs w:val="28"/>
            </w:rPr>
            <w:t>七、办理条件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_Toc32039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"_Toc2051" </w:instrText>
          </w:r>
          <w:r>
            <w:fldChar w:fldCharType="separate"/>
          </w:r>
          <w:r>
            <w:rPr>
              <w:rFonts w:hint="eastAsia" w:ascii="仿宋" w:hAnsi="仿宋" w:eastAsia="仿宋" w:cs="仿宋"/>
              <w:sz w:val="28"/>
              <w:szCs w:val="28"/>
            </w:rPr>
            <w:t>八、办理材料清单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_Toc2051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"_Toc7957" </w:instrText>
          </w:r>
          <w:r>
            <w:fldChar w:fldCharType="separate"/>
          </w:r>
          <w:r>
            <w:rPr>
              <w:rFonts w:hint="eastAsia" w:ascii="仿宋" w:hAnsi="仿宋" w:eastAsia="仿宋" w:cs="仿宋"/>
              <w:sz w:val="28"/>
              <w:szCs w:val="28"/>
            </w:rPr>
            <w:t>九、材料接收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_Toc7957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"_Toc17181" </w:instrText>
          </w:r>
          <w:r>
            <w:fldChar w:fldCharType="separate"/>
          </w:r>
          <w:r>
            <w:rPr>
              <w:rFonts w:hint="eastAsia" w:ascii="仿宋" w:hAnsi="仿宋" w:eastAsia="仿宋" w:cs="仿宋"/>
              <w:sz w:val="28"/>
              <w:szCs w:val="28"/>
            </w:rPr>
            <w:t>十、办理流程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_Toc17181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"_Toc10941" </w:instrText>
          </w:r>
          <w:r>
            <w:fldChar w:fldCharType="separate"/>
          </w:r>
          <w:r>
            <w:rPr>
              <w:rFonts w:hint="eastAsia" w:ascii="仿宋" w:hAnsi="仿宋" w:eastAsia="仿宋" w:cs="仿宋"/>
              <w:sz w:val="28"/>
              <w:szCs w:val="28"/>
            </w:rPr>
            <w:t>十一、办理结果及送达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_Toc10941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"_Toc2660" </w:instrText>
          </w:r>
          <w:r>
            <w:fldChar w:fldCharType="separate"/>
          </w:r>
          <w:r>
            <w:rPr>
              <w:rFonts w:hint="eastAsia" w:ascii="仿宋" w:hAnsi="仿宋" w:eastAsia="仿宋" w:cs="仿宋"/>
              <w:sz w:val="28"/>
              <w:szCs w:val="28"/>
            </w:rPr>
            <w:t>十二、咨询途径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_Toc2660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"_Toc13004" </w:instrText>
          </w:r>
          <w:r>
            <w:fldChar w:fldCharType="separate"/>
          </w:r>
          <w:r>
            <w:rPr>
              <w:rFonts w:hint="eastAsia" w:ascii="仿宋" w:hAnsi="仿宋" w:eastAsia="仿宋" w:cs="仿宋"/>
              <w:sz w:val="28"/>
              <w:szCs w:val="28"/>
            </w:rPr>
            <w:t>十三、办公地址和时间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_Toc13004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7"/>
            <w:tabs>
              <w:tab w:val="right" w:leader="dot" w:pos="8306"/>
            </w:tabs>
            <w:spacing w:line="400" w:lineRule="exact"/>
            <w:ind w:left="420" w:leftChars="200"/>
            <w:rPr>
              <w:rFonts w:ascii="仿宋" w:hAnsi="仿宋" w:eastAsia="仿宋" w:cs="仿宋"/>
              <w:sz w:val="28"/>
              <w:szCs w:val="28"/>
            </w:rPr>
          </w:pPr>
          <w:r>
            <w:fldChar w:fldCharType="begin"/>
          </w:r>
          <w:r>
            <w:instrText xml:space="preserve"> HYPERLINK \l "_Toc681" </w:instrText>
          </w:r>
          <w:r>
            <w:fldChar w:fldCharType="separate"/>
          </w:r>
          <w:r>
            <w:rPr>
              <w:rFonts w:hint="eastAsia" w:ascii="仿宋" w:hAnsi="仿宋" w:eastAsia="仿宋" w:cs="仿宋"/>
              <w:sz w:val="28"/>
              <w:szCs w:val="28"/>
            </w:rPr>
            <w:t>（一）办公地址</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_Toc681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7"/>
            <w:tabs>
              <w:tab w:val="right" w:leader="dot" w:pos="8306"/>
            </w:tabs>
            <w:spacing w:line="400" w:lineRule="exact"/>
            <w:ind w:left="420" w:leftChars="200"/>
            <w:rPr>
              <w:rFonts w:ascii="仿宋" w:hAnsi="仿宋" w:eastAsia="仿宋" w:cs="仿宋"/>
              <w:sz w:val="28"/>
              <w:szCs w:val="28"/>
            </w:rPr>
          </w:pPr>
          <w:r>
            <w:fldChar w:fldCharType="begin"/>
          </w:r>
          <w:r>
            <w:instrText xml:space="preserve"> HYPERLINK \l "_Toc6720" </w:instrText>
          </w:r>
          <w:r>
            <w:fldChar w:fldCharType="separate"/>
          </w:r>
          <w:r>
            <w:rPr>
              <w:rFonts w:hint="eastAsia" w:ascii="仿宋" w:hAnsi="仿宋" w:eastAsia="仿宋" w:cs="仿宋"/>
              <w:sz w:val="28"/>
              <w:szCs w:val="28"/>
            </w:rPr>
            <w:t>（二）办公时间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_Toc6720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3"/>
            <w:widowControl/>
            <w:tabs>
              <w:tab w:val="right" w:leader="dot" w:pos="8296"/>
            </w:tabs>
            <w:kinsoku w:val="0"/>
            <w:autoSpaceDE w:val="0"/>
            <w:autoSpaceDN w:val="0"/>
            <w:adjustRightInd w:val="0"/>
            <w:snapToGrid w:val="0"/>
            <w:spacing w:line="400" w:lineRule="exact"/>
            <w:ind w:left="600" w:leftChars="0"/>
            <w:jc w:val="left"/>
            <w:textAlignment w:val="baseline"/>
            <w:rPr>
              <w:rStyle w:val="18"/>
              <w:rFonts w:ascii="仿宋" w:hAnsi="仿宋" w:eastAsia="仿宋" w:cs="仿宋"/>
              <w:snapToGrid w:val="0"/>
              <w:kern w:val="0"/>
              <w:sz w:val="30"/>
              <w:szCs w:val="21"/>
            </w:rPr>
            <w:sectPr>
              <w:footerReference r:id="rId3" w:type="default"/>
              <w:pgSz w:w="11906" w:h="16838"/>
              <w:pgMar w:top="1440" w:right="1800" w:bottom="1440" w:left="1800" w:header="851" w:footer="992" w:gutter="0"/>
              <w:pgNumType w:start="1"/>
              <w:cols w:space="425" w:num="1"/>
              <w:docGrid w:type="lines" w:linePitch="312" w:charSpace="0"/>
            </w:sectPr>
          </w:pPr>
          <w:r>
            <w:rPr>
              <w:rStyle w:val="18"/>
              <w:rFonts w:hint="eastAsia" w:ascii="仿宋" w:hAnsi="仿宋" w:eastAsia="仿宋" w:cs="仿宋"/>
              <w:snapToGrid w:val="0"/>
              <w:kern w:val="0"/>
              <w:sz w:val="28"/>
              <w:szCs w:val="28"/>
            </w:rPr>
            <w:fldChar w:fldCharType="end"/>
          </w:r>
        </w:p>
      </w:sdtContent>
    </w:sdt>
    <w:p>
      <w:pPr>
        <w:pStyle w:val="3"/>
        <w:ind w:firstLine="640" w:firstLineChars="200"/>
        <w:rPr>
          <w:rFonts w:ascii="Times New Roman" w:hAnsi="Times New Roman" w:cs="Times New Roman"/>
        </w:rPr>
      </w:pPr>
      <w:bookmarkStart w:id="0" w:name="_Toc7588"/>
      <w:bookmarkStart w:id="1" w:name="_Toc85216126"/>
      <w:bookmarkStart w:id="2" w:name="_Toc738"/>
      <w:bookmarkStart w:id="3" w:name="_Toc18714"/>
      <w:r>
        <w:rPr>
          <w:rFonts w:ascii="Times New Roman" w:hAnsi="Times New Roman" w:cs="Times New Roman"/>
        </w:rPr>
        <w:t>一、事项名称</w:t>
      </w:r>
      <w:bookmarkEnd w:id="0"/>
      <w:bookmarkEnd w:id="1"/>
      <w:bookmarkEnd w:id="2"/>
      <w:bookmarkEnd w:id="3"/>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股票期权交易权限申请与开通</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4" w:name="_Toc2355"/>
      <w:bookmarkStart w:id="5" w:name="_Toc4729"/>
      <w:bookmarkStart w:id="6" w:name="_Toc85216127"/>
      <w:bookmarkStart w:id="7" w:name="_Toc25485"/>
      <w:r>
        <w:rPr>
          <w:rFonts w:ascii="Times New Roman" w:hAnsi="Times New Roman" w:cs="Times New Roman"/>
        </w:rPr>
        <w:t>二、规则依据</w:t>
      </w:r>
      <w:bookmarkEnd w:id="4"/>
      <w:bookmarkEnd w:id="5"/>
      <w:bookmarkEnd w:id="6"/>
      <w:bookmarkEnd w:id="7"/>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《深圳证券交易所股票期权试点证券公司自营业务指南》</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《深圳证券交易所股票期权试点期货公司经纪业务指南》</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《深圳证券交易所股票期权试点证券公司经纪业务指南》</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8" w:name="_Toc85216128"/>
      <w:bookmarkStart w:id="9" w:name="_Toc11158"/>
      <w:bookmarkStart w:id="10" w:name="_Toc28598"/>
      <w:bookmarkStart w:id="11" w:name="_Toc12983"/>
      <w:r>
        <w:rPr>
          <w:rFonts w:ascii="Times New Roman" w:hAnsi="Times New Roman" w:cs="Times New Roman"/>
        </w:rPr>
        <w:t>三、受理部门</w:t>
      </w:r>
      <w:bookmarkEnd w:id="8"/>
      <w:bookmarkEnd w:id="9"/>
      <w:bookmarkEnd w:id="10"/>
      <w:bookmarkEnd w:id="11"/>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深圳证券交易所会员管理部</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12" w:name="_Toc1352"/>
      <w:bookmarkStart w:id="13" w:name="_Toc27443"/>
      <w:bookmarkStart w:id="14" w:name="_Toc30086"/>
      <w:bookmarkStart w:id="15" w:name="_Toc85216129"/>
      <w:r>
        <w:rPr>
          <w:rFonts w:ascii="Times New Roman" w:hAnsi="Times New Roman" w:cs="Times New Roman"/>
        </w:rPr>
        <w:t>四、办理部门</w:t>
      </w:r>
      <w:bookmarkEnd w:id="12"/>
      <w:bookmarkEnd w:id="13"/>
      <w:bookmarkEnd w:id="14"/>
      <w:bookmarkEnd w:id="15"/>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深圳证券交易所会员管理部</w:t>
      </w:r>
    </w:p>
    <w:p>
      <w:pPr>
        <w:spacing w:line="560" w:lineRule="exact"/>
        <w:ind w:firstLine="640" w:firstLineChars="200"/>
        <w:rPr>
          <w:rFonts w:ascii="Times New Roman" w:hAnsi="Times New Roman" w:eastAsia="黑体" w:cs="Times New Roman"/>
          <w:sz w:val="32"/>
          <w:szCs w:val="32"/>
        </w:rPr>
      </w:pPr>
    </w:p>
    <w:p>
      <w:pPr>
        <w:pStyle w:val="3"/>
        <w:ind w:firstLine="640" w:firstLineChars="200"/>
        <w:rPr>
          <w:rFonts w:ascii="Times New Roman" w:hAnsi="Times New Roman" w:cs="Times New Roman"/>
        </w:rPr>
      </w:pPr>
      <w:bookmarkStart w:id="16" w:name="_Toc85216130"/>
      <w:bookmarkStart w:id="17" w:name="_Toc14609"/>
      <w:bookmarkStart w:id="18" w:name="_Toc22913"/>
      <w:bookmarkStart w:id="19" w:name="_Toc9519"/>
      <w:r>
        <w:rPr>
          <w:rFonts w:ascii="Times New Roman" w:hAnsi="Times New Roman" w:cs="Times New Roman"/>
        </w:rPr>
        <w:t>五、收费标准及依据</w:t>
      </w:r>
      <w:bookmarkEnd w:id="16"/>
      <w:bookmarkEnd w:id="17"/>
      <w:bookmarkEnd w:id="18"/>
      <w:bookmarkEnd w:id="19"/>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不收费</w:t>
      </w:r>
    </w:p>
    <w:p>
      <w:pPr>
        <w:adjustRightInd w:val="0"/>
        <w:snapToGrid w:val="0"/>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eastAsia="仿宋" w:cs="Times New Roman"/>
        </w:rPr>
      </w:pPr>
      <w:bookmarkStart w:id="20" w:name="_Toc27188"/>
      <w:bookmarkStart w:id="21" w:name="_Toc9932"/>
      <w:bookmarkStart w:id="22" w:name="_Toc85216133"/>
      <w:bookmarkStart w:id="23" w:name="_Toc12250"/>
      <w:r>
        <w:rPr>
          <w:rFonts w:ascii="Times New Roman" w:hAnsi="Times New Roman" w:cs="Times New Roman"/>
        </w:rPr>
        <w:t>六、办理时限</w:t>
      </w:r>
      <w:bookmarkEnd w:id="20"/>
      <w:bookmarkEnd w:id="21"/>
      <w:bookmarkEnd w:id="22"/>
      <w:bookmarkEnd w:id="23"/>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在线提交申请后，本所在五个交易日内予以办理</w:t>
      </w:r>
    </w:p>
    <w:p>
      <w:pPr>
        <w:pStyle w:val="3"/>
        <w:ind w:firstLine="640" w:firstLineChars="200"/>
        <w:rPr>
          <w:rFonts w:ascii="Times New Roman" w:hAnsi="Times New Roman" w:cs="Times New Roman"/>
        </w:rPr>
      </w:pPr>
      <w:bookmarkStart w:id="24" w:name="_Toc32039"/>
      <w:bookmarkStart w:id="25" w:name="_Toc7994"/>
      <w:bookmarkStart w:id="26" w:name="_Toc85216134"/>
      <w:bookmarkStart w:id="27" w:name="_Toc27512"/>
      <w:r>
        <w:rPr>
          <w:rFonts w:ascii="Times New Roman" w:hAnsi="Times New Roman" w:cs="Times New Roman"/>
        </w:rPr>
        <w:t>七、办理条件</w:t>
      </w:r>
      <w:bookmarkEnd w:id="24"/>
      <w:bookmarkEnd w:id="25"/>
      <w:bookmarkEnd w:id="26"/>
      <w:bookmarkEnd w:id="27"/>
    </w:p>
    <w:p>
      <w:pPr>
        <w:widowControl/>
        <w:spacing w:line="560" w:lineRule="exact"/>
        <w:ind w:firstLine="640" w:firstLineChars="200"/>
        <w:jc w:val="lef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满足《证券期货经营机构参与股票期权交易试点指引》《交易规则》相关要求，且通过本所期权业务现场检查的证券公司可以向本所申请开通股票期权交易权限。</w:t>
      </w:r>
    </w:p>
    <w:p>
      <w:pPr>
        <w:widowControl/>
        <w:spacing w:line="560" w:lineRule="exact"/>
        <w:ind w:firstLine="640" w:firstLineChars="200"/>
        <w:jc w:val="left"/>
        <w:rPr>
          <w:rFonts w:ascii="仿宋" w:hAnsi="仿宋" w:eastAsia="仿宋" w:cs="仿宋"/>
          <w:color w:val="000000"/>
          <w:kern w:val="0"/>
          <w:sz w:val="32"/>
          <w:szCs w:val="32"/>
          <w:lang w:bidi="ar"/>
        </w:rPr>
      </w:pPr>
    </w:p>
    <w:p>
      <w:pPr>
        <w:pStyle w:val="3"/>
        <w:ind w:firstLine="640" w:firstLineChars="200"/>
        <w:rPr>
          <w:rFonts w:eastAsiaTheme="minorEastAsia"/>
          <w:b/>
        </w:rPr>
      </w:pPr>
      <w:bookmarkStart w:id="28" w:name="_Toc28930"/>
      <w:bookmarkStart w:id="29" w:name="_Toc2051"/>
      <w:bookmarkStart w:id="30" w:name="_Toc85216138"/>
      <w:bookmarkStart w:id="31" w:name="_Toc15108"/>
      <w:r>
        <w:rPr>
          <w:rFonts w:hint="eastAsia" w:ascii="Times New Roman" w:hAnsi="Times New Roman" w:cs="Times New Roman"/>
        </w:rPr>
        <w:t>八、</w:t>
      </w:r>
      <w:r>
        <w:rPr>
          <w:rFonts w:ascii="Times New Roman" w:hAnsi="Times New Roman" w:cs="Times New Roman"/>
        </w:rPr>
        <w:t>办理材料清单</w:t>
      </w:r>
      <w:bookmarkEnd w:id="28"/>
      <w:bookmarkEnd w:id="29"/>
      <w:bookmarkEnd w:id="30"/>
      <w:bookmarkEnd w:id="31"/>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（一）首次申请股票期权交易权限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1.《股票期权经纪业务准备情况表》（证券公司或期货公司的经纪业务）或《股票期权自营业务准备情况表》（证券公司的自营业务），需分管股票期权经纪（或自营）业务的高级管理人员签字并加盖公章。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2.已开通的期权结算账户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（二）后续开通股票期权交易权限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仅需按会员业务专区中的申请表单填写期权结算账号等信息，无需提交其他申请材料。</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32" w:name="_Toc2723"/>
      <w:bookmarkStart w:id="33" w:name="_Toc7957"/>
      <w:bookmarkStart w:id="34" w:name="_Toc85216139"/>
      <w:bookmarkStart w:id="35" w:name="_Toc18947"/>
      <w:r>
        <w:rPr>
          <w:rFonts w:hint="eastAsia" w:ascii="Times New Roman" w:hAnsi="Times New Roman" w:cs="Times New Roman"/>
        </w:rPr>
        <w:t>九</w:t>
      </w:r>
      <w:r>
        <w:rPr>
          <w:rFonts w:ascii="Times New Roman" w:hAnsi="Times New Roman" w:cs="Times New Roman"/>
        </w:rPr>
        <w:t>、材料接收</w:t>
      </w:r>
      <w:bookmarkEnd w:id="32"/>
      <w:bookmarkEnd w:id="33"/>
      <w:bookmarkEnd w:id="34"/>
      <w:bookmarkEnd w:id="35"/>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rPr>
        <w:t>. 通过本所“会员业务专区”-“公文及报表上传”-“股票期权材料上传”，上传经纪或自营业务情况准备表；</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 通过本所“会员业务专区”-“业务办理”-“交易单元业务”-“期权交易权限开通”栏目办理。</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36" w:name="_Toc17181"/>
      <w:bookmarkStart w:id="37" w:name="_Toc32018"/>
      <w:bookmarkStart w:id="38" w:name="_Toc85216143"/>
      <w:bookmarkStart w:id="39" w:name="_Toc4163"/>
      <w:r>
        <w:rPr>
          <w:rFonts w:ascii="Times New Roman" w:hAnsi="Times New Roman" w:cs="Times New Roman"/>
        </w:rPr>
        <w:t>十、办理流程</w:t>
      </w:r>
      <w:bookmarkEnd w:id="36"/>
      <w:bookmarkEnd w:id="37"/>
      <w:bookmarkEnd w:id="38"/>
      <w:bookmarkEnd w:id="39"/>
    </w:p>
    <w:p>
      <w:pPr>
        <w:adjustRightInd w:val="0"/>
        <w:snapToGrid w:val="0"/>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会员或期货公司通过</w:t>
      </w:r>
      <w:r>
        <w:rPr>
          <w:rFonts w:hint="eastAsia" w:ascii="仿宋" w:hAnsi="仿宋" w:eastAsia="仿宋" w:cs="仿宋"/>
          <w:color w:val="000000"/>
          <w:kern w:val="0"/>
          <w:sz w:val="32"/>
          <w:szCs w:val="32"/>
          <w:lang w:bidi="ar"/>
        </w:rPr>
        <w:t>本所期权业务现场检查</w:t>
      </w:r>
      <w:r>
        <w:rPr>
          <w:rFonts w:hint="eastAsia" w:ascii="仿宋" w:hAnsi="仿宋" w:eastAsia="仿宋" w:cs="Times New Roman"/>
          <w:sz w:val="32"/>
          <w:szCs w:val="32"/>
        </w:rPr>
        <w:t>后，可以通过“会员业务专区”-“业务办理”-“交易单元业务”-“</w:t>
      </w:r>
      <w:r>
        <w:rPr>
          <w:rFonts w:hint="eastAsia" w:ascii="Times New Roman" w:hAnsi="Times New Roman" w:eastAsia="仿宋" w:cs="Times New Roman"/>
          <w:sz w:val="32"/>
          <w:szCs w:val="32"/>
        </w:rPr>
        <w:t>期权交易权限开通</w:t>
      </w:r>
      <w:r>
        <w:rPr>
          <w:rFonts w:hint="eastAsia" w:ascii="仿宋" w:hAnsi="仿宋" w:eastAsia="仿宋" w:cs="Times New Roman"/>
          <w:sz w:val="32"/>
          <w:szCs w:val="32"/>
        </w:rPr>
        <w:t>”栏目下添加所需开通期权交易权限的交易单元。</w:t>
      </w:r>
    </w:p>
    <w:p>
      <w:pPr>
        <w:spacing w:line="560" w:lineRule="exact"/>
        <w:ind w:firstLine="643" w:firstLineChars="200"/>
        <w:rPr>
          <w:rFonts w:ascii="Times New Roman" w:hAnsi="Times New Roman" w:eastAsia="仿宋" w:cs="Times New Roman"/>
          <w:b/>
          <w:bCs/>
          <w:sz w:val="32"/>
          <w:szCs w:val="32"/>
        </w:rPr>
      </w:pPr>
    </w:p>
    <w:p>
      <w:pPr>
        <w:pStyle w:val="3"/>
        <w:ind w:firstLine="640" w:firstLineChars="200"/>
        <w:rPr>
          <w:rFonts w:ascii="Times New Roman" w:hAnsi="Times New Roman" w:cs="Times New Roman"/>
        </w:rPr>
      </w:pPr>
      <w:bookmarkStart w:id="40" w:name="_Toc85216146"/>
      <w:bookmarkStart w:id="41" w:name="_Toc18822"/>
      <w:bookmarkStart w:id="42" w:name="_Toc30960"/>
      <w:bookmarkStart w:id="43" w:name="_Toc10941"/>
      <w:r>
        <w:rPr>
          <w:rFonts w:ascii="Times New Roman" w:hAnsi="Times New Roman" w:cs="Times New Roman"/>
        </w:rPr>
        <w:t>十</w:t>
      </w:r>
      <w:r>
        <w:rPr>
          <w:rFonts w:hint="eastAsia" w:ascii="Times New Roman" w:hAnsi="Times New Roman" w:cs="Times New Roman"/>
        </w:rPr>
        <w:t>一</w:t>
      </w:r>
      <w:r>
        <w:rPr>
          <w:rFonts w:ascii="Times New Roman" w:hAnsi="Times New Roman" w:cs="Times New Roman"/>
        </w:rPr>
        <w:t>、办理结果及送达</w:t>
      </w:r>
      <w:bookmarkEnd w:id="40"/>
      <w:bookmarkEnd w:id="41"/>
      <w:bookmarkEnd w:id="42"/>
      <w:bookmarkEnd w:id="43"/>
    </w:p>
    <w:p>
      <w:pPr>
        <w:adjustRightInd w:val="0"/>
        <w:snapToGrid w:val="0"/>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股票期权交易权限开通后可通过会员专区查询。</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44" w:name="_Toc26270"/>
      <w:bookmarkStart w:id="45" w:name="_Toc85216147"/>
      <w:bookmarkStart w:id="46" w:name="_Toc14920"/>
      <w:bookmarkStart w:id="47" w:name="_Toc2660"/>
      <w:r>
        <w:rPr>
          <w:rFonts w:ascii="Times New Roman" w:hAnsi="Times New Roman" w:cs="Times New Roman"/>
        </w:rPr>
        <w:t>十</w:t>
      </w:r>
      <w:r>
        <w:rPr>
          <w:rFonts w:hint="eastAsia" w:ascii="Times New Roman" w:hAnsi="Times New Roman" w:cs="Times New Roman"/>
        </w:rPr>
        <w:t>二</w:t>
      </w:r>
      <w:r>
        <w:rPr>
          <w:rFonts w:ascii="Times New Roman" w:hAnsi="Times New Roman" w:cs="Times New Roman"/>
        </w:rPr>
        <w:t>、咨询途径</w:t>
      </w:r>
      <w:bookmarkEnd w:id="44"/>
      <w:bookmarkEnd w:id="45"/>
      <w:bookmarkEnd w:id="46"/>
      <w:bookmarkEnd w:id="47"/>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张女士，电话：0755-8866 8095</w:t>
      </w:r>
    </w:p>
    <w:p>
      <w:pPr>
        <w:spacing w:line="560" w:lineRule="exact"/>
        <w:ind w:firstLine="1920" w:firstLineChars="600"/>
        <w:rPr>
          <w:rFonts w:ascii="仿宋" w:hAnsi="仿宋" w:eastAsia="仿宋" w:cs="仿宋"/>
          <w:sz w:val="32"/>
          <w:szCs w:val="32"/>
        </w:rPr>
      </w:pPr>
      <w:r>
        <w:rPr>
          <w:rFonts w:hint="eastAsia" w:ascii="仿宋" w:hAnsi="仿宋" w:eastAsia="仿宋" w:cs="仿宋"/>
          <w:sz w:val="32"/>
          <w:szCs w:val="32"/>
        </w:rPr>
        <w:t>邮箱：</w:t>
      </w:r>
      <w:r>
        <w:fldChar w:fldCharType="begin"/>
      </w:r>
      <w:r>
        <w:instrText xml:space="preserve"> HYPERLINK "mailto:wang-hui@szse.cn" </w:instrText>
      </w:r>
      <w:r>
        <w:fldChar w:fldCharType="separate"/>
      </w:r>
      <w:r>
        <w:rPr>
          <w:rFonts w:hint="eastAsia" w:ascii="仿宋" w:hAnsi="仿宋" w:eastAsia="仿宋" w:cs="仿宋"/>
          <w:sz w:val="32"/>
          <w:szCs w:val="32"/>
        </w:rPr>
        <w:t>zhangping@szse.cn</w:t>
      </w:r>
      <w:r>
        <w:rPr>
          <w:rFonts w:hint="eastAsia" w:ascii="仿宋" w:hAnsi="仿宋" w:eastAsia="仿宋" w:cs="仿宋"/>
          <w:sz w:val="32"/>
          <w:szCs w:val="32"/>
        </w:rPr>
        <w:fldChar w:fldCharType="end"/>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邬女士，电话：0755-8866 8157</w:t>
      </w:r>
    </w:p>
    <w:p>
      <w:pPr>
        <w:spacing w:line="560" w:lineRule="exact"/>
        <w:ind w:firstLine="1920" w:firstLineChars="600"/>
        <w:rPr>
          <w:rFonts w:ascii="仿宋" w:hAnsi="仿宋" w:eastAsia="仿宋" w:cs="仿宋"/>
          <w:sz w:val="32"/>
          <w:szCs w:val="32"/>
        </w:rPr>
      </w:pPr>
      <w:r>
        <w:rPr>
          <w:rFonts w:hint="eastAsia" w:ascii="仿宋" w:hAnsi="仿宋" w:eastAsia="仿宋" w:cs="仿宋"/>
          <w:sz w:val="32"/>
          <w:szCs w:val="32"/>
        </w:rPr>
        <w:t>邮箱：</w:t>
      </w:r>
      <w:r>
        <w:fldChar w:fldCharType="begin"/>
      </w:r>
      <w:r>
        <w:instrText xml:space="preserve"> HYPERLINK "mailto:wang-hui@szse.cn" </w:instrText>
      </w:r>
      <w:r>
        <w:fldChar w:fldCharType="separate"/>
      </w:r>
      <w:r>
        <w:rPr>
          <w:rFonts w:hint="eastAsia" w:ascii="仿宋" w:hAnsi="仿宋" w:eastAsia="仿宋" w:cs="仿宋"/>
          <w:sz w:val="32"/>
          <w:szCs w:val="32"/>
        </w:rPr>
        <w:t>wushan@szse.cn</w:t>
      </w:r>
      <w:r>
        <w:rPr>
          <w:rFonts w:hint="eastAsia" w:ascii="仿宋" w:hAnsi="仿宋" w:eastAsia="仿宋" w:cs="仿宋"/>
          <w:sz w:val="32"/>
          <w:szCs w:val="32"/>
        </w:rPr>
        <w:fldChar w:fldCharType="end"/>
      </w:r>
    </w:p>
    <w:p>
      <w:pPr>
        <w:spacing w:line="560" w:lineRule="exact"/>
        <w:ind w:firstLine="640" w:firstLineChars="200"/>
        <w:rPr>
          <w:rFonts w:ascii="仿宋" w:hAnsi="仿宋" w:eastAsia="仿宋" w:cs="仿宋"/>
          <w:sz w:val="32"/>
          <w:szCs w:val="32"/>
        </w:rPr>
      </w:pPr>
    </w:p>
    <w:p>
      <w:pPr>
        <w:pStyle w:val="3"/>
        <w:ind w:firstLine="640" w:firstLineChars="200"/>
        <w:rPr>
          <w:rFonts w:ascii="Times New Roman" w:hAnsi="Times New Roman" w:cs="Times New Roman"/>
        </w:rPr>
      </w:pPr>
      <w:bookmarkStart w:id="48" w:name="_Toc24979"/>
      <w:bookmarkStart w:id="49" w:name="_Toc85216148"/>
      <w:bookmarkStart w:id="50" w:name="_Toc13004"/>
      <w:bookmarkStart w:id="51" w:name="_Toc22637"/>
      <w:r>
        <w:rPr>
          <w:rFonts w:ascii="Times New Roman" w:hAnsi="Times New Roman" w:cs="Times New Roman"/>
        </w:rPr>
        <w:t>十</w:t>
      </w:r>
      <w:r>
        <w:rPr>
          <w:rFonts w:hint="eastAsia" w:ascii="Times New Roman" w:hAnsi="Times New Roman" w:cs="Times New Roman"/>
        </w:rPr>
        <w:t>三</w:t>
      </w:r>
      <w:r>
        <w:rPr>
          <w:rFonts w:ascii="Times New Roman" w:hAnsi="Times New Roman" w:cs="Times New Roman"/>
        </w:rPr>
        <w:t>、办公地址和时间</w:t>
      </w:r>
      <w:bookmarkEnd w:id="48"/>
      <w:bookmarkEnd w:id="49"/>
      <w:bookmarkEnd w:id="50"/>
      <w:bookmarkEnd w:id="51"/>
    </w:p>
    <w:p>
      <w:pPr>
        <w:pStyle w:val="4"/>
        <w:ind w:firstLine="643"/>
        <w:rPr>
          <w:rFonts w:ascii="仿宋" w:hAnsi="仿宋" w:cs="Times New Roman"/>
        </w:rPr>
      </w:pPr>
      <w:bookmarkStart w:id="52" w:name="_Toc85216149"/>
      <w:bookmarkStart w:id="53" w:name="_Toc20843"/>
      <w:bookmarkStart w:id="54" w:name="_Toc30313"/>
      <w:bookmarkStart w:id="55" w:name="_Toc681"/>
      <w:r>
        <w:rPr>
          <w:rFonts w:ascii="仿宋" w:hAnsi="仿宋" w:cs="Times New Roman"/>
        </w:rPr>
        <w:t>（一）办公地址</w:t>
      </w:r>
      <w:bookmarkEnd w:id="52"/>
      <w:bookmarkEnd w:id="53"/>
      <w:bookmarkEnd w:id="54"/>
      <w:bookmarkEnd w:id="55"/>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深圳市深南大道2012号深圳证券交易所</w:t>
      </w:r>
      <w:r>
        <w:rPr>
          <w:rFonts w:hint="eastAsia" w:ascii="仿宋" w:hAnsi="仿宋" w:eastAsia="仿宋" w:cs="Times New Roman"/>
          <w:sz w:val="32"/>
          <w:szCs w:val="32"/>
        </w:rPr>
        <w:t>9</w:t>
      </w:r>
      <w:r>
        <w:rPr>
          <w:rFonts w:ascii="仿宋" w:hAnsi="仿宋" w:eastAsia="仿宋" w:cs="Times New Roman"/>
          <w:sz w:val="32"/>
          <w:szCs w:val="32"/>
        </w:rPr>
        <w:t>楼9</w:t>
      </w:r>
      <w:r>
        <w:rPr>
          <w:rFonts w:hint="eastAsia" w:ascii="仿宋" w:hAnsi="仿宋" w:eastAsia="仿宋" w:cs="Times New Roman"/>
          <w:sz w:val="32"/>
          <w:szCs w:val="32"/>
        </w:rPr>
        <w:t>22</w:t>
      </w:r>
      <w:r>
        <w:rPr>
          <w:rFonts w:ascii="仿宋" w:hAnsi="仿宋" w:eastAsia="仿宋" w:cs="Times New Roman"/>
          <w:sz w:val="32"/>
          <w:szCs w:val="32"/>
        </w:rPr>
        <w:t>室</w:t>
      </w:r>
    </w:p>
    <w:p>
      <w:pPr>
        <w:pStyle w:val="4"/>
        <w:ind w:firstLine="643"/>
        <w:rPr>
          <w:rFonts w:ascii="仿宋" w:hAnsi="仿宋" w:cs="Times New Roman"/>
        </w:rPr>
      </w:pPr>
      <w:bookmarkStart w:id="56" w:name="_Toc85216150"/>
      <w:bookmarkStart w:id="57" w:name="_Toc5742"/>
      <w:bookmarkStart w:id="58" w:name="_Toc6720"/>
      <w:bookmarkStart w:id="59" w:name="_Toc6500"/>
      <w:r>
        <w:rPr>
          <w:rFonts w:ascii="仿宋" w:hAnsi="仿宋" w:cs="Times New Roman"/>
        </w:rPr>
        <w:t>（二）办公时间</w:t>
      </w:r>
      <w:bookmarkEnd w:id="56"/>
      <w:bookmarkEnd w:id="57"/>
      <w:bookmarkEnd w:id="58"/>
      <w:bookmarkEnd w:id="59"/>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周一至周五 8:30-11:30;13:30-17:00。</w:t>
      </w:r>
    </w:p>
    <w:p>
      <w:pPr>
        <w:spacing w:line="560" w:lineRule="exact"/>
        <w:rPr>
          <w:rFonts w:ascii="仿宋" w:hAnsi="仿宋" w:eastAsia="仿宋" w:cs="Times New Roman"/>
          <w:sz w:val="32"/>
          <w:szCs w:val="32"/>
        </w:rPr>
      </w:pPr>
    </w:p>
    <w:p>
      <w:pPr>
        <w:spacing w:line="500" w:lineRule="exact"/>
        <w:rPr>
          <w:rFonts w:ascii="方正仿宋简体" w:eastAsia="方正仿宋简体"/>
          <w:kern w:val="0"/>
          <w:sz w:val="28"/>
          <w:szCs w:val="28"/>
        </w:rPr>
      </w:pPr>
    </w:p>
    <w:p/>
    <w:sectPr>
      <w:footerReference r:id="rId5" w:type="firs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807183"/>
    </w:sdtPr>
    <w:sdtContent>
      <w:p>
        <w:pPr>
          <w:pStyle w:val="10"/>
          <w:tabs>
            <w:tab w:val="left" w:pos="1354"/>
          </w:tabs>
        </w:pPr>
        <w:r>
          <w:tab/>
        </w:r>
        <w:r>
          <w:tab/>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4650486"/>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9895861"/>
    </w:sdtPr>
    <w:sdtContent>
      <w:p>
        <w:pPr>
          <w:pStyle w:val="10"/>
          <w:jc w:val="center"/>
        </w:pPr>
        <w:r>
          <w:fldChar w:fldCharType="begin"/>
        </w:r>
        <w:r>
          <w:instrText xml:space="preserve">PAGE   \* MERGEFORMAT</w:instrText>
        </w:r>
        <w:r>
          <w:fldChar w:fldCharType="separate"/>
        </w:r>
        <w:r>
          <w:rPr>
            <w:lang w:val="zh-CN"/>
          </w:rPr>
          <w:t>1</w:t>
        </w:r>
        <w:r>
          <w:fldChar w:fldCharType="end"/>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D3A"/>
    <w:rsid w:val="000E3C7F"/>
    <w:rsid w:val="0020392E"/>
    <w:rsid w:val="002B013A"/>
    <w:rsid w:val="0041071C"/>
    <w:rsid w:val="00457909"/>
    <w:rsid w:val="005B4F79"/>
    <w:rsid w:val="00701135"/>
    <w:rsid w:val="00810E5C"/>
    <w:rsid w:val="008F4272"/>
    <w:rsid w:val="009A1AD5"/>
    <w:rsid w:val="009B74A7"/>
    <w:rsid w:val="009D7FF2"/>
    <w:rsid w:val="009F3F80"/>
    <w:rsid w:val="00A65ECD"/>
    <w:rsid w:val="00B506B2"/>
    <w:rsid w:val="00B91B1D"/>
    <w:rsid w:val="00BA7934"/>
    <w:rsid w:val="00CF24AA"/>
    <w:rsid w:val="00D0011E"/>
    <w:rsid w:val="00D36474"/>
    <w:rsid w:val="00D72D3A"/>
    <w:rsid w:val="00E024A8"/>
    <w:rsid w:val="021B3902"/>
    <w:rsid w:val="090D4176"/>
    <w:rsid w:val="0CED657E"/>
    <w:rsid w:val="127F3198"/>
    <w:rsid w:val="141F0426"/>
    <w:rsid w:val="18BA4F3A"/>
    <w:rsid w:val="1EC34638"/>
    <w:rsid w:val="205E396E"/>
    <w:rsid w:val="24951681"/>
    <w:rsid w:val="255B32D7"/>
    <w:rsid w:val="26377C98"/>
    <w:rsid w:val="2F986E60"/>
    <w:rsid w:val="3FFD636A"/>
    <w:rsid w:val="41015320"/>
    <w:rsid w:val="425111A6"/>
    <w:rsid w:val="4E407E9F"/>
    <w:rsid w:val="4EDB4394"/>
    <w:rsid w:val="5239431E"/>
    <w:rsid w:val="532C7EB0"/>
    <w:rsid w:val="54D951A6"/>
    <w:rsid w:val="5AFC530E"/>
    <w:rsid w:val="5D4B52BA"/>
    <w:rsid w:val="60775FD5"/>
    <w:rsid w:val="63923A1B"/>
    <w:rsid w:val="66E354FA"/>
    <w:rsid w:val="69E12060"/>
    <w:rsid w:val="6FE611FB"/>
    <w:rsid w:val="71197EE3"/>
    <w:rsid w:val="74C60911"/>
    <w:rsid w:val="74E43F4D"/>
    <w:rsid w:val="79B5154D"/>
    <w:rsid w:val="7DE93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line="560" w:lineRule="exact"/>
      <w:outlineLvl w:val="1"/>
    </w:pPr>
    <w:rPr>
      <w:rFonts w:eastAsia="黑体" w:asciiTheme="majorHAnsi" w:hAnsiTheme="majorHAnsi" w:cstheme="majorBidi"/>
      <w:bCs/>
      <w:sz w:val="32"/>
      <w:szCs w:val="32"/>
    </w:rPr>
  </w:style>
  <w:style w:type="paragraph" w:styleId="4">
    <w:name w:val="heading 3"/>
    <w:basedOn w:val="1"/>
    <w:next w:val="1"/>
    <w:link w:val="20"/>
    <w:unhideWhenUsed/>
    <w:qFormat/>
    <w:uiPriority w:val="9"/>
    <w:pPr>
      <w:keepNext/>
      <w:keepLines/>
      <w:spacing w:line="560" w:lineRule="exact"/>
      <w:ind w:firstLine="420" w:firstLineChars="200"/>
      <w:outlineLvl w:val="2"/>
    </w:pPr>
    <w:rPr>
      <w:rFonts w:eastAsia="仿宋"/>
      <w:b/>
      <w:bCs/>
      <w:sz w:val="32"/>
      <w:szCs w:val="32"/>
    </w:rPr>
  </w:style>
  <w:style w:type="paragraph" w:styleId="5">
    <w:name w:val="heading 4"/>
    <w:basedOn w:val="1"/>
    <w:next w:val="1"/>
    <w:unhideWhenUsed/>
    <w:qFormat/>
    <w:uiPriority w:val="9"/>
    <w:pPr>
      <w:keepNext/>
      <w:keepLines/>
      <w:spacing w:line="560" w:lineRule="exact"/>
      <w:ind w:firstLine="420" w:firstLineChars="200"/>
      <w:outlineLvl w:val="3"/>
    </w:pPr>
    <w:rPr>
      <w:rFonts w:ascii="Arial" w:hAnsi="Arial" w:eastAsia="仿宋"/>
      <w:sz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semiHidden/>
    <w:unhideWhenUsed/>
    <w:qFormat/>
    <w:uiPriority w:val="99"/>
    <w:pPr>
      <w:jc w:val="left"/>
    </w:pPr>
  </w:style>
  <w:style w:type="paragraph" w:styleId="7">
    <w:name w:val="toc 3"/>
    <w:basedOn w:val="1"/>
    <w:next w:val="1"/>
    <w:unhideWhenUsed/>
    <w:qFormat/>
    <w:uiPriority w:val="39"/>
    <w:pPr>
      <w:ind w:left="840" w:leftChars="400"/>
    </w:pPr>
  </w:style>
  <w:style w:type="paragraph" w:styleId="8">
    <w:name w:val="Plain Text"/>
    <w:basedOn w:val="1"/>
    <w:qFormat/>
    <w:uiPriority w:val="0"/>
    <w:rPr>
      <w:rFonts w:ascii="宋体" w:hAnsi="Courier New"/>
    </w:rPr>
  </w:style>
  <w:style w:type="paragraph" w:styleId="9">
    <w:name w:val="Balloon Text"/>
    <w:basedOn w:val="1"/>
    <w:link w:val="26"/>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2"/>
    <w:basedOn w:val="1"/>
    <w:next w:val="1"/>
    <w:unhideWhenUsed/>
    <w:qFormat/>
    <w:uiPriority w:val="39"/>
    <w:pPr>
      <w:ind w:left="420" w:leftChars="200"/>
    </w:pPr>
  </w:style>
  <w:style w:type="paragraph" w:styleId="14">
    <w:name w:val="annotation subject"/>
    <w:basedOn w:val="6"/>
    <w:next w:val="6"/>
    <w:link w:val="27"/>
    <w:semiHidden/>
    <w:unhideWhenUsed/>
    <w:qFormat/>
    <w:uiPriority w:val="99"/>
    <w:rPr>
      <w:b/>
      <w:bCs/>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styleId="19">
    <w:name w:val="annotation reference"/>
    <w:basedOn w:val="17"/>
    <w:semiHidden/>
    <w:unhideWhenUsed/>
    <w:qFormat/>
    <w:uiPriority w:val="99"/>
    <w:rPr>
      <w:sz w:val="21"/>
      <w:szCs w:val="21"/>
    </w:rPr>
  </w:style>
  <w:style w:type="character" w:customStyle="1" w:styleId="20">
    <w:name w:val="标题 3 Char"/>
    <w:basedOn w:val="17"/>
    <w:link w:val="4"/>
    <w:qFormat/>
    <w:uiPriority w:val="9"/>
    <w:rPr>
      <w:rFonts w:eastAsia="仿宋" w:asciiTheme="minorHAnsi" w:hAnsiTheme="minorHAnsi"/>
      <w:b/>
      <w:bCs/>
      <w:sz w:val="32"/>
      <w:szCs w:val="32"/>
    </w:rPr>
  </w:style>
  <w:style w:type="character" w:customStyle="1" w:styleId="21">
    <w:name w:val="页眉 Char"/>
    <w:basedOn w:val="17"/>
    <w:link w:val="11"/>
    <w:qFormat/>
    <w:uiPriority w:val="99"/>
    <w:rPr>
      <w:sz w:val="18"/>
      <w:szCs w:val="18"/>
    </w:rPr>
  </w:style>
  <w:style w:type="character" w:customStyle="1" w:styleId="22">
    <w:name w:val="页脚 Char"/>
    <w:basedOn w:val="17"/>
    <w:link w:val="10"/>
    <w:qFormat/>
    <w:uiPriority w:val="99"/>
    <w:rPr>
      <w:sz w:val="18"/>
      <w:szCs w:val="18"/>
    </w:rPr>
  </w:style>
  <w:style w:type="character" w:customStyle="1" w:styleId="23">
    <w:name w:val="标题 1 Char"/>
    <w:basedOn w:val="17"/>
    <w:link w:val="2"/>
    <w:qFormat/>
    <w:uiPriority w:val="9"/>
    <w:rPr>
      <w:b/>
      <w:bCs/>
      <w:kern w:val="44"/>
      <w:sz w:val="44"/>
      <w:szCs w:val="44"/>
    </w:rPr>
  </w:style>
  <w:style w:type="character" w:customStyle="1" w:styleId="24">
    <w:name w:val="标题 2 Char"/>
    <w:basedOn w:val="17"/>
    <w:link w:val="3"/>
    <w:qFormat/>
    <w:uiPriority w:val="9"/>
    <w:rPr>
      <w:rFonts w:eastAsia="黑体" w:asciiTheme="majorHAnsi" w:hAnsiTheme="majorHAnsi" w:cstheme="majorBidi"/>
      <w:bCs/>
      <w:sz w:val="32"/>
      <w:szCs w:val="32"/>
    </w:rPr>
  </w:style>
  <w:style w:type="character" w:customStyle="1" w:styleId="25">
    <w:name w:val="批注文字 Char"/>
    <w:basedOn w:val="17"/>
    <w:link w:val="6"/>
    <w:semiHidden/>
    <w:qFormat/>
    <w:uiPriority w:val="99"/>
  </w:style>
  <w:style w:type="character" w:customStyle="1" w:styleId="26">
    <w:name w:val="批注框文本 Char"/>
    <w:basedOn w:val="17"/>
    <w:link w:val="9"/>
    <w:semiHidden/>
    <w:qFormat/>
    <w:uiPriority w:val="99"/>
    <w:rPr>
      <w:sz w:val="18"/>
      <w:szCs w:val="18"/>
    </w:rPr>
  </w:style>
  <w:style w:type="character" w:customStyle="1" w:styleId="27">
    <w:name w:val="批注主题 Char"/>
    <w:basedOn w:val="25"/>
    <w:link w:val="14"/>
    <w:semiHidden/>
    <w:qFormat/>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09080-6570-4FEA-AD82-EF37A4C20FB1}">
  <ds:schemaRefs/>
</ds:datastoreItem>
</file>

<file path=docProps/app.xml><?xml version="1.0" encoding="utf-8"?>
<Properties xmlns="http://schemas.openxmlformats.org/officeDocument/2006/extended-properties" xmlns:vt="http://schemas.openxmlformats.org/officeDocument/2006/docPropsVTypes">
  <Template>Normal</Template>
  <Pages>4</Pages>
  <Words>289</Words>
  <Characters>1648</Characters>
  <Lines>13</Lines>
  <Paragraphs>3</Paragraphs>
  <TotalTime>1</TotalTime>
  <ScaleCrop>false</ScaleCrop>
  <LinksUpToDate>false</LinksUpToDate>
  <CharactersWithSpaces>1934</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2021-10-15T10:51:00Z</dcterms:created>
  <dc:creator>NTKO</dc:creator>
  <cp:lastModifiedBy>姚一凡</cp:lastModifiedBy>
  <dcterms:modified xsi:type="dcterms:W3CDTF">2023-09-07T06:39:54Z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DFC048D7C7584C14959D114CE7D032E8</vt:lpwstr>
  </property>
</Properties>
</file>