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bookmarkStart w:id="39" w:name="_GoBack"/>
      <w:r>
        <w:rPr>
          <w:rFonts w:hint="eastAsia" w:ascii="方正小标宋简体" w:hAnsi="方正小标宋简体" w:eastAsia="方正小标宋简体" w:cs="方正小标宋简体"/>
          <w:b w:val="0"/>
          <w:bCs w:val="0"/>
          <w:snapToGrid w:val="0"/>
          <w:color w:val="000000"/>
          <w:spacing w:val="-5"/>
          <w:kern w:val="0"/>
          <w:sz w:val="44"/>
          <w:szCs w:val="44"/>
        </w:rPr>
        <w:t>监管服务事项办事指南</w:t>
      </w:r>
      <w:bookmarkEnd w:id="39"/>
    </w:p>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r>
        <w:rPr>
          <w:rFonts w:hint="eastAsia" w:ascii="仿宋" w:hAnsi="仿宋" w:eastAsia="仿宋" w:cs="仿宋"/>
          <w:b/>
          <w:bCs/>
          <w:snapToGrid w:val="0"/>
          <w:color w:val="000000"/>
          <w:spacing w:val="-5"/>
          <w:kern w:val="0"/>
          <w:sz w:val="44"/>
          <w:szCs w:val="44"/>
        </w:rPr>
        <w:t>质押式报价回购交易权限申请与开通</w:t>
      </w:r>
    </w:p>
    <w:p>
      <w:pPr>
        <w:spacing w:line="560" w:lineRule="exact"/>
        <w:jc w:val="center"/>
        <w:rPr>
          <w:rFonts w:ascii="Times New Roman" w:hAnsi="Times New Roman" w:eastAsia="黑体" w:cs="Times New Roman"/>
          <w:sz w:val="32"/>
          <w:szCs w:val="32"/>
        </w:rPr>
      </w:pPr>
    </w:p>
    <w:sdt>
      <w:sdtPr>
        <w:rPr>
          <w:rFonts w:hint="eastAsia" w:ascii="仿宋" w:hAnsi="仿宋" w:eastAsia="仿宋" w:cs="仿宋"/>
          <w:b/>
          <w:bCs/>
          <w:snapToGrid w:val="0"/>
          <w:color w:val="000000"/>
          <w:spacing w:val="-5"/>
          <w:kern w:val="0"/>
          <w:sz w:val="36"/>
          <w:szCs w:val="36"/>
          <w:lang w:eastAsia="en-US"/>
        </w:rPr>
        <w:id w:val="147454994"/>
        <w:docPartObj>
          <w:docPartGallery w:val="Table of Contents"/>
          <w:docPartUnique/>
        </w:docPartObj>
      </w:sdtPr>
      <w:sdtEndPr>
        <w:rPr>
          <w:rStyle w:val="17"/>
          <w:rFonts w:hint="eastAsia" w:ascii="仿宋" w:hAnsi="仿宋" w:eastAsia="仿宋" w:cs="仿宋"/>
          <w:b/>
          <w:bCs/>
          <w:snapToGrid w:val="0"/>
          <w:color w:val="000000"/>
          <w:spacing w:val="-5"/>
          <w:kern w:val="0"/>
          <w:sz w:val="30"/>
          <w:szCs w:val="21"/>
          <w:u w:val="single"/>
          <w:lang w:eastAsia="en-US"/>
        </w:rPr>
      </w:sdtEndPr>
      <w:sdtContent>
        <w:p>
          <w:pPr>
            <w:adjustRightInd w:val="0"/>
            <w:snapToGrid w:val="0"/>
            <w:jc w:val="center"/>
            <w:rPr>
              <w:rFonts w:ascii="黑体" w:hAnsi="黑体" w:eastAsia="黑体" w:cs="黑体"/>
              <w:snapToGrid w:val="0"/>
              <w:color w:val="000000"/>
              <w:spacing w:val="-5"/>
              <w:kern w:val="0"/>
              <w:sz w:val="32"/>
              <w:szCs w:val="32"/>
              <w:lang w:eastAsia="en-US"/>
            </w:rPr>
          </w:pPr>
          <w:r>
            <w:rPr>
              <w:rFonts w:hint="eastAsia" w:ascii="黑体" w:hAnsi="黑体" w:eastAsia="黑体" w:cs="黑体"/>
              <w:snapToGrid w:val="0"/>
              <w:color w:val="000000"/>
              <w:spacing w:val="-5"/>
              <w:kern w:val="0"/>
              <w:sz w:val="32"/>
              <w:szCs w:val="32"/>
              <w:lang w:eastAsia="en-US"/>
            </w:rPr>
            <w:t>目录</w:t>
          </w:r>
        </w:p>
        <w:p>
          <w:pPr>
            <w:adjustRightInd w:val="0"/>
            <w:snapToGrid w:val="0"/>
            <w:jc w:val="center"/>
            <w:rPr>
              <w:rFonts w:ascii="黑体" w:hAnsi="黑体" w:eastAsia="黑体" w:cs="黑体"/>
              <w:snapToGrid w:val="0"/>
              <w:color w:val="000000"/>
              <w:spacing w:val="-5"/>
              <w:kern w:val="0"/>
              <w:sz w:val="32"/>
              <w:szCs w:val="32"/>
              <w:lang w:eastAsia="en-US"/>
            </w:rPr>
          </w:pPr>
        </w:p>
        <w:p>
          <w:pPr>
            <w:pStyle w:val="12"/>
            <w:tabs>
              <w:tab w:val="right" w:leader="dot" w:pos="8306"/>
            </w:tabs>
            <w:spacing w:line="400" w:lineRule="exact"/>
            <w:ind w:left="0" w:leftChars="0"/>
            <w:rPr>
              <w:rFonts w:ascii="仿宋" w:hAnsi="仿宋" w:eastAsia="仿宋" w:cs="仿宋"/>
              <w:sz w:val="28"/>
              <w:szCs w:val="28"/>
            </w:rPr>
          </w:pPr>
          <w:r>
            <w:rPr>
              <w:rStyle w:val="17"/>
              <w:rFonts w:hint="eastAsia"/>
              <w:sz w:val="30"/>
            </w:rPr>
            <w:fldChar w:fldCharType="begin"/>
          </w:r>
          <w:r>
            <w:rPr>
              <w:rStyle w:val="17"/>
              <w:rFonts w:hint="eastAsia" w:ascii="仿宋" w:hAnsi="仿宋" w:eastAsia="仿宋" w:cs="仿宋"/>
              <w:snapToGrid w:val="0"/>
              <w:kern w:val="0"/>
              <w:sz w:val="30"/>
              <w:szCs w:val="21"/>
              <w:lang w:eastAsia="en-US"/>
            </w:rPr>
            <w:instrText xml:space="preserve">TOC \o "1-3" \h \u </w:instrText>
          </w:r>
          <w:r>
            <w:rPr>
              <w:rStyle w:val="17"/>
              <w:rFonts w:hint="eastAsia"/>
              <w:sz w:val="30"/>
            </w:rPr>
            <w:fldChar w:fldCharType="separate"/>
          </w:r>
          <w:r>
            <w:fldChar w:fldCharType="begin"/>
          </w:r>
          <w:r>
            <w:instrText xml:space="preserve"> HYPERLINK \l "_Toc32621"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_Toc32621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"_Toc30286"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_Toc30286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"_Toc13149"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_Toc13149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"_Toc11600"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_Toc11600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"_Toc10629" </w:instrText>
          </w:r>
          <w: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_Toc10629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"_Toc15979" </w:instrText>
          </w:r>
          <w:r>
            <w:fldChar w:fldCharType="separate"/>
          </w:r>
          <w:r>
            <w:rPr>
              <w:rFonts w:hint="eastAsia" w:ascii="仿宋" w:hAnsi="仿宋" w:eastAsia="仿宋" w:cs="仿宋"/>
              <w:sz w:val="28"/>
              <w:szCs w:val="28"/>
            </w:rPr>
            <w:t>六、办理条件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_Toc15979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"_Toc19481" </w:instrText>
          </w:r>
          <w:r>
            <w:fldChar w:fldCharType="separate"/>
          </w:r>
          <w:r>
            <w:rPr>
              <w:rFonts w:hint="eastAsia" w:ascii="仿宋" w:hAnsi="仿宋" w:eastAsia="仿宋" w:cs="仿宋"/>
              <w:sz w:val="28"/>
              <w:szCs w:val="28"/>
            </w:rPr>
            <w:t>七、办理材料清单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_Toc19481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"_Toc17183" </w:instrText>
          </w:r>
          <w:r>
            <w:fldChar w:fldCharType="separate"/>
          </w:r>
          <w:r>
            <w:rPr>
              <w:rFonts w:hint="eastAsia" w:ascii="仿宋" w:hAnsi="仿宋" w:eastAsia="仿宋" w:cs="仿宋"/>
              <w:sz w:val="28"/>
              <w:szCs w:val="28"/>
            </w:rPr>
            <w:t>八、材料接收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_Toc17183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"_Toc11851" </w:instrText>
          </w:r>
          <w:r>
            <w:fldChar w:fldCharType="separate"/>
          </w:r>
          <w:r>
            <w:rPr>
              <w:rFonts w:hint="eastAsia" w:ascii="仿宋" w:hAnsi="仿宋" w:eastAsia="仿宋" w:cs="仿宋"/>
              <w:sz w:val="28"/>
              <w:szCs w:val="28"/>
            </w:rPr>
            <w:t>九、办理流程及办理时限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_Toc11851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"_Toc10946" </w:instrText>
          </w:r>
          <w:r>
            <w:fldChar w:fldCharType="separate"/>
          </w:r>
          <w:r>
            <w:rPr>
              <w:rFonts w:hint="eastAsia" w:ascii="仿宋" w:hAnsi="仿宋" w:eastAsia="仿宋" w:cs="仿宋"/>
              <w:sz w:val="28"/>
              <w:szCs w:val="28"/>
            </w:rPr>
            <w:t>十、咨询途径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_Toc10946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"_Toc12121" </w:instrText>
          </w:r>
          <w:r>
            <w:fldChar w:fldCharType="separate"/>
          </w:r>
          <w:r>
            <w:rPr>
              <w:rFonts w:hint="eastAsia" w:ascii="仿宋" w:hAnsi="仿宋" w:eastAsia="仿宋" w:cs="仿宋"/>
              <w:sz w:val="28"/>
              <w:szCs w:val="28"/>
            </w:rPr>
            <w:t>十一、办公地址和时间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_Toc12121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420" w:leftChars="200"/>
            <w:rPr>
              <w:rFonts w:ascii="仿宋" w:hAnsi="仿宋" w:eastAsia="仿宋" w:cs="仿宋"/>
              <w:sz w:val="28"/>
              <w:szCs w:val="28"/>
            </w:rPr>
          </w:pPr>
          <w:r>
            <w:fldChar w:fldCharType="begin"/>
          </w:r>
          <w:r>
            <w:instrText xml:space="preserve"> HYPERLINK \l "_Toc22482" </w:instrText>
          </w:r>
          <w:r>
            <w:fldChar w:fldCharType="separate"/>
          </w:r>
          <w:r>
            <w:rPr>
              <w:rFonts w:hint="eastAsia" w:ascii="仿宋" w:hAnsi="仿宋" w:eastAsia="仿宋" w:cs="仿宋"/>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420" w:leftChars="200"/>
          </w:pPr>
          <w:r>
            <w:fldChar w:fldCharType="begin"/>
          </w:r>
          <w:r>
            <w:instrText xml:space="preserve"> HYPERLINK \l "_Toc3867" </w:instrText>
          </w:r>
          <w:r>
            <w:fldChar w:fldCharType="separate"/>
          </w:r>
          <w:r>
            <w:rPr>
              <w:rFonts w:hint="eastAsia" w:ascii="仿宋" w:hAnsi="仿宋" w:eastAsia="仿宋" w:cs="仿宋"/>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_Toc3867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widowControl/>
            <w:tabs>
              <w:tab w:val="right" w:leader="dot" w:pos="8296"/>
            </w:tabs>
            <w:kinsoku w:val="0"/>
            <w:autoSpaceDE w:val="0"/>
            <w:autoSpaceDN w:val="0"/>
            <w:adjustRightInd w:val="0"/>
            <w:snapToGrid w:val="0"/>
            <w:jc w:val="left"/>
            <w:textAlignment w:val="baseline"/>
            <w:rPr>
              <w:rStyle w:val="17"/>
              <w:rFonts w:ascii="仿宋" w:hAnsi="仿宋" w:eastAsia="仿宋" w:cs="仿宋"/>
              <w:snapToGrid w:val="0"/>
              <w:kern w:val="0"/>
              <w:sz w:val="30"/>
              <w:szCs w:val="21"/>
              <w:lang w:eastAsia="en-US"/>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napToGrid w:val="0"/>
              <w:kern w:val="0"/>
              <w:szCs w:val="21"/>
              <w:lang w:eastAsia="en-US"/>
            </w:rPr>
            <w:fldChar w:fldCharType="end"/>
          </w:r>
        </w:p>
      </w:sdtContent>
    </w:sdt>
    <w:p>
      <w:pPr>
        <w:pStyle w:val="3"/>
        <w:ind w:firstLine="640" w:firstLineChars="200"/>
        <w:rPr>
          <w:rFonts w:ascii="Times New Roman" w:hAnsi="Times New Roman" w:cs="Times New Roman"/>
        </w:rPr>
      </w:pPr>
      <w:bookmarkStart w:id="0" w:name="_Toc32621"/>
      <w:bookmarkStart w:id="1" w:name="_Toc85216126"/>
      <w:bookmarkStart w:id="2" w:name="_Toc22899"/>
      <w:r>
        <w:rPr>
          <w:rFonts w:ascii="Times New Roman" w:hAnsi="Times New Roman" w:cs="Times New Roman"/>
        </w:rPr>
        <w:t>一、事项名称</w:t>
      </w:r>
      <w:bookmarkEnd w:id="0"/>
      <w:bookmarkEnd w:id="1"/>
      <w:bookmarkEnd w:id="2"/>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质押式报价回购交易权限申请与开通</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3" w:name="_Toc30286"/>
      <w:bookmarkStart w:id="4" w:name="_Toc85216127"/>
      <w:bookmarkStart w:id="5" w:name="_Toc5451"/>
      <w:r>
        <w:rPr>
          <w:rFonts w:ascii="Times New Roman" w:hAnsi="Times New Roman" w:cs="Times New Roman"/>
        </w:rPr>
        <w:t>二、规则依据</w:t>
      </w:r>
      <w:bookmarkEnd w:id="3"/>
      <w:bookmarkEnd w:id="4"/>
      <w:bookmarkEnd w:id="5"/>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《质押式报价回购交易及登记结算业务办法》</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6" w:name="_Toc85216128"/>
      <w:bookmarkStart w:id="7" w:name="_Toc5222"/>
      <w:bookmarkStart w:id="8" w:name="_Toc13149"/>
      <w:r>
        <w:rPr>
          <w:rFonts w:ascii="Times New Roman" w:hAnsi="Times New Roman" w:cs="Times New Roman"/>
        </w:rPr>
        <w:t>三、受理部门</w:t>
      </w:r>
      <w:bookmarkEnd w:id="6"/>
      <w:bookmarkEnd w:id="7"/>
      <w:bookmarkEnd w:id="8"/>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9" w:name="_Toc11600"/>
      <w:bookmarkStart w:id="10" w:name="_Toc85216129"/>
      <w:bookmarkStart w:id="11" w:name="_Toc16545"/>
      <w:r>
        <w:rPr>
          <w:rFonts w:ascii="Times New Roman" w:hAnsi="Times New Roman" w:cs="Times New Roman"/>
        </w:rPr>
        <w:t>四、办理部门</w:t>
      </w:r>
      <w:bookmarkEnd w:id="9"/>
      <w:bookmarkEnd w:id="10"/>
      <w:bookmarkEnd w:id="11"/>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黑体" w:cs="Times New Roman"/>
          <w:sz w:val="32"/>
          <w:szCs w:val="32"/>
        </w:rPr>
      </w:pPr>
    </w:p>
    <w:p>
      <w:pPr>
        <w:pStyle w:val="3"/>
        <w:ind w:firstLine="640" w:firstLineChars="200"/>
        <w:rPr>
          <w:rFonts w:ascii="Times New Roman" w:hAnsi="Times New Roman" w:cs="Times New Roman"/>
        </w:rPr>
      </w:pPr>
      <w:bookmarkStart w:id="12" w:name="_Toc15102"/>
      <w:bookmarkStart w:id="13" w:name="_Toc10629"/>
      <w:bookmarkStart w:id="14" w:name="_Toc85216130"/>
      <w:r>
        <w:rPr>
          <w:rFonts w:ascii="Times New Roman" w:hAnsi="Times New Roman" w:cs="Times New Roman"/>
        </w:rPr>
        <w:t>五、收费标准及依据</w:t>
      </w:r>
      <w:bookmarkEnd w:id="12"/>
      <w:bookmarkEnd w:id="13"/>
      <w:bookmarkEnd w:id="14"/>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不收费</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5" w:name="_Toc7083"/>
      <w:bookmarkStart w:id="16" w:name="_Toc85216134"/>
      <w:bookmarkStart w:id="17" w:name="_Toc15979"/>
      <w:r>
        <w:rPr>
          <w:rFonts w:hint="eastAsia" w:ascii="Times New Roman" w:hAnsi="Times New Roman" w:cs="Times New Roman"/>
        </w:rPr>
        <w:t>六</w:t>
      </w:r>
      <w:r>
        <w:rPr>
          <w:rFonts w:ascii="Times New Roman" w:hAnsi="Times New Roman" w:cs="Times New Roman"/>
        </w:rPr>
        <w:t>、办理条件</w:t>
      </w:r>
      <w:bookmarkEnd w:id="15"/>
      <w:bookmarkEnd w:id="16"/>
      <w:bookmarkEnd w:id="17"/>
    </w:p>
    <w:p>
      <w:pPr>
        <w:spacing w:line="560" w:lineRule="exact"/>
        <w:ind w:firstLine="420" w:firstLineChars="200"/>
        <w:rPr>
          <w:rFonts w:ascii="Times New Roman" w:hAnsi="Times New Roman" w:eastAsia="仿宋" w:cs="Times New Roman"/>
          <w:sz w:val="32"/>
          <w:szCs w:val="32"/>
        </w:rPr>
      </w:pPr>
      <w:r>
        <w:rPr>
          <w:rFonts w:hint="eastAsia"/>
        </w:rPr>
        <w:t xml:space="preserve">  </w:t>
      </w:r>
      <w:r>
        <w:rPr>
          <w:rFonts w:hint="eastAsia" w:ascii="Times New Roman" w:hAnsi="Times New Roman" w:eastAsia="仿宋" w:cs="Times New Roman"/>
          <w:sz w:val="32"/>
          <w:szCs w:val="32"/>
        </w:rPr>
        <w:t>证券公司申请报价回购交易权限的，应当向深交所提交《质押式报价回购交易及登记结算业务办法》要求的材料。</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8" w:name="_Toc85216138"/>
      <w:bookmarkStart w:id="19" w:name="_Toc701"/>
      <w:bookmarkStart w:id="20" w:name="_Toc19481"/>
      <w:r>
        <w:rPr>
          <w:rFonts w:hint="eastAsia" w:ascii="Times New Roman" w:hAnsi="Times New Roman" w:cs="Times New Roman"/>
        </w:rPr>
        <w:t>七</w:t>
      </w:r>
      <w:r>
        <w:rPr>
          <w:rFonts w:ascii="Times New Roman" w:hAnsi="Times New Roman" w:cs="Times New Roman"/>
        </w:rPr>
        <w:t>、办理材料清单</w:t>
      </w:r>
      <w:bookmarkEnd w:id="18"/>
      <w:bookmarkEnd w:id="19"/>
      <w:bookmarkEnd w:id="20"/>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业务申请书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业务申请书应当列明报价回购交易报备额度，加盖申请会员公章，会员法定代表人应当在业务申请书上签字，并严格按照如下文字做出承诺：“保证申请材料内容真实、准确、完整，如申请材料存在虚假记载、误导性陈述和重大遗漏，将承担全部法律责任。”</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《质押式报价回购交易承诺函》（附件1）</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经营证券业务许可证（副本）</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业务方案和内部管理制度等相关文件，包括合规管理部门、风险管理部门出具的评估意见书</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《客户协议》《风险揭示书》和《产品资料概览》样本（附件2）</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与第三方机构签订的折算率委托计算协议</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《质押券处置委托协议》</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业务和技术系统准备情况报告</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《质押式报价回购交易证券代码申请表》（附件3）</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负责报价回购交易的公司分管人员、高级管理人员与业务人员名单及其联系方式</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以基金专户份额为质押物的，提交与证券投资基金管理公司签订的资产管理合同及相关投资顾问协议</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本所规定的其他材料</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1" w:name="_Toc85216139"/>
      <w:bookmarkStart w:id="22" w:name="_Toc17183"/>
      <w:bookmarkStart w:id="23" w:name="_Toc25454"/>
      <w:r>
        <w:rPr>
          <w:rFonts w:hint="eastAsia" w:ascii="Times New Roman" w:hAnsi="Times New Roman" w:cs="Times New Roman"/>
        </w:rPr>
        <w:t>八</w:t>
      </w:r>
      <w:r>
        <w:rPr>
          <w:rFonts w:ascii="Times New Roman" w:hAnsi="Times New Roman" w:cs="Times New Roman"/>
        </w:rPr>
        <w:t>、材料接收</w:t>
      </w:r>
      <w:bookmarkEnd w:id="21"/>
      <w:bookmarkEnd w:id="22"/>
      <w:bookmarkEnd w:id="23"/>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通过本所“会员业务专区”中的“业务办理”—“报价回购产品新增”栏目在线提交材料。</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4" w:name="_Toc85216143"/>
      <w:bookmarkStart w:id="25" w:name="_Toc24139"/>
      <w:bookmarkStart w:id="26" w:name="_Toc11851"/>
      <w:r>
        <w:rPr>
          <w:rFonts w:hint="eastAsia" w:ascii="Times New Roman" w:hAnsi="Times New Roman" w:cs="Times New Roman"/>
        </w:rPr>
        <w:t>九、</w:t>
      </w:r>
      <w:r>
        <w:rPr>
          <w:rFonts w:ascii="Times New Roman" w:hAnsi="Times New Roman" w:cs="Times New Roman"/>
        </w:rPr>
        <w:t>办理流程</w:t>
      </w:r>
      <w:bookmarkEnd w:id="24"/>
      <w:r>
        <w:rPr>
          <w:rFonts w:hint="eastAsia" w:ascii="Times New Roman" w:hAnsi="Times New Roman" w:cs="Times New Roman"/>
        </w:rPr>
        <w:t>及办理时限</w:t>
      </w:r>
      <w:bookmarkEnd w:id="25"/>
      <w:bookmarkEnd w:id="26"/>
    </w:p>
    <w:tbl>
      <w:tblPr>
        <w:tblStyle w:val="14"/>
        <w:tblW w:w="932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35"/>
        <w:gridCol w:w="1624"/>
        <w:gridCol w:w="5309"/>
        <w:gridCol w:w="1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4" w:hRule="atLeast"/>
          <w:jc w:val="center"/>
        </w:trPr>
        <w:tc>
          <w:tcPr>
            <w:tcW w:w="835"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编号</w:t>
            </w:r>
          </w:p>
        </w:tc>
        <w:tc>
          <w:tcPr>
            <w:tcW w:w="1624"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事项</w:t>
            </w:r>
          </w:p>
        </w:tc>
        <w:tc>
          <w:tcPr>
            <w:tcW w:w="5309"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具体流程</w:t>
            </w:r>
          </w:p>
        </w:tc>
        <w:tc>
          <w:tcPr>
            <w:tcW w:w="1558" w:type="dxa"/>
            <w:tcBorders>
              <w:top w:val="dotted" w:color="auto" w:sz="8" w:space="0"/>
              <w:left w:val="dotted" w:color="auto" w:sz="8" w:space="0"/>
              <w:bottom w:val="dotted" w:color="auto" w:sz="8" w:space="0"/>
              <w:right w:val="dotted" w:color="auto" w:sz="8" w:space="0"/>
            </w:tcBorders>
            <w:shd w:val="clear" w:color="auto" w:fill="FFFFFF"/>
            <w:vAlign w:val="center"/>
          </w:tcPr>
          <w:p>
            <w:pPr>
              <w:spacing w:line="280" w:lineRule="exact"/>
              <w:rPr>
                <w:rFonts w:ascii="仿宋" w:hAnsi="仿宋" w:eastAsia="仿宋" w:cs="仿宋"/>
                <w:b/>
                <w:color w:val="000000"/>
                <w:sz w:val="28"/>
                <w:szCs w:val="28"/>
              </w:rPr>
            </w:pPr>
            <w:r>
              <w:rPr>
                <w:rFonts w:hint="eastAsia" w:ascii="仿宋" w:hAnsi="仿宋" w:eastAsia="仿宋" w:cs="仿宋"/>
                <w:b/>
                <w:color w:val="000000"/>
                <w:sz w:val="28"/>
                <w:szCs w:val="28"/>
              </w:rPr>
              <w:t>办理时间</w:t>
            </w:r>
            <w:r>
              <w:rPr>
                <w:rFonts w:hint="eastAsia" w:ascii="仿宋" w:hAnsi="仿宋" w:eastAsia="仿宋" w:cs="仿宋"/>
                <w:color w:val="000000"/>
                <w:sz w:val="28"/>
                <w:szCs w:val="28"/>
              </w:rPr>
              <w:t>（工作日）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35"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1624"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申请材料</w:t>
            </w:r>
          </w:p>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预沟通</w:t>
            </w:r>
          </w:p>
        </w:tc>
        <w:tc>
          <w:tcPr>
            <w:tcW w:w="5309" w:type="dxa"/>
            <w:tcBorders>
              <w:top w:val="dotted" w:color="auto" w:sz="4" w:space="0"/>
              <w:left w:val="dotted" w:color="auto" w:sz="8" w:space="0"/>
              <w:bottom w:val="dotted" w:color="auto" w:sz="8" w:space="0"/>
              <w:right w:val="dotted" w:color="auto" w:sz="8" w:space="0"/>
            </w:tcBorders>
            <w:shd w:val="clear" w:color="auto" w:fill="FFFFFF"/>
            <w:vAlign w:val="center"/>
          </w:tcPr>
          <w:p>
            <w:pPr>
              <w:spacing w:before="156" w:beforeLines="50" w:after="156" w:afterLines="50" w:line="280" w:lineRule="exact"/>
              <w:rPr>
                <w:rFonts w:ascii="仿宋" w:hAnsi="仿宋" w:eastAsia="仿宋" w:cs="仿宋"/>
                <w:color w:val="000000"/>
                <w:sz w:val="24"/>
                <w:szCs w:val="24"/>
              </w:rPr>
            </w:pPr>
            <w:r>
              <w:rPr>
                <w:rFonts w:hint="eastAsia" w:ascii="仿宋" w:hAnsi="仿宋" w:eastAsia="仿宋" w:cs="仿宋"/>
                <w:color w:val="000000"/>
                <w:sz w:val="24"/>
                <w:szCs w:val="24"/>
              </w:rPr>
              <w:t>本所根据会员提交的业务方案反馈完善建议。方案中主要业务安排和要点须根据公司合规及风控部门的确定性意见形成。相关基金公司、托管银行以及折算率计算机构的相关服务方案已经确定。</w:t>
            </w:r>
          </w:p>
          <w:p>
            <w:pPr>
              <w:spacing w:before="156" w:beforeLines="50" w:after="156" w:afterLines="50" w:line="280" w:lineRule="exact"/>
              <w:rPr>
                <w:rFonts w:ascii="仿宋" w:hAnsi="仿宋" w:eastAsia="仿宋" w:cs="仿宋"/>
                <w:color w:val="000000"/>
                <w:sz w:val="24"/>
                <w:szCs w:val="24"/>
              </w:rPr>
            </w:pPr>
            <w:r>
              <w:rPr>
                <w:rFonts w:hint="eastAsia" w:ascii="仿宋" w:hAnsi="仿宋" w:eastAsia="仿宋" w:cs="仿宋"/>
                <w:color w:val="000000"/>
                <w:sz w:val="24"/>
                <w:szCs w:val="24"/>
              </w:rPr>
              <w:t>会员技术系统开发可以在方案准备期间同时进行，技术接口规范内容详见《报价回购交易券商技术系统变更指南》。</w:t>
            </w:r>
          </w:p>
        </w:tc>
        <w:tc>
          <w:tcPr>
            <w:tcW w:w="1558"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35"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624"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申请材料提交、审核与分配证券代码</w:t>
            </w:r>
          </w:p>
        </w:tc>
        <w:tc>
          <w:tcPr>
            <w:tcW w:w="5309" w:type="dxa"/>
            <w:tcBorders>
              <w:top w:val="dotted" w:color="auto" w:sz="4" w:space="0"/>
              <w:left w:val="dotted" w:color="auto" w:sz="8" w:space="0"/>
              <w:bottom w:val="dotted" w:color="auto" w:sz="8" w:space="0"/>
              <w:right w:val="dotted" w:color="auto" w:sz="8" w:space="0"/>
            </w:tcBorders>
            <w:shd w:val="clear" w:color="auto" w:fill="FFFFFF"/>
            <w:vAlign w:val="center"/>
          </w:tcPr>
          <w:p>
            <w:pPr>
              <w:pStyle w:val="27"/>
              <w:numPr>
                <w:ilvl w:val="0"/>
                <w:numId w:val="2"/>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会员在完成最终业务方案后，形成报价回购业务权限申报材料；</w:t>
            </w:r>
          </w:p>
          <w:p>
            <w:pPr>
              <w:pStyle w:val="27"/>
              <w:numPr>
                <w:ilvl w:val="0"/>
                <w:numId w:val="2"/>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会员通过本所“会员业务专区-公文及报表上传-公文上传”栏目正式提交申报材料，材料上传后通知本所业务联系人。本所在收到申请材料后组织方案实施讨论会，召集相关方对方案实施要点、技术系统准备以及上线安排等内容进行沟通，确定业务上线方案和具体时间表；</w:t>
            </w:r>
          </w:p>
          <w:p>
            <w:pPr>
              <w:pStyle w:val="27"/>
              <w:numPr>
                <w:ilvl w:val="0"/>
                <w:numId w:val="2"/>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本所根据会员申请分配产品证券代码和简称，并发出代码通知书；</w:t>
            </w:r>
          </w:p>
          <w:p>
            <w:pPr>
              <w:pStyle w:val="27"/>
              <w:numPr>
                <w:ilvl w:val="0"/>
                <w:numId w:val="2"/>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申报材料未通过的修改后重新提交。</w:t>
            </w:r>
          </w:p>
        </w:tc>
        <w:tc>
          <w:tcPr>
            <w:tcW w:w="1558"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35"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624"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账户申请与</w:t>
            </w:r>
          </w:p>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指定</w:t>
            </w:r>
          </w:p>
        </w:tc>
        <w:tc>
          <w:tcPr>
            <w:tcW w:w="5309" w:type="dxa"/>
            <w:tcBorders>
              <w:top w:val="dotted" w:color="auto" w:sz="4" w:space="0"/>
              <w:left w:val="dotted" w:color="auto" w:sz="8" w:space="0"/>
              <w:bottom w:val="dotted" w:color="auto" w:sz="8" w:space="0"/>
              <w:right w:val="dotted" w:color="auto" w:sz="8" w:space="0"/>
            </w:tcBorders>
            <w:shd w:val="clear" w:color="auto" w:fill="FFFFFF"/>
            <w:vAlign w:val="center"/>
          </w:tcPr>
          <w:p>
            <w:pPr>
              <w:spacing w:before="156" w:beforeLines="50" w:after="156" w:afterLines="50" w:line="280" w:lineRule="exact"/>
              <w:rPr>
                <w:rFonts w:ascii="仿宋" w:hAnsi="仿宋" w:eastAsia="仿宋" w:cs="仿宋"/>
                <w:color w:val="000000"/>
                <w:sz w:val="24"/>
                <w:szCs w:val="24"/>
              </w:rPr>
            </w:pPr>
            <w:r>
              <w:rPr>
                <w:rFonts w:hint="eastAsia" w:ascii="仿宋" w:hAnsi="仿宋" w:eastAsia="仿宋" w:cs="仿宋"/>
                <w:color w:val="000000"/>
                <w:sz w:val="24"/>
                <w:szCs w:val="24"/>
              </w:rPr>
              <w:t>会员取得代码通知书后，</w:t>
            </w:r>
          </w:p>
          <w:p>
            <w:pPr>
              <w:numPr>
                <w:ilvl w:val="0"/>
                <w:numId w:val="3"/>
              </w:numPr>
              <w:spacing w:before="156" w:beforeLines="50" w:after="156" w:afterLines="50" w:line="280" w:lineRule="exact"/>
              <w:rPr>
                <w:rFonts w:ascii="仿宋" w:hAnsi="仿宋" w:eastAsia="仿宋" w:cs="仿宋"/>
                <w:color w:val="000000"/>
                <w:sz w:val="24"/>
                <w:szCs w:val="24"/>
              </w:rPr>
            </w:pPr>
            <w:r>
              <w:rPr>
                <w:rFonts w:hint="eastAsia" w:ascii="仿宋" w:hAnsi="仿宋" w:eastAsia="仿宋" w:cs="仿宋"/>
                <w:color w:val="000000"/>
                <w:sz w:val="24"/>
                <w:szCs w:val="24"/>
              </w:rPr>
              <w:t>向中国结算深圳分公司资金交收部申请开立报价回购交易专用担保金账户；</w:t>
            </w:r>
          </w:p>
          <w:p>
            <w:pPr>
              <w:spacing w:before="156" w:beforeLines="50" w:after="156" w:afterLines="50" w:line="280" w:lineRule="exact"/>
              <w:rPr>
                <w:rFonts w:ascii="仿宋" w:hAnsi="仿宋" w:eastAsia="仿宋" w:cs="仿宋"/>
                <w:color w:val="000000"/>
                <w:sz w:val="24"/>
                <w:szCs w:val="24"/>
              </w:rPr>
            </w:pPr>
            <w:r>
              <w:rPr>
                <w:rFonts w:hint="eastAsia" w:ascii="仿宋" w:hAnsi="仿宋" w:eastAsia="仿宋" w:cs="仿宋"/>
                <w:color w:val="000000"/>
                <w:sz w:val="24"/>
                <w:szCs w:val="24"/>
              </w:rPr>
              <w:t>2）向客户服务部申请开立报价回购交易专用处置证券账户、指定自营证券账户。申请材料要求详见《质押式报价回购登记结算业务指南》。</w:t>
            </w:r>
          </w:p>
        </w:tc>
        <w:tc>
          <w:tcPr>
            <w:tcW w:w="1558"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35"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1624"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技术系统测试</w:t>
            </w:r>
          </w:p>
        </w:tc>
        <w:tc>
          <w:tcPr>
            <w:tcW w:w="5309" w:type="dxa"/>
            <w:tcBorders>
              <w:top w:val="dotted" w:color="auto" w:sz="4" w:space="0"/>
              <w:left w:val="dotted" w:color="auto" w:sz="8" w:space="0"/>
              <w:bottom w:val="dotted" w:color="auto" w:sz="8" w:space="0"/>
              <w:right w:val="dotted" w:color="auto" w:sz="8" w:space="0"/>
            </w:tcBorders>
            <w:shd w:val="clear" w:color="auto" w:fill="FFFFFF"/>
            <w:vAlign w:val="center"/>
          </w:tcPr>
          <w:p>
            <w:pPr>
              <w:pStyle w:val="27"/>
              <w:numPr>
                <w:ilvl w:val="0"/>
                <w:numId w:val="4"/>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会员通过指定方式提交技术系统测试申请，基金专户管理人提交基金专户申赎仿真测试申请；</w:t>
            </w:r>
          </w:p>
          <w:p>
            <w:pPr>
              <w:pStyle w:val="27"/>
              <w:numPr>
                <w:ilvl w:val="0"/>
                <w:numId w:val="4"/>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按照仿真测试相关要求和安排，会员、基金管理人、托管人需完成交易、结算、申赎等全部测试项目；</w:t>
            </w:r>
          </w:p>
          <w:p>
            <w:pPr>
              <w:pStyle w:val="27"/>
              <w:numPr>
                <w:ilvl w:val="0"/>
                <w:numId w:val="4"/>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本所视仿真测试情况和需要，组织会员参加全网测试。会员使用真实交易单元及账户参加本所组织的全网测试的，须在测试前，向本所申请交易权限开通。</w:t>
            </w:r>
          </w:p>
        </w:tc>
        <w:tc>
          <w:tcPr>
            <w:tcW w:w="1558"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14-30日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835"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5</w:t>
            </w:r>
          </w:p>
        </w:tc>
        <w:tc>
          <w:tcPr>
            <w:tcW w:w="1624"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开通交易权限</w:t>
            </w:r>
          </w:p>
        </w:tc>
        <w:tc>
          <w:tcPr>
            <w:tcW w:w="5309" w:type="dxa"/>
            <w:tcBorders>
              <w:top w:val="dotted" w:color="auto" w:sz="4" w:space="0"/>
              <w:left w:val="dotted" w:color="auto" w:sz="8" w:space="0"/>
              <w:bottom w:val="dotted" w:color="auto" w:sz="8" w:space="0"/>
              <w:right w:val="dotted" w:color="auto" w:sz="8" w:space="0"/>
            </w:tcBorders>
            <w:shd w:val="clear" w:color="auto" w:fill="FFFFFF"/>
            <w:vAlign w:val="center"/>
          </w:tcPr>
          <w:p>
            <w:pPr>
              <w:pStyle w:val="27"/>
              <w:numPr>
                <w:ilvl w:val="0"/>
                <w:numId w:val="5"/>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仿真测试通过后，全网测试前，会员通过本所“会员业务专区-业务办理-报价回购业务-产品新增”在线申请开通报价回购交易权限，指定报价回购业务专用交易单元；</w:t>
            </w:r>
          </w:p>
          <w:p>
            <w:pPr>
              <w:pStyle w:val="27"/>
              <w:numPr>
                <w:ilvl w:val="0"/>
                <w:numId w:val="5"/>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申请材料符合规定的，本所为其所指定的交易单元开通报价回购交易权限。</w:t>
            </w:r>
          </w:p>
        </w:tc>
        <w:tc>
          <w:tcPr>
            <w:tcW w:w="1558"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835"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1624"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业务开展</w:t>
            </w:r>
          </w:p>
        </w:tc>
        <w:tc>
          <w:tcPr>
            <w:tcW w:w="5309" w:type="dxa"/>
            <w:tcBorders>
              <w:top w:val="dotted" w:color="auto" w:sz="4" w:space="0"/>
              <w:left w:val="dotted" w:color="auto" w:sz="8" w:space="0"/>
              <w:bottom w:val="dotted" w:color="auto" w:sz="8" w:space="0"/>
              <w:right w:val="dotted" w:color="auto" w:sz="8" w:space="0"/>
            </w:tcBorders>
            <w:shd w:val="clear" w:color="auto" w:fill="FFFFFF"/>
            <w:vAlign w:val="center"/>
          </w:tcPr>
          <w:p>
            <w:pPr>
              <w:pStyle w:val="27"/>
              <w:numPr>
                <w:ilvl w:val="0"/>
                <w:numId w:val="6"/>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全网测试通过后，本所向符合业务开展条件的会员发出同意开展报价回购交易的通知；</w:t>
            </w:r>
          </w:p>
          <w:p>
            <w:pPr>
              <w:pStyle w:val="27"/>
              <w:numPr>
                <w:ilvl w:val="0"/>
                <w:numId w:val="6"/>
              </w:numPr>
              <w:spacing w:before="156" w:beforeLines="50" w:after="156" w:afterLines="50" w:line="280" w:lineRule="exact"/>
              <w:ind w:firstLineChars="0"/>
              <w:rPr>
                <w:rFonts w:ascii="仿宋" w:hAnsi="仿宋" w:eastAsia="仿宋" w:cs="仿宋"/>
                <w:color w:val="000000"/>
                <w:sz w:val="24"/>
                <w:szCs w:val="24"/>
              </w:rPr>
            </w:pPr>
            <w:r>
              <w:rPr>
                <w:rFonts w:hint="eastAsia" w:ascii="仿宋" w:hAnsi="仿宋" w:eastAsia="仿宋" w:cs="仿宋"/>
                <w:color w:val="000000"/>
                <w:sz w:val="24"/>
                <w:szCs w:val="24"/>
              </w:rPr>
              <w:t>在确定交易日正式开展业务。</w:t>
            </w:r>
          </w:p>
        </w:tc>
        <w:tc>
          <w:tcPr>
            <w:tcW w:w="1558" w:type="dxa"/>
            <w:tcBorders>
              <w:top w:val="dotted" w:color="auto" w:sz="4" w:space="0"/>
              <w:left w:val="dotted" w:color="auto" w:sz="8" w:space="0"/>
              <w:bottom w:val="dotted" w:color="auto" w:sz="8" w:space="0"/>
              <w:right w:val="dotted" w:color="auto" w:sz="8" w:space="0"/>
            </w:tcBorders>
            <w:shd w:val="clear" w:color="auto" w:fill="FFFFFF"/>
            <w:vAlign w:val="center"/>
          </w:tcPr>
          <w:p>
            <w:pPr>
              <w:spacing w:line="2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3日</w:t>
            </w:r>
          </w:p>
        </w:tc>
      </w:tr>
    </w:tbl>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办理时间不包括会员对所反馈的相关问题提交论证说明材料或重新提交材料的时间。</w:t>
      </w:r>
    </w:p>
    <w:p>
      <w:pPr>
        <w:spacing w:line="560" w:lineRule="exact"/>
        <w:ind w:firstLine="640" w:firstLineChars="200"/>
        <w:rPr>
          <w:rFonts w:ascii="华文仿宋" w:hAnsi="华文仿宋" w:eastAsia="华文仿宋"/>
          <w:sz w:val="24"/>
          <w:szCs w:val="24"/>
        </w:rPr>
      </w:pPr>
      <w:r>
        <w:rPr>
          <w:rFonts w:hint="eastAsia" w:ascii="仿宋" w:hAnsi="仿宋" w:eastAsia="仿宋" w:cs="Times New Roman"/>
          <w:sz w:val="32"/>
          <w:szCs w:val="32"/>
        </w:rPr>
        <w:t>2. 技术系统测试时间不包括会员技术系统需要进一步调整改造的时间。</w:t>
      </w:r>
    </w:p>
    <w:p/>
    <w:p>
      <w:pPr>
        <w:pStyle w:val="3"/>
        <w:ind w:firstLine="640" w:firstLineChars="200"/>
        <w:rPr>
          <w:rFonts w:ascii="Times New Roman" w:hAnsi="Times New Roman" w:cs="Times New Roman"/>
        </w:rPr>
      </w:pPr>
      <w:bookmarkStart w:id="27" w:name="_Toc20243"/>
      <w:bookmarkStart w:id="28" w:name="_Toc85216147"/>
      <w:bookmarkStart w:id="29" w:name="_Toc10946"/>
      <w:r>
        <w:rPr>
          <w:rFonts w:ascii="Times New Roman" w:hAnsi="Times New Roman" w:cs="Times New Roman"/>
        </w:rPr>
        <w:t>十、咨询途径</w:t>
      </w:r>
      <w:bookmarkEnd w:id="27"/>
      <w:bookmarkEnd w:id="28"/>
      <w:bookmarkEnd w:id="29"/>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肖女士，电话：</w:t>
      </w:r>
      <w:r>
        <w:rPr>
          <w:rFonts w:ascii="仿宋" w:hAnsi="仿宋" w:eastAsia="仿宋" w:cs="仿宋"/>
          <w:sz w:val="32"/>
          <w:szCs w:val="32"/>
        </w:rPr>
        <w:t>0755-8866 8066</w:t>
      </w:r>
      <w:r>
        <w:rPr>
          <w:rFonts w:hint="eastAsia" w:ascii="仿宋" w:hAnsi="仿宋" w:eastAsia="仿宋" w:cs="仿宋"/>
          <w:sz w:val="32"/>
          <w:szCs w:val="32"/>
        </w:rPr>
        <w:t xml:space="preserve"> 邮箱：</w:t>
      </w:r>
      <w:r>
        <w:fldChar w:fldCharType="begin"/>
      </w:r>
      <w:r>
        <w:instrText xml:space="preserve"> HYPERLINK "mailto:wang-hui@szse.cn" </w:instrText>
      </w:r>
      <w:r>
        <w:fldChar w:fldCharType="separate"/>
      </w:r>
      <w:r>
        <w:rPr>
          <w:rFonts w:hint="eastAsia" w:ascii="仿宋" w:hAnsi="仿宋" w:eastAsia="仿宋" w:cs="仿宋"/>
          <w:sz w:val="32"/>
          <w:szCs w:val="32"/>
        </w:rPr>
        <w:t>xiaoying@szse.cn</w:t>
      </w:r>
      <w:r>
        <w:rPr>
          <w:rFonts w:hint="eastAsia" w:ascii="仿宋" w:hAnsi="仿宋" w:eastAsia="仿宋" w:cs="仿宋"/>
          <w:sz w:val="32"/>
          <w:szCs w:val="32"/>
        </w:rPr>
        <w:fldChar w:fldCharType="end"/>
      </w:r>
    </w:p>
    <w:p>
      <w:pPr>
        <w:spacing w:line="560" w:lineRule="exact"/>
        <w:rPr>
          <w:rFonts w:ascii="仿宋" w:hAnsi="仿宋" w:eastAsia="仿宋" w:cs="仿宋"/>
          <w:sz w:val="32"/>
          <w:szCs w:val="32"/>
        </w:rPr>
      </w:pPr>
    </w:p>
    <w:p>
      <w:pPr>
        <w:pStyle w:val="3"/>
        <w:ind w:firstLine="640" w:firstLineChars="200"/>
        <w:rPr>
          <w:rFonts w:ascii="Times New Roman" w:hAnsi="Times New Roman" w:cs="Times New Roman"/>
        </w:rPr>
      </w:pPr>
      <w:bookmarkStart w:id="30" w:name="_Toc28687"/>
      <w:bookmarkStart w:id="31" w:name="_Toc85216148"/>
      <w:bookmarkStart w:id="32" w:name="_Toc12121"/>
      <w:r>
        <w:rPr>
          <w:rFonts w:ascii="Times New Roman" w:hAnsi="Times New Roman" w:cs="Times New Roman"/>
        </w:rPr>
        <w:t>十</w:t>
      </w:r>
      <w:r>
        <w:rPr>
          <w:rFonts w:hint="eastAsia" w:ascii="Times New Roman" w:hAnsi="Times New Roman" w:cs="Times New Roman"/>
        </w:rPr>
        <w:t>一</w:t>
      </w:r>
      <w:r>
        <w:rPr>
          <w:rFonts w:ascii="Times New Roman" w:hAnsi="Times New Roman" w:cs="Times New Roman"/>
        </w:rPr>
        <w:t>、办公地址和时间</w:t>
      </w:r>
      <w:bookmarkEnd w:id="30"/>
      <w:bookmarkEnd w:id="31"/>
      <w:bookmarkEnd w:id="32"/>
    </w:p>
    <w:p>
      <w:pPr>
        <w:pStyle w:val="4"/>
        <w:ind w:firstLine="643"/>
        <w:rPr>
          <w:rFonts w:ascii="仿宋" w:hAnsi="仿宋" w:cs="Times New Roman"/>
        </w:rPr>
      </w:pPr>
      <w:bookmarkStart w:id="33" w:name="_Toc11474"/>
      <w:bookmarkStart w:id="34" w:name="_Toc22482"/>
      <w:bookmarkStart w:id="35" w:name="_Toc85216149"/>
      <w:r>
        <w:rPr>
          <w:rFonts w:ascii="仿宋" w:hAnsi="仿宋" w:cs="Times New Roman"/>
        </w:rPr>
        <w:t>（一）办公地址</w:t>
      </w:r>
      <w:bookmarkEnd w:id="33"/>
      <w:bookmarkEnd w:id="34"/>
      <w:bookmarkEnd w:id="35"/>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rPr>
        <w:t>9</w:t>
      </w:r>
      <w:r>
        <w:rPr>
          <w:rFonts w:ascii="仿宋" w:hAnsi="仿宋" w:eastAsia="仿宋" w:cs="Times New Roman"/>
          <w:sz w:val="32"/>
          <w:szCs w:val="32"/>
        </w:rPr>
        <w:t>楼9</w:t>
      </w:r>
      <w:r>
        <w:rPr>
          <w:rFonts w:hint="eastAsia" w:ascii="仿宋" w:hAnsi="仿宋" w:eastAsia="仿宋" w:cs="Times New Roman"/>
          <w:sz w:val="32"/>
          <w:szCs w:val="32"/>
        </w:rPr>
        <w:t>23</w:t>
      </w:r>
      <w:r>
        <w:rPr>
          <w:rFonts w:ascii="仿宋" w:hAnsi="仿宋" w:eastAsia="仿宋" w:cs="Times New Roman"/>
          <w:sz w:val="32"/>
          <w:szCs w:val="32"/>
        </w:rPr>
        <w:t>室</w:t>
      </w:r>
    </w:p>
    <w:p>
      <w:pPr>
        <w:pStyle w:val="4"/>
        <w:ind w:firstLine="643"/>
        <w:rPr>
          <w:rFonts w:ascii="仿宋" w:hAnsi="仿宋" w:cs="Times New Roman"/>
        </w:rPr>
      </w:pPr>
      <w:bookmarkStart w:id="36" w:name="_Toc27216"/>
      <w:bookmarkStart w:id="37" w:name="_Toc85216150"/>
      <w:bookmarkStart w:id="38" w:name="_Toc3867"/>
      <w:r>
        <w:rPr>
          <w:rFonts w:ascii="仿宋" w:hAnsi="仿宋" w:cs="Times New Roman"/>
        </w:rPr>
        <w:t>（二）办公时间</w:t>
      </w:r>
      <w:bookmarkEnd w:id="36"/>
      <w:bookmarkEnd w:id="37"/>
      <w:bookmarkEnd w:id="38"/>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周一至周五 8:30-11:30;13:30-17:00。</w:t>
      </w:r>
    </w:p>
    <w:p>
      <w:pPr>
        <w:spacing w:line="560" w:lineRule="exact"/>
        <w:ind w:firstLine="640" w:firstLineChars="200"/>
        <w:rPr>
          <w:rFonts w:ascii="仿宋" w:hAnsi="仿宋" w:eastAsia="仿宋" w:cs="Times New Roman"/>
          <w:sz w:val="32"/>
          <w:szCs w:val="32"/>
        </w:rPr>
      </w:pPr>
    </w:p>
    <w:p>
      <w:pPr>
        <w:spacing w:line="560" w:lineRule="exact"/>
        <w:ind w:firstLine="640" w:firstLineChars="200"/>
      </w:pPr>
      <w:r>
        <w:rPr>
          <w:rFonts w:hint="eastAsia" w:ascii="仿宋" w:hAnsi="仿宋" w:eastAsia="仿宋" w:cs="Times New Roman"/>
          <w:sz w:val="32"/>
          <w:szCs w:val="32"/>
        </w:rPr>
        <w:t>附件：</w:t>
      </w:r>
    </w:p>
    <w:p>
      <w:pPr>
        <w:numPr>
          <w:ilvl w:val="0"/>
          <w:numId w:val="7"/>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质押式报价回购交易承诺函</w:t>
      </w:r>
    </w:p>
    <w:p>
      <w:pPr>
        <w:numPr>
          <w:ilvl w:val="0"/>
          <w:numId w:val="7"/>
        </w:num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质押式报价回购交易</w:t>
      </w:r>
      <w:r>
        <w:rPr>
          <w:rFonts w:hint="eastAsia" w:ascii="仿宋" w:hAnsi="仿宋" w:eastAsia="仿宋" w:cs="Times New Roman"/>
          <w:sz w:val="32"/>
          <w:szCs w:val="32"/>
        </w:rPr>
        <w:t>相关协议样本</w:t>
      </w:r>
    </w:p>
    <w:p>
      <w:pPr>
        <w:numPr>
          <w:ilvl w:val="255"/>
          <w:numId w:val="0"/>
        </w:numPr>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 xml:space="preserve">  2-1 </w:t>
      </w:r>
      <w:r>
        <w:rPr>
          <w:rFonts w:hint="eastAsia" w:ascii="Times New Roman" w:hAnsi="Times New Roman" w:eastAsia="仿宋" w:cs="Times New Roman"/>
          <w:sz w:val="32"/>
          <w:szCs w:val="32"/>
        </w:rPr>
        <w:t>《客户协议》必备条款</w:t>
      </w:r>
    </w:p>
    <w:p>
      <w:pPr>
        <w:numPr>
          <w:ilvl w:val="255"/>
          <w:numId w:val="0"/>
        </w:numPr>
        <w:spacing w:line="560" w:lineRule="exact"/>
        <w:ind w:firstLine="960" w:firstLineChars="300"/>
        <w:rPr>
          <w:rFonts w:ascii="Times New Roman" w:hAnsi="Times New Roman" w:eastAsia="仿宋" w:cs="Times New Roman"/>
          <w:sz w:val="32"/>
          <w:szCs w:val="32"/>
        </w:rPr>
      </w:pPr>
      <w:r>
        <w:rPr>
          <w:rFonts w:hint="eastAsia" w:ascii="仿宋" w:hAnsi="仿宋" w:eastAsia="仿宋" w:cs="Times New Roman"/>
          <w:sz w:val="32"/>
          <w:szCs w:val="32"/>
        </w:rPr>
        <w:t xml:space="preserve">2-2 </w:t>
      </w:r>
      <w:r>
        <w:rPr>
          <w:rFonts w:hint="eastAsia" w:ascii="Times New Roman" w:hAnsi="Times New Roman" w:eastAsia="仿宋" w:cs="Times New Roman"/>
          <w:sz w:val="32"/>
          <w:szCs w:val="32"/>
        </w:rPr>
        <w:t>《风险揭示书》必备条款</w:t>
      </w:r>
    </w:p>
    <w:p>
      <w:pPr>
        <w:numPr>
          <w:ilvl w:val="255"/>
          <w:numId w:val="0"/>
        </w:numPr>
        <w:spacing w:line="560" w:lineRule="exact"/>
        <w:ind w:firstLine="960" w:firstLineChars="300"/>
        <w:rPr>
          <w:rFonts w:ascii="仿宋" w:hAnsi="仿宋" w:eastAsia="仿宋" w:cs="Times New Roman"/>
          <w:sz w:val="32"/>
          <w:szCs w:val="32"/>
        </w:rPr>
      </w:pPr>
      <w:r>
        <w:rPr>
          <w:rFonts w:hint="eastAsia" w:ascii="仿宋" w:hAnsi="仿宋" w:eastAsia="仿宋" w:cs="Times New Roman"/>
          <w:sz w:val="32"/>
          <w:szCs w:val="32"/>
        </w:rPr>
        <w:t xml:space="preserve">2-3 </w:t>
      </w:r>
      <w:r>
        <w:rPr>
          <w:rFonts w:hint="eastAsia" w:ascii="Times New Roman" w:hAnsi="Times New Roman" w:eastAsia="仿宋" w:cs="Times New Roman"/>
          <w:sz w:val="32"/>
          <w:szCs w:val="32"/>
        </w:rPr>
        <w:t>《产品资料概览》格式</w:t>
      </w:r>
    </w:p>
    <w:p>
      <w:pPr>
        <w:numPr>
          <w:ilvl w:val="0"/>
          <w:numId w:val="7"/>
        </w:num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质押式报价回购交易证券代码通知书</w:t>
      </w:r>
    </w:p>
    <w:p>
      <w:r>
        <w:rPr>
          <w:rFonts w:hint="eastAsia"/>
        </w:rPr>
        <w:br w:type="page"/>
      </w:r>
    </w:p>
    <w:p>
      <w:pPr>
        <w:adjustRightInd w:val="0"/>
        <w:snapToGrid w:val="0"/>
        <w:spacing w:line="520" w:lineRule="exact"/>
        <w:rPr>
          <w:rFonts w:ascii="黑体" w:hAnsi="黑体" w:eastAsia="黑体" w:cs="黑体"/>
          <w:sz w:val="30"/>
          <w:szCs w:val="30"/>
        </w:rPr>
      </w:pPr>
      <w:r>
        <w:rPr>
          <w:rFonts w:hint="eastAsia" w:ascii="黑体" w:hAnsi="黑体" w:eastAsia="黑体" w:cs="黑体"/>
          <w:sz w:val="30"/>
          <w:szCs w:val="30"/>
        </w:rPr>
        <w:t>附件1</w:t>
      </w:r>
    </w:p>
    <w:p>
      <w:pPr>
        <w:adjustRightInd w:val="0"/>
        <w:snapToGrid w:val="0"/>
        <w:spacing w:line="520" w:lineRule="exact"/>
        <w:jc w:val="center"/>
        <w:rPr>
          <w:rFonts w:ascii="黑体" w:eastAsia="黑体"/>
          <w:b/>
          <w:sz w:val="36"/>
          <w:szCs w:val="30"/>
        </w:rPr>
      </w:pPr>
      <w:r>
        <w:rPr>
          <w:rFonts w:hint="eastAsia" w:ascii="黑体" w:eastAsia="黑体"/>
          <w:b/>
          <w:sz w:val="36"/>
          <w:szCs w:val="30"/>
        </w:rPr>
        <w:t>质押式报价回购交易承诺函</w:t>
      </w:r>
    </w:p>
    <w:p>
      <w:pPr>
        <w:adjustRightInd w:val="0"/>
        <w:snapToGrid w:val="0"/>
        <w:spacing w:line="520" w:lineRule="exact"/>
        <w:rPr>
          <w:rFonts w:ascii="仿宋_GB2312" w:eastAsia="仿宋_GB2312"/>
          <w:sz w:val="30"/>
          <w:szCs w:val="30"/>
        </w:rPr>
      </w:pPr>
    </w:p>
    <w:p>
      <w:pPr>
        <w:adjustRightInd w:val="0"/>
        <w:snapToGrid w:val="0"/>
        <w:spacing w:line="480" w:lineRule="exact"/>
        <w:rPr>
          <w:rFonts w:ascii="仿宋_GB2312" w:hAnsi="宋体" w:eastAsia="仿宋_GB2312"/>
          <w:sz w:val="30"/>
          <w:szCs w:val="30"/>
        </w:rPr>
      </w:pPr>
      <w:r>
        <w:rPr>
          <w:rFonts w:hint="eastAsia" w:ascii="仿宋_GB2312" w:hAnsi="宋体" w:eastAsia="仿宋_GB2312"/>
          <w:sz w:val="30"/>
          <w:szCs w:val="30"/>
        </w:rPr>
        <w:t>深圳证券交易所：</w:t>
      </w:r>
    </w:p>
    <w:p>
      <w:pPr>
        <w:adjustRightInd w:val="0"/>
        <w:snapToGrid w:val="0"/>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我司申请参与质押式报价回购交易业务，并郑重承诺如下：</w:t>
      </w:r>
    </w:p>
    <w:p>
      <w:pPr>
        <w:numPr>
          <w:ilvl w:val="0"/>
          <w:numId w:val="8"/>
        </w:numPr>
        <w:autoSpaceDE w:val="0"/>
        <w:autoSpaceDN w:val="0"/>
        <w:adjustRightInd w:val="0"/>
        <w:snapToGrid w:val="0"/>
        <w:spacing w:line="480" w:lineRule="exact"/>
        <w:ind w:left="0" w:firstLine="539"/>
        <w:rPr>
          <w:rFonts w:ascii="仿宋_GB2312" w:hAnsi="宋体" w:eastAsia="仿宋_GB2312"/>
          <w:sz w:val="30"/>
          <w:szCs w:val="30"/>
        </w:rPr>
      </w:pPr>
      <w:r>
        <w:rPr>
          <w:rFonts w:hint="eastAsia" w:ascii="仿宋_GB2312" w:hAnsi="宋体" w:eastAsia="仿宋_GB2312"/>
          <w:sz w:val="30"/>
          <w:szCs w:val="30"/>
        </w:rPr>
        <w:t>我司充分知晓、认可并同意遵守《质押式报价回购交易及登记结算业务办法》（以下简称“《业务办法》”）、《深圳证券交易所质押式报价回购交易会员业务指南》及其他相关规定。</w:t>
      </w:r>
    </w:p>
    <w:p>
      <w:pPr>
        <w:numPr>
          <w:ilvl w:val="0"/>
          <w:numId w:val="8"/>
        </w:numPr>
        <w:autoSpaceDE w:val="0"/>
        <w:autoSpaceDN w:val="0"/>
        <w:adjustRightInd w:val="0"/>
        <w:snapToGrid w:val="0"/>
        <w:spacing w:line="480" w:lineRule="exact"/>
        <w:ind w:left="0" w:firstLine="539"/>
        <w:rPr>
          <w:rFonts w:ascii="仿宋_GB2312" w:hAnsi="宋体" w:eastAsia="仿宋_GB2312"/>
          <w:sz w:val="30"/>
          <w:szCs w:val="30"/>
        </w:rPr>
      </w:pPr>
      <w:r>
        <w:rPr>
          <w:rFonts w:hint="eastAsia" w:ascii="仿宋_GB2312" w:hAnsi="宋体" w:eastAsia="仿宋_GB2312"/>
          <w:sz w:val="30"/>
          <w:szCs w:val="30"/>
        </w:rPr>
        <w:t>我司同意接受贵所依据《业务办法》及其他相关规定对本业务实施的监管。</w:t>
      </w:r>
    </w:p>
    <w:p>
      <w:pPr>
        <w:numPr>
          <w:ilvl w:val="0"/>
          <w:numId w:val="8"/>
        </w:numPr>
        <w:autoSpaceDE w:val="0"/>
        <w:autoSpaceDN w:val="0"/>
        <w:adjustRightInd w:val="0"/>
        <w:snapToGrid w:val="0"/>
        <w:spacing w:line="480" w:lineRule="exact"/>
        <w:ind w:left="0" w:firstLine="539"/>
        <w:rPr>
          <w:rFonts w:ascii="仿宋_GB2312" w:hAnsi="宋体" w:eastAsia="仿宋_GB2312"/>
          <w:sz w:val="30"/>
          <w:szCs w:val="30"/>
        </w:rPr>
      </w:pPr>
      <w:r>
        <w:rPr>
          <w:rFonts w:hint="eastAsia" w:ascii="仿宋_GB2312" w:hAnsi="宋体" w:eastAsia="仿宋_GB2312"/>
          <w:sz w:val="30"/>
          <w:szCs w:val="30"/>
        </w:rPr>
        <w:t>我司同意遵照《业务办法》及其他相关规定和贵所要求及时提供相关材料，并保证材料的真实性、准确性和完整性。</w:t>
      </w:r>
    </w:p>
    <w:p>
      <w:pPr>
        <w:numPr>
          <w:ilvl w:val="0"/>
          <w:numId w:val="8"/>
        </w:numPr>
        <w:autoSpaceDE w:val="0"/>
        <w:autoSpaceDN w:val="0"/>
        <w:adjustRightInd w:val="0"/>
        <w:snapToGrid w:val="0"/>
        <w:spacing w:line="480" w:lineRule="exact"/>
        <w:ind w:left="0" w:firstLine="539"/>
        <w:rPr>
          <w:rFonts w:ascii="仿宋_GB2312" w:hAnsi="宋体" w:eastAsia="仿宋_GB2312"/>
          <w:sz w:val="30"/>
          <w:szCs w:val="30"/>
        </w:rPr>
      </w:pPr>
      <w:r>
        <w:rPr>
          <w:rFonts w:hint="eastAsia" w:ascii="仿宋_GB2312" w:hAnsi="宋体" w:eastAsia="仿宋_GB2312"/>
          <w:sz w:val="30"/>
          <w:szCs w:val="30"/>
        </w:rPr>
        <w:t>我司承诺</w:t>
      </w:r>
      <w:r>
        <w:rPr>
          <w:rFonts w:hint="eastAsia" w:ascii="仿宋_GB2312" w:eastAsia="仿宋_GB2312"/>
          <w:sz w:val="30"/>
          <w:szCs w:val="30"/>
        </w:rPr>
        <w:t>对符合同一报价标准的客户，给予相同报价。</w:t>
      </w:r>
    </w:p>
    <w:p>
      <w:pPr>
        <w:numPr>
          <w:ilvl w:val="0"/>
          <w:numId w:val="8"/>
        </w:numPr>
        <w:autoSpaceDE w:val="0"/>
        <w:autoSpaceDN w:val="0"/>
        <w:adjustRightInd w:val="0"/>
        <w:snapToGrid w:val="0"/>
        <w:spacing w:line="480" w:lineRule="exact"/>
        <w:ind w:left="0" w:firstLine="567"/>
        <w:rPr>
          <w:rFonts w:ascii="仿宋_GB2312" w:hAnsi="宋体" w:eastAsia="仿宋_GB2312"/>
          <w:sz w:val="30"/>
          <w:szCs w:val="30"/>
        </w:rPr>
      </w:pPr>
      <w:r>
        <w:rPr>
          <w:rFonts w:hint="eastAsia" w:ascii="仿宋_GB2312" w:hAnsi="宋体" w:eastAsia="仿宋_GB2312"/>
          <w:sz w:val="30"/>
          <w:szCs w:val="30"/>
        </w:rPr>
        <w:t>我司同意遵照贵所的技术规范要求建立或改造交易及相关系统，严格按照接口要求发送业务数据和指令，并对发送的数据及指令的准确性、完整性和有效性负责。</w:t>
      </w:r>
    </w:p>
    <w:p>
      <w:pPr>
        <w:numPr>
          <w:ilvl w:val="0"/>
          <w:numId w:val="8"/>
        </w:numPr>
        <w:autoSpaceDE w:val="0"/>
        <w:autoSpaceDN w:val="0"/>
        <w:adjustRightInd w:val="0"/>
        <w:snapToGrid w:val="0"/>
        <w:spacing w:line="480" w:lineRule="exact"/>
        <w:ind w:left="0" w:firstLine="567"/>
        <w:rPr>
          <w:rFonts w:ascii="仿宋_GB2312" w:hAnsi="宋体" w:eastAsia="仿宋_GB2312"/>
          <w:sz w:val="30"/>
          <w:szCs w:val="30"/>
        </w:rPr>
      </w:pPr>
      <w:r>
        <w:rPr>
          <w:rFonts w:hint="eastAsia" w:ascii="仿宋_GB2312" w:hAnsi="宋体" w:eastAsia="仿宋_GB2312"/>
          <w:sz w:val="30"/>
          <w:szCs w:val="30"/>
        </w:rPr>
        <w:t>我司因自身原因导致质押式报价回购交易业务出现差错的，将立即通知贵所并及时采取措施，自行负责与客户协商解决。由此给客户造成的损失，贵所不承担任何责任。</w:t>
      </w:r>
    </w:p>
    <w:p>
      <w:pPr>
        <w:numPr>
          <w:ilvl w:val="0"/>
          <w:numId w:val="8"/>
        </w:numPr>
        <w:autoSpaceDE w:val="0"/>
        <w:autoSpaceDN w:val="0"/>
        <w:adjustRightInd w:val="0"/>
        <w:snapToGrid w:val="0"/>
        <w:spacing w:line="480" w:lineRule="exact"/>
        <w:ind w:left="0" w:firstLine="567"/>
        <w:rPr>
          <w:rFonts w:ascii="仿宋_GB2312" w:hAnsi="宋体" w:eastAsia="仿宋_GB2312"/>
          <w:sz w:val="30"/>
          <w:szCs w:val="30"/>
        </w:rPr>
      </w:pPr>
      <w:r>
        <w:rPr>
          <w:rFonts w:hint="eastAsia" w:ascii="仿宋_GB2312" w:hAnsi="宋体" w:eastAsia="仿宋_GB2312"/>
          <w:sz w:val="30"/>
          <w:szCs w:val="30"/>
        </w:rPr>
        <w:t>我司同意遵照贵所指定的登记结算机构的规定和要求办理质押式报价回购交易的清算、交收。</w:t>
      </w:r>
    </w:p>
    <w:p>
      <w:pPr>
        <w:numPr>
          <w:ilvl w:val="0"/>
          <w:numId w:val="8"/>
        </w:numPr>
        <w:autoSpaceDE w:val="0"/>
        <w:autoSpaceDN w:val="0"/>
        <w:adjustRightInd w:val="0"/>
        <w:snapToGrid w:val="0"/>
        <w:spacing w:line="480" w:lineRule="exact"/>
        <w:ind w:left="0" w:firstLine="539"/>
        <w:rPr>
          <w:rFonts w:ascii="仿宋_GB2312" w:hAnsi="宋体" w:eastAsia="仿宋_GB2312"/>
          <w:sz w:val="30"/>
          <w:szCs w:val="30"/>
        </w:rPr>
      </w:pPr>
      <w:r>
        <w:rPr>
          <w:rFonts w:hint="eastAsia" w:ascii="仿宋_GB2312" w:hAnsi="宋体" w:eastAsia="仿宋_GB2312"/>
          <w:sz w:val="30"/>
          <w:szCs w:val="30"/>
        </w:rPr>
        <w:t>我司接受贵所依据《业务办法》及其他相关规定或国家有关主管机关的要求，暂停或终止我司质押式报价回购交易权限。</w:t>
      </w:r>
    </w:p>
    <w:p>
      <w:pPr>
        <w:pStyle w:val="7"/>
        <w:adjustRightInd w:val="0"/>
        <w:snapToGrid w:val="0"/>
        <w:spacing w:line="480" w:lineRule="exact"/>
        <w:jc w:val="right"/>
        <w:rPr>
          <w:rFonts w:ascii="仿宋_GB2312" w:hAnsi="宋体" w:eastAsia="仿宋_GB2312"/>
          <w:sz w:val="30"/>
          <w:szCs w:val="30"/>
        </w:rPr>
      </w:pPr>
      <w:r>
        <w:rPr>
          <w:rFonts w:hint="eastAsia" w:ascii="仿宋_GB2312" w:hAnsi="宋体" w:eastAsia="仿宋_GB2312"/>
          <w:sz w:val="30"/>
          <w:szCs w:val="30"/>
        </w:rPr>
        <w:t xml:space="preserve">                          承诺人（公司盖章）</w:t>
      </w:r>
    </w:p>
    <w:p>
      <w:pPr>
        <w:pStyle w:val="7"/>
        <w:adjustRightInd w:val="0"/>
        <w:snapToGrid w:val="0"/>
        <w:spacing w:line="480" w:lineRule="exact"/>
        <w:jc w:val="right"/>
        <w:rPr>
          <w:rFonts w:ascii="仿宋_GB2312" w:hAnsi="宋体" w:eastAsia="仿宋_GB2312"/>
          <w:sz w:val="30"/>
          <w:szCs w:val="30"/>
        </w:rPr>
      </w:pPr>
      <w:r>
        <w:rPr>
          <w:rFonts w:hint="eastAsia" w:ascii="仿宋_GB2312" w:hAnsi="宋体" w:eastAsia="仿宋_GB2312"/>
          <w:sz w:val="30"/>
          <w:szCs w:val="30"/>
        </w:rPr>
        <w:t xml:space="preserve">          法定代表人（签字）</w:t>
      </w:r>
    </w:p>
    <w:p>
      <w:pPr>
        <w:pStyle w:val="7"/>
        <w:adjustRightInd w:val="0"/>
        <w:snapToGrid w:val="0"/>
        <w:spacing w:line="480" w:lineRule="exact"/>
        <w:ind w:firstLine="600" w:firstLineChars="200"/>
        <w:jc w:val="right"/>
        <w:rPr>
          <w:rFonts w:hAnsi="宋体"/>
          <w:sz w:val="28"/>
          <w:szCs w:val="28"/>
        </w:rPr>
      </w:pPr>
      <w:r>
        <w:rPr>
          <w:rFonts w:hint="eastAsia" w:ascii="仿宋_GB2312" w:hAnsi="宋体" w:eastAsia="仿宋_GB2312"/>
          <w:sz w:val="30"/>
          <w:szCs w:val="30"/>
        </w:rPr>
        <w:t xml:space="preserve">                             年    月    日</w:t>
      </w:r>
    </w:p>
    <w:p>
      <w:pPr>
        <w:adjustRightInd w:val="0"/>
        <w:snapToGrid w:val="0"/>
        <w:spacing w:line="520" w:lineRule="exact"/>
        <w:rPr>
          <w:rFonts w:ascii="黑体" w:hAnsi="黑体" w:eastAsia="黑体" w:cs="黑体"/>
          <w:sz w:val="30"/>
          <w:szCs w:val="30"/>
        </w:rPr>
      </w:pPr>
      <w:r>
        <w:rPr>
          <w:rFonts w:ascii="仿宋_GB2312" w:hAnsi="宋体" w:eastAsia="仿宋_GB2312"/>
          <w:sz w:val="30"/>
          <w:szCs w:val="30"/>
        </w:rPr>
        <w:br w:type="page"/>
      </w:r>
      <w:r>
        <w:rPr>
          <w:rFonts w:hint="eastAsia" w:ascii="黑体" w:hAnsi="黑体" w:eastAsia="黑体" w:cs="黑体"/>
          <w:sz w:val="30"/>
          <w:szCs w:val="30"/>
        </w:rPr>
        <w:t>附件2-1</w:t>
      </w:r>
    </w:p>
    <w:p>
      <w:pPr>
        <w:adjustRightInd w:val="0"/>
        <w:snapToGrid w:val="0"/>
        <w:spacing w:line="520" w:lineRule="exact"/>
        <w:rPr>
          <w:rFonts w:ascii="黑体" w:hAnsi="黑体" w:eastAsia="黑体" w:cs="黑体"/>
          <w:sz w:val="30"/>
          <w:szCs w:val="30"/>
        </w:rPr>
      </w:pPr>
    </w:p>
    <w:p>
      <w:pPr>
        <w:adjustRightInd w:val="0"/>
        <w:snapToGrid w:val="0"/>
        <w:spacing w:line="520" w:lineRule="exact"/>
        <w:jc w:val="center"/>
        <w:rPr>
          <w:rFonts w:ascii="方正小标宋简体" w:eastAsia="方正小标宋简体"/>
          <w:bCs/>
          <w:sz w:val="36"/>
          <w:szCs w:val="36"/>
        </w:rPr>
      </w:pPr>
      <w:r>
        <w:rPr>
          <w:rFonts w:hint="eastAsia" w:ascii="方正小标宋简体" w:eastAsia="方正小标宋简体"/>
          <w:bCs/>
          <w:sz w:val="36"/>
          <w:szCs w:val="36"/>
        </w:rPr>
        <w:t>质押式报价回购交易客户协议必备条款</w:t>
      </w:r>
    </w:p>
    <w:p>
      <w:pPr>
        <w:tabs>
          <w:tab w:val="left" w:pos="2552"/>
        </w:tabs>
        <w:adjustRightInd w:val="0"/>
        <w:snapToGrid w:val="0"/>
        <w:spacing w:line="240" w:lineRule="exact"/>
        <w:rPr>
          <w:rFonts w:ascii="仿宋_GB2312" w:hAnsi="宋体" w:eastAsia="仿宋_GB2312"/>
          <w:sz w:val="30"/>
          <w:szCs w:val="30"/>
        </w:rPr>
      </w:pPr>
    </w:p>
    <w:p>
      <w:pPr>
        <w:tabs>
          <w:tab w:val="left" w:pos="2552"/>
        </w:tabs>
        <w:adjustRightInd w:val="0"/>
        <w:snapToGrid w:val="0"/>
        <w:spacing w:line="240" w:lineRule="exact"/>
        <w:rPr>
          <w:rFonts w:ascii="仿宋_GB2312" w:hAnsi="宋体" w:eastAsia="仿宋_GB2312"/>
          <w:sz w:val="30"/>
          <w:szCs w:val="30"/>
        </w:rPr>
      </w:pPr>
    </w:p>
    <w:p>
      <w:pPr>
        <w:adjustRightInd w:val="0"/>
        <w:snapToGrid w:val="0"/>
        <w:spacing w:line="480" w:lineRule="exact"/>
        <w:ind w:firstLine="560" w:firstLineChars="200"/>
        <w:rPr>
          <w:rFonts w:ascii="仿宋" w:hAnsi="仿宋" w:eastAsia="仿宋"/>
          <w:kern w:val="0"/>
          <w:sz w:val="28"/>
          <w:szCs w:val="28"/>
        </w:rPr>
      </w:pPr>
      <w:r>
        <w:rPr>
          <w:rFonts w:hint="eastAsia" w:ascii="仿宋" w:hAnsi="仿宋" w:eastAsia="仿宋"/>
          <w:kern w:val="0"/>
          <w:sz w:val="28"/>
          <w:szCs w:val="28"/>
        </w:rPr>
        <w:t>证券公司应当在其与客户签订的协议中载明必备条款所要求的内容，并不得擅自修改或删除必备条款的内容。证券公司可以根据具体情况，在其与客户签订的协议中规定必备条款要求载明以外的、适合本公司实际需要的其他内容，也可以在不改变必备条款规定涵义的前提下，对必备条款作文字和条文顺序的变动。</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证券公司开展质押式报价回购交易（以下简称</w:t>
      </w:r>
      <w:r>
        <w:rPr>
          <w:rFonts w:hint="eastAsia" w:ascii="仿宋" w:hAnsi="仿宋" w:eastAsia="仿宋"/>
          <w:sz w:val="28"/>
          <w:szCs w:val="28"/>
        </w:rPr>
        <w:t>“</w:t>
      </w:r>
      <w:r>
        <w:rPr>
          <w:rFonts w:ascii="仿宋" w:hAnsi="仿宋" w:eastAsia="仿宋"/>
          <w:sz w:val="28"/>
          <w:szCs w:val="28"/>
        </w:rPr>
        <w:t>报价回购交易</w:t>
      </w:r>
      <w:r>
        <w:rPr>
          <w:rFonts w:hint="eastAsia" w:ascii="仿宋" w:hAnsi="仿宋" w:eastAsia="仿宋"/>
          <w:sz w:val="28"/>
          <w:szCs w:val="28"/>
        </w:rPr>
        <w:t>”</w:t>
      </w:r>
      <w:r>
        <w:rPr>
          <w:rFonts w:ascii="仿宋" w:hAnsi="仿宋" w:eastAsia="仿宋"/>
          <w:sz w:val="28"/>
          <w:szCs w:val="28"/>
        </w:rPr>
        <w:t>），应当与客户签订《质押式报价回购交易客户协议》（以下简称</w:t>
      </w:r>
      <w:r>
        <w:rPr>
          <w:rFonts w:hint="eastAsia" w:ascii="仿宋" w:hAnsi="仿宋" w:eastAsia="仿宋"/>
          <w:sz w:val="28"/>
          <w:szCs w:val="28"/>
        </w:rPr>
        <w:t>“</w:t>
      </w:r>
      <w:r>
        <w:rPr>
          <w:rFonts w:ascii="仿宋" w:hAnsi="仿宋" w:eastAsia="仿宋"/>
          <w:sz w:val="28"/>
          <w:szCs w:val="28"/>
        </w:rPr>
        <w:t>客户协议</w:t>
      </w:r>
      <w:r>
        <w:rPr>
          <w:rFonts w:hint="eastAsia" w:ascii="仿宋" w:hAnsi="仿宋" w:eastAsia="仿宋"/>
          <w:sz w:val="28"/>
          <w:szCs w:val="28"/>
        </w:rPr>
        <w:t>”</w:t>
      </w:r>
      <w:r>
        <w:rPr>
          <w:rFonts w:ascii="仿宋" w:hAnsi="仿宋" w:eastAsia="仿宋"/>
          <w:sz w:val="28"/>
          <w:szCs w:val="28"/>
        </w:rPr>
        <w:t>）。客户协议应载明当事人姓名、住所等相关信息，包括但不限于：</w:t>
      </w:r>
    </w:p>
    <w:p>
      <w:pPr>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甲方（指客户，下同）：姓名（或名称）、住所、法定代表人姓名、公司营业执照/个人身份证件号码、联系方式等。</w:t>
      </w:r>
    </w:p>
    <w:p>
      <w:pPr>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乙方（指证券公司，下同）：名称、住所、法定代表人、联系方式等。</w:t>
      </w:r>
    </w:p>
    <w:p>
      <w:pPr>
        <w:numPr>
          <w:ilvl w:val="0"/>
          <w:numId w:val="9"/>
        </w:numPr>
        <w:tabs>
          <w:tab w:val="left" w:pos="1134"/>
          <w:tab w:val="left" w:pos="1276"/>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客户协议应载明订立客户协议的目的和依据。</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客户协议应对报价回购交易、标准券折算率、初始交易的申报价格、提前</w:t>
      </w:r>
      <w:r>
        <w:rPr>
          <w:rFonts w:ascii="仿宋" w:hAnsi="仿宋" w:eastAsia="仿宋"/>
          <w:kern w:val="0"/>
          <w:sz w:val="28"/>
          <w:szCs w:val="28"/>
        </w:rPr>
        <w:t>购回</w:t>
      </w:r>
      <w:r>
        <w:rPr>
          <w:rFonts w:ascii="仿宋" w:hAnsi="仿宋" w:eastAsia="仿宋"/>
          <w:sz w:val="28"/>
          <w:szCs w:val="28"/>
        </w:rPr>
        <w:t>价格、提前</w:t>
      </w:r>
      <w:r>
        <w:rPr>
          <w:rFonts w:ascii="仿宋" w:hAnsi="仿宋" w:eastAsia="仿宋"/>
          <w:kern w:val="0"/>
          <w:sz w:val="28"/>
          <w:szCs w:val="28"/>
        </w:rPr>
        <w:t>购回</w:t>
      </w:r>
      <w:r>
        <w:rPr>
          <w:rFonts w:ascii="仿宋" w:hAnsi="仿宋" w:eastAsia="仿宋"/>
          <w:sz w:val="28"/>
          <w:szCs w:val="28"/>
        </w:rPr>
        <w:t>、交易日、自动续做、手动续做、不再续做等特定用语进行解释或定义，并符合深圳证券交易所（以下简称</w:t>
      </w:r>
      <w:r>
        <w:rPr>
          <w:rFonts w:hint="eastAsia" w:ascii="仿宋" w:hAnsi="仿宋" w:eastAsia="仿宋"/>
          <w:sz w:val="28"/>
          <w:szCs w:val="28"/>
        </w:rPr>
        <w:t>“</w:t>
      </w:r>
      <w:r>
        <w:rPr>
          <w:rFonts w:ascii="仿宋" w:hAnsi="仿宋" w:eastAsia="仿宋"/>
          <w:sz w:val="28"/>
          <w:szCs w:val="28"/>
        </w:rPr>
        <w:t>深交所</w:t>
      </w:r>
      <w:r>
        <w:rPr>
          <w:rFonts w:hint="eastAsia" w:ascii="仿宋" w:hAnsi="仿宋" w:eastAsia="仿宋"/>
          <w:sz w:val="28"/>
          <w:szCs w:val="28"/>
        </w:rPr>
        <w:t>”</w:t>
      </w:r>
      <w:r>
        <w:rPr>
          <w:rFonts w:ascii="仿宋" w:hAnsi="仿宋" w:eastAsia="仿宋"/>
          <w:sz w:val="28"/>
          <w:szCs w:val="28"/>
        </w:rPr>
        <w:t>）和中国证券登记结算有限责任公司（以下简称</w:t>
      </w:r>
      <w:r>
        <w:rPr>
          <w:rFonts w:hint="eastAsia" w:ascii="仿宋" w:hAnsi="仿宋" w:eastAsia="仿宋"/>
          <w:sz w:val="28"/>
          <w:szCs w:val="28"/>
        </w:rPr>
        <w:t>“</w:t>
      </w:r>
      <w:r>
        <w:rPr>
          <w:rFonts w:ascii="仿宋" w:hAnsi="仿宋" w:eastAsia="仿宋"/>
          <w:sz w:val="28"/>
          <w:szCs w:val="28"/>
        </w:rPr>
        <w:t>中国结算</w:t>
      </w:r>
      <w:r>
        <w:rPr>
          <w:rFonts w:hint="eastAsia" w:ascii="仿宋" w:hAnsi="仿宋" w:eastAsia="仿宋"/>
          <w:sz w:val="28"/>
          <w:szCs w:val="28"/>
        </w:rPr>
        <w:t>”</w:t>
      </w:r>
      <w:r>
        <w:rPr>
          <w:rFonts w:ascii="仿宋" w:hAnsi="仿宋" w:eastAsia="仿宋"/>
          <w:sz w:val="28"/>
          <w:szCs w:val="28"/>
        </w:rPr>
        <w:t>）《质押式报价回购交易及登记结算业务办法》（以下简称</w:t>
      </w:r>
      <w:r>
        <w:rPr>
          <w:rFonts w:hint="eastAsia" w:ascii="仿宋" w:hAnsi="仿宋" w:eastAsia="仿宋"/>
          <w:sz w:val="28"/>
          <w:szCs w:val="28"/>
        </w:rPr>
        <w:t>“</w:t>
      </w:r>
      <w:r>
        <w:rPr>
          <w:rFonts w:ascii="仿宋" w:hAnsi="仿宋" w:eastAsia="仿宋"/>
          <w:sz w:val="28"/>
          <w:szCs w:val="28"/>
        </w:rPr>
        <w:t>《业务办法》</w:t>
      </w:r>
      <w:r>
        <w:rPr>
          <w:rFonts w:hint="eastAsia" w:ascii="仿宋" w:hAnsi="仿宋" w:eastAsia="仿宋"/>
          <w:sz w:val="28"/>
          <w:szCs w:val="28"/>
        </w:rPr>
        <w:t>”</w:t>
      </w:r>
      <w:r>
        <w:rPr>
          <w:rFonts w:ascii="仿宋" w:hAnsi="仿宋" w:eastAsia="仿宋"/>
          <w:sz w:val="28"/>
          <w:szCs w:val="28"/>
        </w:rPr>
        <w:t>）的相关规定。</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客户协议应载明交易双方的声明与保证，包括但不限于：</w:t>
      </w:r>
    </w:p>
    <w:p>
      <w:pPr>
        <w:adjustRightInd w:val="0"/>
        <w:snapToGrid w:val="0"/>
        <w:spacing w:line="480" w:lineRule="exact"/>
        <w:ind w:firstLine="560" w:firstLineChars="200"/>
        <w:rPr>
          <w:rFonts w:ascii="仿宋" w:hAnsi="仿宋" w:eastAsia="仿宋"/>
          <w:kern w:val="0"/>
          <w:sz w:val="28"/>
          <w:szCs w:val="28"/>
        </w:rPr>
      </w:pPr>
      <w:r>
        <w:rPr>
          <w:rFonts w:ascii="仿宋" w:hAnsi="仿宋" w:eastAsia="仿宋"/>
          <w:sz w:val="28"/>
          <w:szCs w:val="28"/>
        </w:rPr>
        <w:t>（一）甲方具有相应的报价回购交易主体资格，不存在法律、行政法规、部门规章及其他规范性文件等禁止、限制或不适于参与报价回购交易的情形。乙方是依法设立的证券经营机构，经中国证监会同意开展报价回购交易，并经深交所开通了报价回购交易权限，且该交易权限并未被暂停或终止。</w:t>
      </w:r>
    </w:p>
    <w:p>
      <w:pPr>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（二）交易双方均自愿遵守报价回购交易有关的法律法规、部门规章、交易和结算规则等规定，以及乙方指定的相关业务规定。</w:t>
      </w:r>
    </w:p>
    <w:p>
      <w:pPr>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（三）交易双方用于报价回购交易的资产（包括资金和证券，下同）来源和用途合法，并保证自愿遵守国家反洗钱的相关规定。</w:t>
      </w:r>
    </w:p>
    <w:p>
      <w:pPr>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（四）甲方已仔细阅读客户协议、《质押式报价回购交易风险揭示书》（以下简</w:t>
      </w:r>
      <w:r>
        <w:rPr>
          <w:rFonts w:hint="eastAsia" w:ascii="仿宋" w:hAnsi="仿宋" w:eastAsia="仿宋"/>
          <w:sz w:val="28"/>
          <w:szCs w:val="28"/>
        </w:rPr>
        <w:t>称“《风险揭示书》”）、</w:t>
      </w:r>
      <w:r>
        <w:rPr>
          <w:rFonts w:ascii="仿宋" w:hAnsi="仿宋" w:eastAsia="仿宋"/>
          <w:sz w:val="28"/>
          <w:szCs w:val="28"/>
        </w:rPr>
        <w:t>《产品资料概览》的所有条款、内容以及《业务办法》的规定，听取了乙方对报价回购交易相关规则、客户协议、《风险揭示书》、《产品资料概览》内容的充分说明，准确理解客户协议及《风险揭示书》的确切涵义，特别是甲方的责任条款和乙方免责条款的涵义，清楚认识并愿意承担报价回购交易涉及的相关风险，愿意接受客户协议的约束。</w:t>
      </w:r>
    </w:p>
    <w:p>
      <w:pPr>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（五）甲方承诺以真实身份参与报价回购交易，保证签署客户协议时及客户协议存续期间向乙方披露或提供的信息和资料真实、准确、完整。</w:t>
      </w:r>
    </w:p>
    <w:p>
      <w:pPr>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（六）乙方具有开展报价回购交易的必要条件，能够为甲方进行报价回购交易提供相应的服务。</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（七）交易双方均承诺在客户协议期间内维持上述声明，并保证其真实有效。</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客户协议对报价回购交易的一般性约定至少应包括：</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（一）乙方向深交所提交的报价回购交易申报，均视为基于双方真实交易意愿的申报。乙方未经甲方同意进行交易申报的，应承担全部法律责任，并赔偿由此给甲方造成的损失，但已达成的交易结果不得改变。</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（二）深交所和中国结算深圳分公司对乙方提交的交易申报中各要素的真实性、准确性不进行实质性检查，不承担因申报要素不真实、不准确产生的损失。</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（三）交易双方一致同意，甲方资金不足的将无法参与报价回购交易。</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（四）甲方已充分理解并同意，在报价回购交易中，乙方是甲方回购交易的对手方，同时又代甲方办理委托申报，并负责办理资金结算等事宜。</w:t>
      </w:r>
    </w:p>
    <w:p>
      <w:pPr>
        <w:numPr>
          <w:ilvl w:val="0"/>
          <w:numId w:val="9"/>
        </w:numPr>
        <w:tabs>
          <w:tab w:val="left" w:pos="0"/>
        </w:tabs>
        <w:adjustRightInd w:val="0"/>
        <w:snapToGrid w:val="0"/>
        <w:spacing w:line="480" w:lineRule="exact"/>
        <w:ind w:left="0" w:firstLine="560" w:firstLineChars="200"/>
        <w:rPr>
          <w:rFonts w:ascii="仿宋" w:hAnsi="仿宋" w:eastAsia="仿宋"/>
          <w:b/>
          <w:sz w:val="28"/>
          <w:szCs w:val="28"/>
        </w:rPr>
      </w:pPr>
      <w:r>
        <w:rPr>
          <w:rFonts w:ascii="仿宋" w:hAnsi="仿宋" w:eastAsia="仿宋"/>
          <w:kern w:val="0"/>
          <w:sz w:val="28"/>
          <w:szCs w:val="28"/>
        </w:rPr>
        <w:t>客户协议应载明甲方的权利和义务。</w:t>
      </w:r>
    </w:p>
    <w:p>
      <w:pPr>
        <w:tabs>
          <w:tab w:val="left" w:pos="1134"/>
          <w:tab w:val="left" w:pos="1276"/>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（一）甲方的权利至少应包括：</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1．有权查询与其报价回购交易相关的信息。</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2．有权按客户协议约定申请提前购回。</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3．有权按客户协议约定申请不再续做。</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4．有权获取报价回购收益。</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（二）甲方的义务至少应包括：</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1．甲方进行报价回购初始委托时应保证其资金账户中有足够的资金，</w:t>
      </w:r>
      <w:r>
        <w:rPr>
          <w:rFonts w:ascii="仿宋" w:hAnsi="仿宋" w:eastAsia="仿宋"/>
          <w:sz w:val="28"/>
          <w:szCs w:val="28"/>
        </w:rPr>
        <w:t>根据成交结果承担</w:t>
      </w:r>
      <w:r>
        <w:rPr>
          <w:rFonts w:ascii="仿宋" w:hAnsi="仿宋" w:eastAsia="仿宋"/>
          <w:kern w:val="0"/>
          <w:sz w:val="28"/>
          <w:szCs w:val="28"/>
        </w:rPr>
        <w:t>相应的清算交收责任。</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2．甲方在参与报价回购交易期间，不得撤销与乙方的托管关系，不得进行销户等操作。</w:t>
      </w:r>
    </w:p>
    <w:p>
      <w:pPr>
        <w:numPr>
          <w:ilvl w:val="0"/>
          <w:numId w:val="9"/>
        </w:numPr>
        <w:tabs>
          <w:tab w:val="left" w:pos="0"/>
        </w:tabs>
        <w:adjustRightInd w:val="0"/>
        <w:snapToGrid w:val="0"/>
        <w:spacing w:line="480" w:lineRule="exact"/>
        <w:ind w:left="0" w:firstLine="560" w:firstLineChars="200"/>
        <w:rPr>
          <w:rFonts w:ascii="仿宋" w:hAnsi="仿宋" w:eastAsia="仿宋"/>
          <w:kern w:val="0"/>
          <w:sz w:val="28"/>
          <w:szCs w:val="28"/>
        </w:rPr>
      </w:pPr>
      <w:r>
        <w:rPr>
          <w:rFonts w:ascii="仿宋" w:hAnsi="仿宋" w:eastAsia="仿宋"/>
          <w:kern w:val="0"/>
          <w:sz w:val="28"/>
          <w:szCs w:val="28"/>
        </w:rPr>
        <w:t>客户协议应载明乙方的权利和义务。</w:t>
      </w:r>
    </w:p>
    <w:p>
      <w:pPr>
        <w:tabs>
          <w:tab w:val="left" w:pos="1134"/>
          <w:tab w:val="left" w:pos="1276"/>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（一）乙方的权利至少应包括：</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1．</w:t>
      </w:r>
      <w:r>
        <w:rPr>
          <w:rFonts w:ascii="仿宋" w:hAnsi="仿宋" w:eastAsia="仿宋"/>
          <w:sz w:val="28"/>
          <w:szCs w:val="28"/>
        </w:rPr>
        <w:t>有权拒绝可能导致可用额度超限的委托或其他指令</w:t>
      </w:r>
      <w:r>
        <w:rPr>
          <w:rFonts w:ascii="仿宋" w:hAnsi="仿宋" w:eastAsia="仿宋"/>
          <w:kern w:val="0"/>
          <w:sz w:val="28"/>
          <w:szCs w:val="28"/>
        </w:rPr>
        <w:t>，</w:t>
      </w:r>
      <w:r>
        <w:rPr>
          <w:rFonts w:ascii="仿宋" w:hAnsi="仿宋" w:eastAsia="仿宋"/>
          <w:sz w:val="28"/>
          <w:szCs w:val="28"/>
        </w:rPr>
        <w:t>有权拒绝非交易时间的委托</w:t>
      </w:r>
      <w:r>
        <w:rPr>
          <w:rFonts w:ascii="仿宋" w:hAnsi="仿宋" w:eastAsia="仿宋"/>
          <w:kern w:val="0"/>
          <w:sz w:val="28"/>
          <w:szCs w:val="28"/>
        </w:rPr>
        <w:t>，并有权在乙方报价回购业务权限</w:t>
      </w:r>
      <w:r>
        <w:rPr>
          <w:rFonts w:ascii="仿宋" w:hAnsi="仿宋" w:eastAsia="仿宋"/>
          <w:sz w:val="28"/>
          <w:szCs w:val="28"/>
        </w:rPr>
        <w:t>暂停</w:t>
      </w:r>
      <w:r>
        <w:rPr>
          <w:rFonts w:ascii="仿宋" w:hAnsi="仿宋" w:eastAsia="仿宋"/>
          <w:kern w:val="0"/>
          <w:sz w:val="28"/>
          <w:szCs w:val="28"/>
        </w:rPr>
        <w:t>期间</w:t>
      </w:r>
      <w:r>
        <w:rPr>
          <w:rFonts w:ascii="仿宋" w:hAnsi="仿宋" w:eastAsia="仿宋"/>
          <w:sz w:val="28"/>
          <w:szCs w:val="28"/>
        </w:rPr>
        <w:t>拒绝</w:t>
      </w:r>
      <w:r>
        <w:rPr>
          <w:rFonts w:ascii="仿宋" w:hAnsi="仿宋" w:eastAsia="仿宋"/>
          <w:kern w:val="0"/>
          <w:sz w:val="28"/>
          <w:szCs w:val="28"/>
        </w:rPr>
        <w:t>接受初始交易委托。客户协议应明确乙方报价回购业务权限暂停期间是否拒绝接受提前购回委托。</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2．当质押物经折算后的标准券数量所对应金额超过乙方所担保的全部报价回购交易金额的，乙方可以向中国结算深圳分公司申请将超出部分的质押券转出质押库，或者申请将超出部分的担保资金转出担保资金账户。</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3．</w:t>
      </w:r>
      <w:r>
        <w:rPr>
          <w:rFonts w:ascii="仿宋" w:hAnsi="仿宋" w:eastAsia="仿宋"/>
          <w:sz w:val="28"/>
          <w:szCs w:val="28"/>
        </w:rPr>
        <w:t>对于巨额提前购回</w:t>
      </w:r>
      <w:r>
        <w:rPr>
          <w:rFonts w:ascii="仿宋" w:hAnsi="仿宋" w:eastAsia="仿宋"/>
          <w:kern w:val="0"/>
          <w:sz w:val="28"/>
          <w:szCs w:val="28"/>
        </w:rPr>
        <w:t>或</w:t>
      </w:r>
      <w:r>
        <w:rPr>
          <w:rFonts w:ascii="仿宋" w:hAnsi="仿宋" w:eastAsia="仿宋"/>
          <w:sz w:val="28"/>
          <w:szCs w:val="28"/>
        </w:rPr>
        <w:t>巨额不再续做</w:t>
      </w:r>
      <w:r>
        <w:rPr>
          <w:rFonts w:ascii="仿宋" w:hAnsi="仿宋" w:eastAsia="仿宋"/>
          <w:kern w:val="0"/>
          <w:sz w:val="28"/>
          <w:szCs w:val="28"/>
        </w:rPr>
        <w:t>，</w:t>
      </w:r>
      <w:r>
        <w:rPr>
          <w:rFonts w:ascii="仿宋" w:hAnsi="仿宋" w:eastAsia="仿宋"/>
          <w:sz w:val="28"/>
          <w:szCs w:val="28"/>
        </w:rPr>
        <w:t>甲方</w:t>
      </w:r>
      <w:r>
        <w:rPr>
          <w:rFonts w:ascii="仿宋" w:hAnsi="仿宋" w:eastAsia="仿宋"/>
          <w:kern w:val="0"/>
          <w:sz w:val="28"/>
          <w:szCs w:val="28"/>
        </w:rPr>
        <w:t>应按约定</w:t>
      </w:r>
      <w:r>
        <w:rPr>
          <w:rFonts w:ascii="仿宋" w:hAnsi="仿宋" w:eastAsia="仿宋"/>
          <w:sz w:val="28"/>
          <w:szCs w:val="28"/>
        </w:rPr>
        <w:t>进行提前预约，否则，乙方有权拒绝</w:t>
      </w:r>
      <w:r>
        <w:rPr>
          <w:rFonts w:ascii="仿宋" w:hAnsi="仿宋" w:eastAsia="仿宋"/>
          <w:kern w:val="0"/>
          <w:sz w:val="28"/>
          <w:szCs w:val="28"/>
        </w:rPr>
        <w:t>甲方的申请。</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4．交易存续期内，乙方有权拒绝甲方撤销与乙方的托管关系，销户等操作申请。</w:t>
      </w:r>
    </w:p>
    <w:p>
      <w:pPr>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（二）乙方的义务至少应包括：</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1．除客户协议另有约定外，及时、准确的执行甲方的委托指令。</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2．按时对报价回购交易进行购回清算，并依约向甲方支付收益。</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3．如实记载甲方报价回购交易情况，受理甲方提出的查询申请，向其提供查询服务。</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4．遵守报价回购额度控制的相关规定。</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客户协议应对甲方能否撤销已发出的委托进行明确约定。</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客户协议约定有自动续做的，应明确自动续做的初始交易金额是否包含上一期回购收益。</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客户协议应对一笔回购交易甲方能否部分不再续做进行明确约定。</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kern w:val="0"/>
          <w:sz w:val="28"/>
          <w:szCs w:val="28"/>
        </w:rPr>
        <w:t>客户协议对质押物的管理至少应包括：</w:t>
      </w:r>
    </w:p>
    <w:p>
      <w:pPr>
        <w:tabs>
          <w:tab w:val="left" w:pos="1134"/>
          <w:tab w:val="left" w:pos="1276"/>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（一）关于</w:t>
      </w:r>
      <w:r>
        <w:rPr>
          <w:rFonts w:ascii="仿宋" w:hAnsi="仿宋" w:eastAsia="仿宋"/>
          <w:color w:val="000000"/>
          <w:kern w:val="0"/>
          <w:sz w:val="28"/>
          <w:szCs w:val="28"/>
        </w:rPr>
        <w:t>质押物的选择与担保价值计算</w:t>
      </w:r>
      <w:r>
        <w:rPr>
          <w:rFonts w:ascii="仿宋" w:hAnsi="仿宋" w:eastAsia="仿宋"/>
          <w:kern w:val="0"/>
          <w:sz w:val="28"/>
          <w:szCs w:val="28"/>
        </w:rPr>
        <w:t>。</w:t>
      </w:r>
    </w:p>
    <w:p>
      <w:pPr>
        <w:tabs>
          <w:tab w:val="left" w:pos="1134"/>
          <w:tab w:val="left" w:pos="1276"/>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1．以符合深交所债券质押式回购交易相关规定的</w:t>
      </w:r>
      <w:r>
        <w:rPr>
          <w:rFonts w:ascii="仿宋" w:hAnsi="仿宋" w:eastAsia="仿宋"/>
          <w:sz w:val="28"/>
          <w:szCs w:val="28"/>
        </w:rPr>
        <w:t>债券</w:t>
      </w:r>
      <w:r>
        <w:rPr>
          <w:rFonts w:ascii="仿宋" w:hAnsi="仿宋" w:eastAsia="仿宋"/>
          <w:kern w:val="0"/>
          <w:sz w:val="28"/>
          <w:szCs w:val="28"/>
        </w:rPr>
        <w:t>作为质押物的，标准券折算率适用《标准券折算率管理办法》。</w:t>
      </w:r>
    </w:p>
    <w:p>
      <w:pPr>
        <w:tabs>
          <w:tab w:val="left" w:pos="1134"/>
          <w:tab w:val="left" w:pos="1276"/>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2．以</w:t>
      </w:r>
      <w:r>
        <w:rPr>
          <w:rFonts w:ascii="仿宋" w:hAnsi="仿宋" w:eastAsia="仿宋"/>
          <w:sz w:val="28"/>
          <w:szCs w:val="28"/>
        </w:rPr>
        <w:t>基金份额</w:t>
      </w:r>
      <w:r>
        <w:rPr>
          <w:rFonts w:ascii="仿宋" w:hAnsi="仿宋" w:eastAsia="仿宋"/>
          <w:kern w:val="0"/>
          <w:sz w:val="28"/>
          <w:szCs w:val="28"/>
        </w:rPr>
        <w:t>及深交所和中国结算认可的其他证券作为质押物的，应明确该证券的具体种类及标准券折算率的确定方式或约定的值，以及标准券折算率的调整机制。</w:t>
      </w:r>
    </w:p>
    <w:p>
      <w:pPr>
        <w:tabs>
          <w:tab w:val="left" w:pos="1134"/>
          <w:tab w:val="left" w:pos="1276"/>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3．以现金作为质押物的，标准券折算率为1。</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（二）关于</w:t>
      </w:r>
      <w:r>
        <w:rPr>
          <w:rFonts w:ascii="仿宋" w:hAnsi="仿宋" w:eastAsia="仿宋"/>
          <w:sz w:val="28"/>
          <w:szCs w:val="28"/>
        </w:rPr>
        <w:t>质押物的保管与质权设定。</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1．乙方提交的作为报价回购交易质押物的自有证券应转入中国结算深圳分公司设立的报价回购交易质押券保管库。</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乙方提交的充当报价回购交易质押物的现金应存入中国结算深圳分公司根据乙方申请为其开设的报价回购交易专用担保资金账户。</w:t>
      </w:r>
    </w:p>
    <w:p>
      <w:pPr>
        <w:tabs>
          <w:tab w:val="left" w:pos="1620"/>
        </w:tabs>
        <w:spacing w:line="480" w:lineRule="exact"/>
        <w:ind w:firstLine="560" w:firstLineChars="200"/>
        <w:rPr>
          <w:rFonts w:ascii="仿宋" w:hAnsi="仿宋" w:eastAsia="仿宋"/>
          <w:color w:val="000000"/>
          <w:kern w:val="0"/>
          <w:sz w:val="28"/>
          <w:szCs w:val="28"/>
        </w:rPr>
      </w:pPr>
      <w:r>
        <w:rPr>
          <w:rFonts w:ascii="仿宋" w:hAnsi="仿宋" w:eastAsia="仿宋"/>
          <w:color w:val="000000"/>
          <w:kern w:val="0"/>
          <w:sz w:val="28"/>
          <w:szCs w:val="28"/>
        </w:rPr>
        <w:t>2．转入</w:t>
      </w:r>
      <w:r>
        <w:rPr>
          <w:rFonts w:ascii="仿宋" w:hAnsi="仿宋" w:eastAsia="仿宋"/>
          <w:kern w:val="0"/>
          <w:sz w:val="28"/>
          <w:szCs w:val="28"/>
        </w:rPr>
        <w:t>质押券保管库</w:t>
      </w:r>
      <w:r>
        <w:rPr>
          <w:rFonts w:ascii="仿宋" w:hAnsi="仿宋" w:eastAsia="仿宋"/>
          <w:color w:val="000000"/>
          <w:kern w:val="0"/>
          <w:sz w:val="28"/>
          <w:szCs w:val="28"/>
        </w:rPr>
        <w:t>中的证券和转入担保资金账户中的现金，作为</w:t>
      </w:r>
      <w:r>
        <w:rPr>
          <w:rFonts w:ascii="仿宋" w:hAnsi="仿宋" w:eastAsia="仿宋"/>
          <w:kern w:val="0"/>
          <w:sz w:val="28"/>
          <w:szCs w:val="28"/>
        </w:rPr>
        <w:t>乙方</w:t>
      </w:r>
      <w:r>
        <w:rPr>
          <w:rFonts w:ascii="仿宋" w:hAnsi="仿宋" w:eastAsia="仿宋"/>
          <w:color w:val="000000"/>
          <w:kern w:val="0"/>
          <w:sz w:val="28"/>
          <w:szCs w:val="28"/>
        </w:rPr>
        <w:t>报价回购交易履约担保的质押物。全部质押物设定的质权由</w:t>
      </w:r>
      <w:r>
        <w:rPr>
          <w:rFonts w:ascii="仿宋" w:hAnsi="仿宋" w:eastAsia="仿宋"/>
          <w:kern w:val="0"/>
          <w:sz w:val="28"/>
          <w:szCs w:val="28"/>
        </w:rPr>
        <w:t>乙方</w:t>
      </w:r>
      <w:r>
        <w:rPr>
          <w:rFonts w:ascii="仿宋" w:hAnsi="仿宋" w:eastAsia="仿宋"/>
          <w:color w:val="000000"/>
          <w:kern w:val="0"/>
          <w:sz w:val="28"/>
          <w:szCs w:val="28"/>
        </w:rPr>
        <w:t>所有报价回购未到期以及购回交易未完成资金划付的客户共同享有,甲方所享有的质权不对应具体质押物品种，甲方不得单独就质押物主张行使质权，质押物处置所得由</w:t>
      </w:r>
      <w:r>
        <w:rPr>
          <w:rFonts w:ascii="仿宋" w:hAnsi="仿宋" w:eastAsia="仿宋"/>
          <w:kern w:val="0"/>
          <w:sz w:val="28"/>
          <w:szCs w:val="28"/>
        </w:rPr>
        <w:t>所有客户</w:t>
      </w:r>
      <w:r>
        <w:rPr>
          <w:rFonts w:ascii="仿宋" w:hAnsi="仿宋" w:eastAsia="仿宋"/>
          <w:color w:val="000000"/>
          <w:kern w:val="0"/>
          <w:sz w:val="28"/>
          <w:szCs w:val="28"/>
        </w:rPr>
        <w:t>按债权比例公平受偿。</w:t>
      </w:r>
    </w:p>
    <w:p>
      <w:pPr>
        <w:spacing w:line="480" w:lineRule="exact"/>
        <w:ind w:firstLine="560" w:firstLineChars="200"/>
        <w:rPr>
          <w:rFonts w:ascii="仿宋" w:hAnsi="仿宋" w:eastAsia="仿宋"/>
          <w:sz w:val="28"/>
          <w:szCs w:val="28"/>
        </w:rPr>
      </w:pPr>
      <w:r>
        <w:rPr>
          <w:rFonts w:ascii="仿宋" w:hAnsi="仿宋" w:eastAsia="仿宋"/>
          <w:color w:val="000000"/>
          <w:kern w:val="0"/>
          <w:sz w:val="28"/>
          <w:szCs w:val="28"/>
        </w:rPr>
        <w:t>3．</w:t>
      </w:r>
      <w:r>
        <w:rPr>
          <w:rFonts w:ascii="仿宋" w:hAnsi="仿宋" w:eastAsia="仿宋"/>
          <w:sz w:val="28"/>
          <w:szCs w:val="28"/>
        </w:rPr>
        <w:t>初始交易未完成资金划付</w:t>
      </w:r>
      <w:r>
        <w:rPr>
          <w:rFonts w:ascii="仿宋" w:hAnsi="仿宋" w:eastAsia="仿宋"/>
          <w:color w:val="000000"/>
          <w:kern w:val="0"/>
          <w:sz w:val="28"/>
          <w:szCs w:val="28"/>
        </w:rPr>
        <w:t>及</w:t>
      </w:r>
      <w:r>
        <w:rPr>
          <w:rFonts w:ascii="仿宋" w:hAnsi="仿宋" w:eastAsia="仿宋"/>
          <w:sz w:val="28"/>
          <w:szCs w:val="28"/>
        </w:rPr>
        <w:t>购回交易完成资金划付的客户不享有质权。</w:t>
      </w:r>
    </w:p>
    <w:p>
      <w:pPr>
        <w:tabs>
          <w:tab w:val="left" w:pos="1620"/>
        </w:tabs>
        <w:spacing w:line="480" w:lineRule="exact"/>
        <w:ind w:firstLine="560" w:firstLineChars="200"/>
        <w:rPr>
          <w:rFonts w:ascii="仿宋" w:hAnsi="仿宋" w:eastAsia="仿宋"/>
          <w:kern w:val="0"/>
          <w:sz w:val="28"/>
          <w:szCs w:val="28"/>
        </w:rPr>
      </w:pPr>
      <w:r>
        <w:rPr>
          <w:rFonts w:ascii="仿宋" w:hAnsi="仿宋" w:eastAsia="仿宋"/>
          <w:color w:val="000000"/>
          <w:kern w:val="0"/>
          <w:sz w:val="28"/>
          <w:szCs w:val="28"/>
        </w:rPr>
        <w:t>4．质押券或担保资金转出后，不再作为</w:t>
      </w:r>
      <w:r>
        <w:rPr>
          <w:rFonts w:ascii="仿宋" w:hAnsi="仿宋" w:eastAsia="仿宋"/>
          <w:kern w:val="0"/>
          <w:sz w:val="28"/>
          <w:szCs w:val="28"/>
        </w:rPr>
        <w:t>乙方</w:t>
      </w:r>
      <w:r>
        <w:rPr>
          <w:rFonts w:ascii="仿宋" w:hAnsi="仿宋" w:eastAsia="仿宋"/>
          <w:color w:val="000000"/>
          <w:kern w:val="0"/>
          <w:sz w:val="28"/>
          <w:szCs w:val="28"/>
        </w:rPr>
        <w:t>报价回购交易履约担保的质押物。</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（三）质押登记的查询方式和查询内容。</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（四）质押物不足或被司法冻结时的补救措施。</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（五）质押物转出的条件。</w:t>
      </w:r>
    </w:p>
    <w:p>
      <w:pPr>
        <w:numPr>
          <w:ilvl w:val="0"/>
          <w:numId w:val="9"/>
        </w:numPr>
        <w:tabs>
          <w:tab w:val="left" w:pos="0"/>
        </w:tabs>
        <w:adjustRightInd w:val="0"/>
        <w:snapToGrid w:val="0"/>
        <w:spacing w:line="480" w:lineRule="exact"/>
        <w:ind w:left="0" w:firstLine="560" w:firstLineChars="200"/>
        <w:rPr>
          <w:rFonts w:ascii="仿宋" w:hAnsi="仿宋" w:eastAsia="仿宋"/>
          <w:b/>
          <w:kern w:val="0"/>
          <w:sz w:val="28"/>
          <w:szCs w:val="28"/>
        </w:rPr>
      </w:pPr>
      <w:r>
        <w:rPr>
          <w:rFonts w:ascii="仿宋" w:hAnsi="仿宋" w:eastAsia="仿宋"/>
          <w:kern w:val="0"/>
          <w:sz w:val="28"/>
          <w:szCs w:val="28"/>
        </w:rPr>
        <w:t>客户协议对报价回购交易的约定至少应包括：</w:t>
      </w:r>
    </w:p>
    <w:p>
      <w:pPr>
        <w:tabs>
          <w:tab w:val="left" w:pos="1134"/>
          <w:tab w:val="left" w:pos="1276"/>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一）报价回购价格、可用额度。乙方在每个交易日开市前通过自身网站或系统公布当日开展报价回购交易各品种的到期购回报价、提前购回报价或价格确定方式，以及报价回购可用额度。甲方初始委托申报成功后，即视为甲方同意并接受当日公布的该品种报价。甲方已知悉并完全理解，该收益属于双方一致同意的约定收益，与其他市场收益可能存在偏差。</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（二）交易品种、交易时间、证券代码、委托指令要素、申报成交过程。</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（三）初始交易、到期</w:t>
      </w:r>
      <w:r>
        <w:rPr>
          <w:rFonts w:ascii="仿宋" w:hAnsi="仿宋" w:eastAsia="仿宋"/>
          <w:color w:val="000000"/>
          <w:kern w:val="0"/>
          <w:sz w:val="28"/>
          <w:szCs w:val="28"/>
        </w:rPr>
        <w:t>购回</w:t>
      </w:r>
      <w:r>
        <w:rPr>
          <w:rFonts w:ascii="仿宋" w:hAnsi="仿宋" w:eastAsia="仿宋"/>
          <w:kern w:val="0"/>
          <w:sz w:val="28"/>
          <w:szCs w:val="28"/>
        </w:rPr>
        <w:t>及提前</w:t>
      </w:r>
      <w:r>
        <w:rPr>
          <w:rFonts w:ascii="仿宋" w:hAnsi="仿宋" w:eastAsia="仿宋"/>
          <w:color w:val="000000"/>
          <w:kern w:val="0"/>
          <w:sz w:val="28"/>
          <w:szCs w:val="28"/>
        </w:rPr>
        <w:t>购回</w:t>
      </w:r>
      <w:r>
        <w:rPr>
          <w:rFonts w:ascii="仿宋" w:hAnsi="仿宋" w:eastAsia="仿宋"/>
          <w:kern w:val="0"/>
          <w:sz w:val="28"/>
          <w:szCs w:val="28"/>
        </w:rPr>
        <w:t>时金额的计算公式。</w:t>
      </w:r>
    </w:p>
    <w:p>
      <w:pPr>
        <w:tabs>
          <w:tab w:val="left" w:pos="993"/>
        </w:tabs>
        <w:adjustRightInd w:val="0"/>
        <w:snapToGrid w:val="0"/>
        <w:spacing w:line="480" w:lineRule="exact"/>
        <w:ind w:firstLine="560" w:firstLineChars="200"/>
        <w:rPr>
          <w:rFonts w:ascii="仿宋" w:hAnsi="仿宋" w:eastAsia="仿宋"/>
          <w:kern w:val="0"/>
          <w:sz w:val="28"/>
          <w:szCs w:val="28"/>
        </w:rPr>
      </w:pPr>
      <w:r>
        <w:rPr>
          <w:rFonts w:ascii="仿宋" w:hAnsi="仿宋" w:eastAsia="仿宋"/>
          <w:kern w:val="0"/>
          <w:sz w:val="28"/>
          <w:szCs w:val="28"/>
        </w:rPr>
        <w:t>（四）巨额提前</w:t>
      </w:r>
      <w:r>
        <w:rPr>
          <w:rFonts w:ascii="仿宋" w:hAnsi="仿宋" w:eastAsia="仿宋"/>
          <w:color w:val="000000"/>
          <w:kern w:val="0"/>
          <w:sz w:val="28"/>
          <w:szCs w:val="28"/>
        </w:rPr>
        <w:t>购回</w:t>
      </w:r>
      <w:r>
        <w:rPr>
          <w:rFonts w:ascii="仿宋" w:hAnsi="仿宋" w:eastAsia="仿宋"/>
          <w:kern w:val="0"/>
          <w:sz w:val="28"/>
          <w:szCs w:val="28"/>
        </w:rPr>
        <w:t>及巨额不再续做的标准及应对措施。</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客户协议应载明报价回购交易的清算、资金划付以及划付失败的处理措施。</w:t>
      </w:r>
    </w:p>
    <w:p>
      <w:pPr>
        <w:spacing w:line="480" w:lineRule="exact"/>
        <w:ind w:firstLine="560" w:firstLineChars="200"/>
        <w:rPr>
          <w:rFonts w:ascii="仿宋" w:hAnsi="仿宋" w:eastAsia="仿宋"/>
          <w:sz w:val="28"/>
          <w:szCs w:val="28"/>
        </w:rPr>
      </w:pPr>
      <w:r>
        <w:rPr>
          <w:rFonts w:ascii="仿宋" w:hAnsi="仿宋" w:eastAsia="仿宋"/>
          <w:sz w:val="28"/>
          <w:szCs w:val="28"/>
        </w:rPr>
        <w:t>（一）T日日终（T日为初始交易、提前</w:t>
      </w:r>
      <w:r>
        <w:rPr>
          <w:rFonts w:ascii="仿宋" w:hAnsi="仿宋" w:eastAsia="仿宋"/>
          <w:color w:val="000000"/>
          <w:kern w:val="0"/>
          <w:sz w:val="28"/>
          <w:szCs w:val="28"/>
        </w:rPr>
        <w:t>购回</w:t>
      </w:r>
      <w:r>
        <w:rPr>
          <w:rFonts w:ascii="仿宋" w:hAnsi="仿宋" w:eastAsia="仿宋"/>
          <w:sz w:val="28"/>
          <w:szCs w:val="28"/>
        </w:rPr>
        <w:t>交易的申报日，或到期</w:t>
      </w:r>
      <w:r>
        <w:rPr>
          <w:rFonts w:ascii="仿宋" w:hAnsi="仿宋" w:eastAsia="仿宋"/>
          <w:color w:val="000000"/>
          <w:kern w:val="0"/>
          <w:sz w:val="28"/>
          <w:szCs w:val="28"/>
        </w:rPr>
        <w:t>购回</w:t>
      </w:r>
      <w:r>
        <w:rPr>
          <w:rFonts w:ascii="仿宋" w:hAnsi="仿宋" w:eastAsia="仿宋"/>
          <w:sz w:val="28"/>
          <w:szCs w:val="28"/>
        </w:rPr>
        <w:t>日），中国结算深圳分公司分别以乙方的自营结算备付金账户和客户结算备付金账户为单位，对当日全部报价回购交易金额（包括初始交易、提前</w:t>
      </w:r>
      <w:r>
        <w:rPr>
          <w:rFonts w:ascii="仿宋" w:hAnsi="仿宋" w:eastAsia="仿宋"/>
          <w:color w:val="000000"/>
          <w:kern w:val="0"/>
          <w:sz w:val="28"/>
          <w:szCs w:val="28"/>
        </w:rPr>
        <w:t>购回</w:t>
      </w:r>
      <w:r>
        <w:rPr>
          <w:rFonts w:ascii="仿宋" w:hAnsi="仿宋" w:eastAsia="仿宋"/>
          <w:sz w:val="28"/>
          <w:szCs w:val="28"/>
        </w:rPr>
        <w:t>交易和到期</w:t>
      </w:r>
      <w:r>
        <w:rPr>
          <w:rFonts w:ascii="仿宋" w:hAnsi="仿宋" w:eastAsia="仿宋"/>
          <w:color w:val="000000"/>
          <w:kern w:val="0"/>
          <w:sz w:val="28"/>
          <w:szCs w:val="28"/>
        </w:rPr>
        <w:t>购回</w:t>
      </w:r>
      <w:r>
        <w:rPr>
          <w:rFonts w:ascii="仿宋" w:hAnsi="仿宋" w:eastAsia="仿宋"/>
          <w:sz w:val="28"/>
          <w:szCs w:val="28"/>
        </w:rPr>
        <w:t>）进行轧差清算。</w:t>
      </w:r>
    </w:p>
    <w:p>
      <w:pPr>
        <w:spacing w:line="480" w:lineRule="exact"/>
        <w:ind w:firstLine="560" w:firstLineChars="200"/>
        <w:rPr>
          <w:rFonts w:ascii="仿宋" w:hAnsi="仿宋" w:eastAsia="仿宋"/>
          <w:sz w:val="28"/>
          <w:szCs w:val="28"/>
        </w:rPr>
      </w:pPr>
      <w:r>
        <w:rPr>
          <w:rFonts w:ascii="仿宋" w:hAnsi="仿宋" w:eastAsia="仿宋"/>
          <w:sz w:val="28"/>
          <w:szCs w:val="28"/>
        </w:rPr>
        <w:t>T</w:t>
      </w:r>
      <w:r>
        <w:rPr>
          <w:rFonts w:hint="eastAsia" w:ascii="仿宋" w:hAnsi="仿宋" w:eastAsia="仿宋"/>
          <w:kern w:val="0"/>
          <w:sz w:val="28"/>
          <w:szCs w:val="28"/>
        </w:rPr>
        <w:t>+</w:t>
      </w:r>
      <w:r>
        <w:rPr>
          <w:rFonts w:ascii="仿宋" w:hAnsi="仿宋" w:eastAsia="仿宋"/>
          <w:sz w:val="28"/>
          <w:szCs w:val="28"/>
        </w:rPr>
        <w:t>1日，中国结算深圳分公司根据报价回购交易清算结果在乙方自营结算备付金账户和客户结算备付金账户之间办理资金划付，最后一批次的资金划付时点为16︰00。乙方自营结算备付金账户或客户结算备付金账户应付资金不足的，中国结算深圳分公司对乙方当日全部报价回购均不做资金划付处理，当日所有资金划付的履行期限顺延至T</w:t>
      </w:r>
      <w:r>
        <w:rPr>
          <w:rFonts w:ascii="仿宋" w:hAnsi="仿宋" w:eastAsia="仿宋"/>
          <w:kern w:val="0"/>
          <w:sz w:val="28"/>
          <w:szCs w:val="28"/>
        </w:rPr>
        <w:t>+</w:t>
      </w:r>
      <w:r>
        <w:rPr>
          <w:rFonts w:ascii="仿宋" w:hAnsi="仿宋" w:eastAsia="仿宋"/>
          <w:sz w:val="28"/>
          <w:szCs w:val="28"/>
        </w:rPr>
        <w:t>2日办理。</w:t>
      </w:r>
    </w:p>
    <w:p>
      <w:pPr>
        <w:tabs>
          <w:tab w:val="left" w:pos="1134"/>
          <w:tab w:val="left" w:pos="1276"/>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（二）客户协议应约定乙方通过中国结算办理资金划付失败时，乙方对于初始交易、到期</w:t>
      </w:r>
      <w:r>
        <w:rPr>
          <w:rFonts w:ascii="仿宋" w:hAnsi="仿宋" w:eastAsia="仿宋"/>
          <w:color w:val="000000"/>
          <w:kern w:val="0"/>
          <w:sz w:val="28"/>
          <w:szCs w:val="28"/>
        </w:rPr>
        <w:t>购回</w:t>
      </w:r>
      <w:r>
        <w:rPr>
          <w:rFonts w:ascii="仿宋" w:hAnsi="仿宋" w:eastAsia="仿宋"/>
          <w:sz w:val="28"/>
          <w:szCs w:val="28"/>
        </w:rPr>
        <w:t>、提前</w:t>
      </w:r>
      <w:r>
        <w:rPr>
          <w:rFonts w:ascii="仿宋" w:hAnsi="仿宋" w:eastAsia="仿宋"/>
          <w:color w:val="000000"/>
          <w:kern w:val="0"/>
          <w:sz w:val="28"/>
          <w:szCs w:val="28"/>
        </w:rPr>
        <w:t>购回</w:t>
      </w:r>
      <w:r>
        <w:rPr>
          <w:rFonts w:ascii="仿宋" w:hAnsi="仿宋" w:eastAsia="仿宋"/>
          <w:sz w:val="28"/>
          <w:szCs w:val="28"/>
        </w:rPr>
        <w:t>等各种情形的资金交收明细处理方式、相关偿付措施以及质押登记的处理方式。客户协议应约定顺延至T</w:t>
      </w:r>
      <w:r>
        <w:rPr>
          <w:rFonts w:ascii="仿宋" w:hAnsi="仿宋" w:eastAsia="仿宋"/>
          <w:kern w:val="0"/>
          <w:sz w:val="28"/>
          <w:szCs w:val="28"/>
        </w:rPr>
        <w:t>+</w:t>
      </w:r>
      <w:r>
        <w:rPr>
          <w:rFonts w:ascii="仿宋" w:hAnsi="仿宋" w:eastAsia="仿宋"/>
          <w:sz w:val="28"/>
          <w:szCs w:val="28"/>
        </w:rPr>
        <w:t>2日乙方仍未能完成资金划付的，违约方应承担违约责任。</w:t>
      </w:r>
    </w:p>
    <w:p>
      <w:pPr>
        <w:tabs>
          <w:tab w:val="left" w:pos="1134"/>
          <w:tab w:val="left" w:pos="1276"/>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（三）乙方与甲方之间的资金明细清算交收由乙方自行完成。乙方与甲方之间由于资金明细清算交收产生的法律纠纷与中国结算无关。</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客户协议应约定，甲方授权乙方以乙方的名义与第三方主体签署质押券处置委托协议。</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质押券处置委托协议应载明处置的条件、程序、时限，双方的权利与义务，合同的生效与终止等内容。</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客户协议应载明报价回购</w:t>
      </w:r>
      <w:r>
        <w:rPr>
          <w:rFonts w:ascii="仿宋" w:hAnsi="仿宋" w:eastAsia="仿宋"/>
          <w:kern w:val="0"/>
          <w:sz w:val="28"/>
          <w:szCs w:val="28"/>
        </w:rPr>
        <w:t>交易权限</w:t>
      </w:r>
      <w:r>
        <w:rPr>
          <w:rFonts w:ascii="仿宋" w:hAnsi="仿宋" w:eastAsia="仿宋"/>
          <w:sz w:val="28"/>
          <w:szCs w:val="28"/>
        </w:rPr>
        <w:t>终止的条件及处理程序，包括但不限于：</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（一）权限终止当日，双方的所有未到期报价回购交易全部提前到期，回购价格为每百元资金提前回购年收益；</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（二）乙方应及时向深交所及中国结算深圳分公司提交质押券处置申请；</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（三）对符合要求的申请，由乙方按照价格公允、快速处置的原则对质押券进行处置，处置所得与担保资金之和按债权比例优先向所有客户公平清偿；</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（四）乙方怠于、不当或无法处置的，由委托的第三方按照价格公允、快速处置的原则对质押券进行处置，处置所得与担保资金之和按债权比例优先向客户公平清偿；</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（五）甲方获得足额偿付的，应与乙方签署债务了结的确认函；</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（六）全部债务清偿后，乙方应向深交所</w:t>
      </w:r>
      <w:r>
        <w:rPr>
          <w:rFonts w:ascii="仿宋" w:hAnsi="仿宋" w:eastAsia="仿宋"/>
          <w:kern w:val="0"/>
          <w:sz w:val="28"/>
          <w:szCs w:val="28"/>
        </w:rPr>
        <w:t>和中国结算深圳分公司</w:t>
      </w:r>
      <w:r>
        <w:rPr>
          <w:rFonts w:ascii="仿宋" w:hAnsi="仿宋" w:eastAsia="仿宋"/>
          <w:sz w:val="28"/>
          <w:szCs w:val="28"/>
        </w:rPr>
        <w:t>提交业务终止报告，并可申请</w:t>
      </w:r>
      <w:r>
        <w:rPr>
          <w:rFonts w:ascii="仿宋" w:hAnsi="仿宋" w:eastAsia="仿宋"/>
          <w:kern w:val="0"/>
          <w:sz w:val="28"/>
          <w:szCs w:val="28"/>
        </w:rPr>
        <w:t>解除剩余质押物的质押登记</w:t>
      </w:r>
      <w:r>
        <w:rPr>
          <w:rFonts w:ascii="仿宋" w:hAnsi="仿宋" w:eastAsia="仿宋"/>
          <w:sz w:val="28"/>
          <w:szCs w:val="28"/>
        </w:rPr>
        <w:t>；</w:t>
      </w:r>
    </w:p>
    <w:p>
      <w:pPr>
        <w:tabs>
          <w:tab w:val="left" w:pos="0"/>
        </w:tabs>
        <w:adjustRightInd w:val="0"/>
        <w:snapToGrid w:val="0"/>
        <w:spacing w:line="480" w:lineRule="exact"/>
        <w:ind w:firstLine="560" w:firstLineChars="200"/>
        <w:rPr>
          <w:rFonts w:ascii="仿宋" w:hAnsi="仿宋" w:eastAsia="仿宋"/>
          <w:sz w:val="28"/>
          <w:szCs w:val="28"/>
        </w:rPr>
      </w:pPr>
      <w:r>
        <w:rPr>
          <w:rFonts w:ascii="仿宋" w:hAnsi="仿宋" w:eastAsia="仿宋"/>
          <w:sz w:val="28"/>
          <w:szCs w:val="28"/>
        </w:rPr>
        <w:t>（七）处置所得与担保资金之和仍不足以偿付的，由证券公司对客户承担全部法律责任。</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客户协议应约定待购回期间发生异常情况的处理方式，异常情况包括但不限于：</w:t>
      </w:r>
    </w:p>
    <w:p>
      <w:pPr>
        <w:spacing w:line="480" w:lineRule="exact"/>
        <w:ind w:firstLine="560" w:firstLineChars="200"/>
        <w:rPr>
          <w:rFonts w:ascii="仿宋" w:hAnsi="仿宋" w:eastAsia="仿宋"/>
          <w:sz w:val="28"/>
          <w:szCs w:val="28"/>
        </w:rPr>
      </w:pPr>
      <w:r>
        <w:rPr>
          <w:rFonts w:ascii="仿宋" w:hAnsi="仿宋" w:eastAsia="仿宋"/>
          <w:sz w:val="28"/>
          <w:szCs w:val="28"/>
        </w:rPr>
        <w:t>（一）乙方质押券或担保资金被司法等有权机关冻结或强制执行的；</w:t>
      </w:r>
    </w:p>
    <w:p>
      <w:pPr>
        <w:spacing w:line="480" w:lineRule="exact"/>
        <w:ind w:firstLine="560" w:firstLineChars="200"/>
        <w:rPr>
          <w:rFonts w:ascii="仿宋" w:hAnsi="仿宋" w:eastAsia="仿宋"/>
          <w:sz w:val="28"/>
          <w:szCs w:val="28"/>
        </w:rPr>
      </w:pPr>
      <w:r>
        <w:rPr>
          <w:rFonts w:ascii="仿宋" w:hAnsi="仿宋" w:eastAsia="仿宋"/>
          <w:sz w:val="28"/>
          <w:szCs w:val="28"/>
        </w:rPr>
        <w:t>（二）乙方被暂停或终止报价回购交易权限的；</w:t>
      </w:r>
    </w:p>
    <w:p>
      <w:pPr>
        <w:spacing w:line="480" w:lineRule="exact"/>
        <w:ind w:firstLine="560" w:firstLineChars="200"/>
        <w:rPr>
          <w:rFonts w:ascii="仿宋" w:hAnsi="仿宋" w:eastAsia="仿宋"/>
          <w:sz w:val="28"/>
          <w:szCs w:val="28"/>
        </w:rPr>
      </w:pPr>
      <w:r>
        <w:rPr>
          <w:rFonts w:ascii="仿宋" w:hAnsi="仿宋" w:eastAsia="仿宋"/>
          <w:sz w:val="28"/>
          <w:szCs w:val="28"/>
        </w:rPr>
        <w:t>（三）乙方进入风险处置或破产程序的；</w:t>
      </w:r>
    </w:p>
    <w:p>
      <w:pPr>
        <w:spacing w:line="480" w:lineRule="exact"/>
        <w:ind w:firstLine="560" w:firstLineChars="200"/>
        <w:rPr>
          <w:rFonts w:ascii="仿宋" w:hAnsi="仿宋" w:eastAsia="仿宋"/>
          <w:sz w:val="28"/>
          <w:szCs w:val="28"/>
        </w:rPr>
      </w:pPr>
      <w:r>
        <w:rPr>
          <w:rFonts w:ascii="仿宋" w:hAnsi="仿宋" w:eastAsia="仿宋"/>
          <w:sz w:val="28"/>
          <w:szCs w:val="28"/>
        </w:rPr>
        <w:t>（四）甲方资金账户被司法等有权机关冻结或强制执行的；</w:t>
      </w:r>
    </w:p>
    <w:p>
      <w:pPr>
        <w:spacing w:line="480" w:lineRule="exact"/>
        <w:ind w:firstLine="560" w:firstLineChars="200"/>
        <w:rPr>
          <w:rFonts w:ascii="仿宋" w:hAnsi="仿宋" w:eastAsia="仿宋"/>
          <w:sz w:val="28"/>
          <w:szCs w:val="28"/>
        </w:rPr>
      </w:pPr>
      <w:r>
        <w:rPr>
          <w:rFonts w:ascii="仿宋" w:hAnsi="仿宋" w:eastAsia="仿宋"/>
          <w:sz w:val="28"/>
          <w:szCs w:val="28"/>
        </w:rPr>
        <w:t>（五）质押券到期的。</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客户协议应约定违约后债务金额的计算公式，质押物的担保范围、质押物处置所得在担保范围内的偿还顺序，以及处置后剩余的返还和处置不足时的追偿等要素。</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对违约法律责任进行明确约定。客户协议应载明适用的法律和争议处理方式，并明确约定因报价回购业务产生的任何争议、纠纷，由交易双方协商或通过约定的争议处理方式解决，与任何第三方无关，甲方无权向任何第三方主张权利或追究责任。</w:t>
      </w:r>
    </w:p>
    <w:p>
      <w:pPr>
        <w:tabs>
          <w:tab w:val="left" w:pos="1843"/>
        </w:tabs>
        <w:spacing w:line="480" w:lineRule="exact"/>
        <w:ind w:firstLine="560" w:firstLineChars="200"/>
        <w:rPr>
          <w:rFonts w:ascii="仿宋" w:hAnsi="仿宋" w:eastAsia="仿宋"/>
          <w:sz w:val="28"/>
          <w:szCs w:val="28"/>
        </w:rPr>
      </w:pPr>
      <w:r>
        <w:rPr>
          <w:rFonts w:ascii="仿宋" w:hAnsi="仿宋" w:eastAsia="仿宋"/>
          <w:sz w:val="28"/>
          <w:szCs w:val="28"/>
        </w:rPr>
        <w:t>乙方与甲方之间的纠纷，不影响中国结算深圳分公司依据深交所确认结果已经办理或正在办理的证券质押登记、资金划付等业务。</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客户协议应载明甲方为个人的，客户协议由甲方本人签字；甲方为机构的，客户协议由甲方法定代表人或授权代表签字，并加盖公章。</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客户协议应约定协议成立与生效条件、协议期限、协议终止条件、协议份数等事项。</w:t>
      </w:r>
    </w:p>
    <w:p>
      <w:pPr>
        <w:numPr>
          <w:ilvl w:val="0"/>
          <w:numId w:val="9"/>
        </w:numPr>
        <w:tabs>
          <w:tab w:val="left" w:pos="0"/>
        </w:tabs>
        <w:adjustRightInd w:val="0"/>
        <w:snapToGrid w:val="0"/>
        <w:spacing w:line="480" w:lineRule="exact"/>
        <w:ind w:left="0" w:firstLine="560" w:firstLineChars="200"/>
        <w:rPr>
          <w:rFonts w:ascii="仿宋" w:hAnsi="仿宋" w:eastAsia="仿宋"/>
          <w:sz w:val="28"/>
          <w:szCs w:val="28"/>
        </w:rPr>
      </w:pPr>
      <w:r>
        <w:rPr>
          <w:rFonts w:ascii="仿宋" w:hAnsi="仿宋" w:eastAsia="仿宋"/>
          <w:sz w:val="28"/>
          <w:szCs w:val="28"/>
        </w:rPr>
        <w:t>客户协议应在签章前明确载明</w:t>
      </w:r>
      <w:r>
        <w:rPr>
          <w:rFonts w:hint="eastAsia" w:ascii="仿宋" w:hAnsi="仿宋" w:eastAsia="仿宋"/>
          <w:sz w:val="28"/>
          <w:szCs w:val="28"/>
        </w:rPr>
        <w:t>“</w:t>
      </w:r>
      <w:r>
        <w:rPr>
          <w:rFonts w:ascii="仿宋" w:hAnsi="仿宋" w:eastAsia="仿宋"/>
          <w:sz w:val="28"/>
          <w:szCs w:val="28"/>
        </w:rPr>
        <w:t>甲方已经认真阅读并全面接受客户协议全部条款，已充分知悉、理解客户协议项下的权利、义务和责任，自愿参与报价回购交易，并承担由此产生的风险和法律后果。</w:t>
      </w:r>
      <w:r>
        <w:rPr>
          <w:rFonts w:hint="eastAsia" w:ascii="仿宋" w:hAnsi="仿宋" w:eastAsia="仿宋"/>
          <w:sz w:val="28"/>
          <w:szCs w:val="28"/>
        </w:rPr>
        <w:t>”</w:t>
      </w:r>
    </w:p>
    <w:p>
      <w:pPr>
        <w:adjustRightInd w:val="0"/>
        <w:snapToGrid w:val="0"/>
        <w:spacing w:line="520" w:lineRule="exact"/>
        <w:rPr>
          <w:rFonts w:ascii="宋体" w:hAnsi="宋体"/>
          <w:sz w:val="28"/>
          <w:szCs w:val="28"/>
        </w:rPr>
      </w:pPr>
    </w:p>
    <w:p>
      <w:pPr>
        <w:adjustRightInd w:val="0"/>
        <w:snapToGrid w:val="0"/>
        <w:spacing w:line="520" w:lineRule="exact"/>
        <w:rPr>
          <w:rFonts w:ascii="黑体" w:hAnsi="黑体" w:eastAsia="黑体" w:cs="黑体"/>
          <w:sz w:val="30"/>
          <w:szCs w:val="30"/>
        </w:rPr>
      </w:pPr>
      <w:r>
        <w:rPr>
          <w:rFonts w:hint="eastAsia" w:ascii="黑体" w:hAnsi="黑体" w:eastAsia="黑体" w:cs="黑体"/>
          <w:sz w:val="30"/>
          <w:szCs w:val="30"/>
        </w:rPr>
        <w:t>附件2-2</w:t>
      </w:r>
    </w:p>
    <w:p>
      <w:pPr>
        <w:adjustRightInd w:val="0"/>
        <w:snapToGrid w:val="0"/>
        <w:spacing w:line="520" w:lineRule="exact"/>
        <w:rPr>
          <w:rFonts w:ascii="黑体" w:hAnsi="黑体" w:eastAsia="黑体" w:cs="黑体"/>
          <w:sz w:val="30"/>
          <w:szCs w:val="30"/>
        </w:rPr>
      </w:pPr>
    </w:p>
    <w:p>
      <w:pPr>
        <w:adjustRightInd w:val="0"/>
        <w:snapToGrid w:val="0"/>
        <w:spacing w:line="520" w:lineRule="exact"/>
        <w:jc w:val="center"/>
        <w:rPr>
          <w:rFonts w:ascii="方正小标宋简体" w:eastAsia="方正小标宋简体"/>
          <w:bCs/>
          <w:sz w:val="36"/>
          <w:szCs w:val="36"/>
        </w:rPr>
      </w:pPr>
      <w:r>
        <w:rPr>
          <w:rFonts w:hint="eastAsia" w:ascii="方正小标宋简体" w:eastAsia="方正小标宋简体"/>
          <w:bCs/>
          <w:sz w:val="36"/>
          <w:szCs w:val="36"/>
        </w:rPr>
        <w:t>质押式报价回购交易风险揭示书必备条款</w:t>
      </w:r>
    </w:p>
    <w:p>
      <w:pPr>
        <w:adjustRightInd w:val="0"/>
        <w:snapToGrid w:val="0"/>
        <w:spacing w:line="240" w:lineRule="exact"/>
        <w:rPr>
          <w:rFonts w:ascii="仿宋_GB2312" w:eastAsia="仿宋_GB2312"/>
          <w:sz w:val="30"/>
          <w:szCs w:val="30"/>
        </w:rPr>
      </w:pPr>
    </w:p>
    <w:p>
      <w:pPr>
        <w:adjustRightInd w:val="0"/>
        <w:snapToGrid w:val="0"/>
        <w:spacing w:line="240" w:lineRule="exact"/>
        <w:rPr>
          <w:rFonts w:ascii="仿宋_GB2312" w:eastAsia="仿宋_GB2312"/>
          <w:sz w:val="30"/>
          <w:szCs w:val="30"/>
        </w:rPr>
      </w:pP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为了使客户充分了解质押式报价回购交易（以下简称“报价回购交易”）风险，开展报价回购交易的证券公司应制订《质押式报价回购交易风险揭示书》（以下简称“《风险揭示书》”），向客户充分揭示报价回购交易存在的风险。《风险揭示书》至少应包括下列内容：</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一、提示客户在办理报价回购交易前，应对自身参与的适当性、合法性进行审慎评估，并以真实身份参与，包括但不限于：</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客户应根据自身财务状况、实际需求、风险承受能力以及内部管理要求（若为机构客户），慎重考虑是否适宜参与报价回购交易。避免因不当参与而产生损失。</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二、提示客户在参与报价回购交易前，须了解所在证券公司是否已获得同意并开通报价回购交易权限。</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三、提示客户关注报价回购交易中，证券公司既是客户的交易对手方，又根据客户委托代为办理有关交易、登记结算等事宜，可能由此带来的利益冲突风险。</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四、提示客户关注报价回购交易中，可能出现的因资金不足、系统故障等导致</w:t>
      </w:r>
      <w:r>
        <w:rPr>
          <w:rFonts w:ascii="仿宋" w:hAnsi="仿宋" w:eastAsia="仿宋"/>
          <w:sz w:val="28"/>
          <w:szCs w:val="28"/>
        </w:rPr>
        <w:t>T+1日（T为交易日）资金划付失败，需要将相应资金划付延迟至T+2日所</w:t>
      </w:r>
      <w:r>
        <w:rPr>
          <w:rFonts w:hint="eastAsia" w:ascii="仿宋" w:hAnsi="仿宋" w:eastAsia="仿宋"/>
          <w:sz w:val="28"/>
          <w:szCs w:val="28"/>
        </w:rPr>
        <w:t>带来的风险。如</w:t>
      </w:r>
      <w:r>
        <w:rPr>
          <w:rFonts w:ascii="仿宋" w:hAnsi="仿宋" w:eastAsia="仿宋"/>
          <w:sz w:val="28"/>
          <w:szCs w:val="28"/>
        </w:rPr>
        <w:t>果T+2日仍无</w:t>
      </w:r>
      <w:r>
        <w:rPr>
          <w:rFonts w:hint="eastAsia" w:ascii="仿宋" w:hAnsi="仿宋" w:eastAsia="仿宋"/>
          <w:sz w:val="28"/>
          <w:szCs w:val="28"/>
        </w:rPr>
        <w:t>法完成资金划付，则属于违约，相应的违约方应承担违约责任。</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五、提示客户关注报价回购交易全部质押物设定的质权由证券公司所有报价回购未到期以及购回交易未完成交收的客户共同享有,客户所享有的质权不对应具体质押物品种，客户不得单独就质押物主张行使质权。当证券公司违约时，全体质权人可以共同行使质权。质押物处置所得由客户按债权比例公平受偿。</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六、提示客户关注报价回购交易中面临的交易对手信用风险，以及由此可能造成的损失，包括但不限于因证券公司原因导致证券或资金划付失败，因质押物价值波动、折算率调整、司法冻结或扣划等导致质押物不能足额担保所有报价回购债务，以及证券公司被暂停或终止报价回购权限、进入风险处置或破产程序等。</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七、提示客户关注证券公司报价回购交易权限终止后，将首先由证券公司根据《客户协议》的约定对质押券进行处置，并由其将处置所得与担保资金之和按债权比例优先向客户公平清偿。仅当证券公司怠于、不当或无法处置时，将由证券公司依据《客户协议》的约定委托进行质押券处置的机构对质押券进行处置。</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八、提示客户关注《客户协议》中对质押物选择与担保价值计算依据的约定，由此带来的损失或风险由客户自行承担。</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九、提示客户关注报价回购交易的收益由证券公司公布，客户初始委托申报成功即视为同意并接受该收益。若市场发生变化，已达成的收益不会进行相应调整，客户可能面临无法获取更高收益的风险。</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十、提示客户关注巨额提前购回及巨额不再续做触发时，证券公司有权根据《客户协议》的约定拒绝相应的申请，可能影响客户的资金使用安排。</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一、提示客户关注报价回购交易中面临的操作风险，以及由此可能造成的损失，包括但不限于因证券公司原因交易不能按期达成、因通讯失效而不能及时送达相关信息，以及因客户原因没有及时了解相关通知信息等。</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十二、提示客户关注报价回购交易中面临的因证券公司技术系统故障或差错所带来的风险，以及由此可能造成的损失。</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十三、提示客户关注账户卡、身份证件和交易密码等资料的安全，如客户将证券账户、身份证件、交易密码等出借给他人使用，或因客户原因导致上述资料泄漏，由此带来的风险由客户承担。</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十四、提示客户关注因法律法规、相关政策和规则的变化、修改等原因，可能带来的风险。</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十五、提示客户关注因火灾、地震、瘟疫、社会动乱等不能预见、避免或克服的不可抗力情形，可能带来的风险。</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十六、提示客户因报价回购交易产生的任何争议、纠纷，由其与证券公司双方协商或通过诉讼或仲裁等方式解决，与任何第三方无关，客户不得就报价回购交易向任何第三方主张权利或追究责任。</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十七、除上述各项风险提示外，各证券公司还可以根据具体情况在《风险揭示书》中对报价回购交易存在的风险做进一步列举。</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《风险揭示书》应以醒目的文字载明：</w:t>
      </w:r>
    </w:p>
    <w:p>
      <w:pPr>
        <w:tabs>
          <w:tab w:val="left" w:pos="1785"/>
        </w:tabs>
        <w:adjustRightInd w:val="0"/>
        <w:snapToGrid w:val="0"/>
        <w:spacing w:line="480" w:lineRule="exact"/>
        <w:ind w:firstLine="562" w:firstLineChars="200"/>
        <w:rPr>
          <w:rFonts w:ascii="仿宋" w:hAnsi="仿宋" w:eastAsia="仿宋"/>
          <w:b/>
          <w:sz w:val="28"/>
          <w:szCs w:val="28"/>
        </w:rPr>
      </w:pPr>
      <w:r>
        <w:rPr>
          <w:rFonts w:hint="eastAsia" w:ascii="仿宋" w:hAnsi="仿宋" w:eastAsia="仿宋"/>
          <w:b/>
          <w:sz w:val="28"/>
          <w:szCs w:val="28"/>
        </w:rPr>
        <w:t>本风险揭示书的揭示事项仅为列举性质，未能详尽列明报价回购交易的所有风险。客户在参与报价回购交易前，应认真阅读相关业务规则及协议条款，对报价回购交易所特有的业务规则必须有所了解和掌握，并确信已做好足够的风险评估与财务安排，有足够的风险承受能力，避免因参与报价回购交易而遭受难以承受的损失。</w:t>
      </w:r>
    </w:p>
    <w:p>
      <w:pPr>
        <w:tabs>
          <w:tab w:val="left" w:pos="1785"/>
        </w:tabs>
        <w:adjustRightInd w:val="0"/>
        <w:snapToGrid w:val="0"/>
        <w:spacing w:line="480" w:lineRule="exact"/>
        <w:ind w:firstLine="560" w:firstLineChars="200"/>
        <w:rPr>
          <w:rFonts w:ascii="仿宋" w:hAnsi="仿宋" w:eastAsia="仿宋"/>
          <w:sz w:val="28"/>
          <w:szCs w:val="28"/>
        </w:rPr>
      </w:pPr>
      <w:r>
        <w:rPr>
          <w:rFonts w:hint="eastAsia" w:ascii="仿宋" w:hAnsi="仿宋" w:eastAsia="仿宋"/>
          <w:sz w:val="28"/>
          <w:szCs w:val="28"/>
        </w:rPr>
        <w:t>各证券公司还应要求《风险揭示书》应由客户本人签署，当客户为机构时，应由法定代表人或其授权代表签署并加盖公章，确认已知晓并理解《风险揭示书》的全部内容，愿意承担报价回购交易的风险和损失。</w:t>
      </w:r>
    </w:p>
    <w:p>
      <w:pPr>
        <w:spacing w:before="156" w:beforeLines="50" w:line="480" w:lineRule="exact"/>
        <w:rPr>
          <w:rFonts w:ascii="仿宋" w:hAnsi="仿宋" w:eastAsia="仿宋"/>
          <w:sz w:val="30"/>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黑体" w:hAnsi="黑体" w:eastAsia="黑体" w:cs="黑体"/>
          <w:sz w:val="30"/>
          <w:szCs w:val="30"/>
        </w:rPr>
      </w:pPr>
      <w:r>
        <w:rPr>
          <w:rFonts w:hint="eastAsia" w:ascii="黑体" w:hAnsi="黑体" w:eastAsia="黑体" w:cs="黑体"/>
          <w:sz w:val="30"/>
          <w:szCs w:val="30"/>
        </w:rPr>
        <w:t>附件2-3</w:t>
      </w:r>
    </w:p>
    <w:p>
      <w:pPr>
        <w:adjustRightInd w:val="0"/>
        <w:snapToGrid w:val="0"/>
        <w:spacing w:line="520" w:lineRule="exact"/>
        <w:rPr>
          <w:rFonts w:ascii="黑体" w:hAnsi="黑体" w:eastAsia="黑体" w:cs="黑体"/>
          <w:sz w:val="30"/>
          <w:szCs w:val="30"/>
        </w:rPr>
      </w:pPr>
    </w:p>
    <w:p>
      <w:pPr>
        <w:adjustRightInd w:val="0"/>
        <w:snapToGrid w:val="0"/>
        <w:spacing w:line="520" w:lineRule="exact"/>
        <w:jc w:val="center"/>
        <w:rPr>
          <w:rFonts w:ascii="方正小标宋简体" w:eastAsia="方正小标宋简体"/>
          <w:bCs/>
          <w:sz w:val="36"/>
          <w:szCs w:val="36"/>
        </w:rPr>
      </w:pPr>
      <w:r>
        <w:rPr>
          <w:rFonts w:hint="eastAsia" w:ascii="方正小标宋简体" w:eastAsia="方正小标宋简体"/>
          <w:bCs/>
          <w:sz w:val="36"/>
          <w:szCs w:val="36"/>
        </w:rPr>
        <w:t>质押式报价回购交易产品资料概览格式</w:t>
      </w:r>
    </w:p>
    <w:p>
      <w:pPr>
        <w:tabs>
          <w:tab w:val="left" w:pos="2552"/>
        </w:tabs>
        <w:adjustRightInd w:val="0"/>
        <w:snapToGrid w:val="0"/>
        <w:spacing w:line="240" w:lineRule="exact"/>
        <w:rPr>
          <w:rFonts w:ascii="仿宋_GB2312" w:hAnsi="宋体" w:eastAsia="仿宋_GB2312"/>
          <w:sz w:val="30"/>
          <w:szCs w:val="30"/>
        </w:rPr>
      </w:pPr>
    </w:p>
    <w:p>
      <w:pPr>
        <w:tabs>
          <w:tab w:val="left" w:pos="2552"/>
        </w:tabs>
        <w:adjustRightInd w:val="0"/>
        <w:snapToGrid w:val="0"/>
        <w:spacing w:line="240" w:lineRule="exact"/>
        <w:rPr>
          <w:rFonts w:ascii="仿宋_GB2312" w:hAnsi="宋体" w:eastAsia="仿宋_GB2312"/>
          <w:sz w:val="30"/>
          <w:szCs w:val="30"/>
        </w:rPr>
      </w:pPr>
    </w:p>
    <w:p>
      <w:pPr>
        <w:tabs>
          <w:tab w:val="left" w:pos="2552"/>
        </w:tabs>
        <w:adjustRightInd w:val="0"/>
        <w:snapToGrid w:val="0"/>
        <w:spacing w:line="240" w:lineRule="exact"/>
        <w:rPr>
          <w:rFonts w:ascii="仿宋_GB2312" w:hAnsi="宋体" w:eastAsia="仿宋_GB2312"/>
          <w:sz w:val="30"/>
          <w:szCs w:val="30"/>
        </w:rPr>
      </w:pPr>
      <w:r>
        <w:rPr>
          <w:rFonts w:ascii="宋体" w:hAnsi="宋体" w:cs="宋体"/>
          <w:kern w:val="0"/>
          <w:sz w:val="24"/>
        </w:rPr>
        <mc:AlternateContent>
          <mc:Choice Requires="wps">
            <w:drawing>
              <wp:anchor distT="0" distB="0" distL="114300" distR="114300" simplePos="0" relativeHeight="251660288" behindDoc="0" locked="0" layoutInCell="1" allowOverlap="1">
                <wp:simplePos x="0" y="0"/>
                <wp:positionH relativeFrom="column">
                  <wp:posOffset>3467100</wp:posOffset>
                </wp:positionH>
                <wp:positionV relativeFrom="paragraph">
                  <wp:posOffset>5080</wp:posOffset>
                </wp:positionV>
                <wp:extent cx="2052955" cy="594360"/>
                <wp:effectExtent l="0" t="0" r="4445" b="15240"/>
                <wp:wrapNone/>
                <wp:docPr id="2" name="文本框 2"/>
                <wp:cNvGraphicFramePr/>
                <a:graphic xmlns:a="http://schemas.openxmlformats.org/drawingml/2006/main">
                  <a:graphicData uri="http://schemas.microsoft.com/office/word/2010/wordprocessingShape">
                    <wps:wsp>
                      <wps:cNvSpPr txBox="1"/>
                      <wps:spPr>
                        <a:xfrm>
                          <a:off x="0" y="0"/>
                          <a:ext cx="2052955" cy="594360"/>
                        </a:xfrm>
                        <a:prstGeom prst="rect">
                          <a:avLst/>
                        </a:prstGeom>
                        <a:solidFill>
                          <a:srgbClr val="FFFFFF"/>
                        </a:solidFill>
                        <a:ln>
                          <a:noFill/>
                        </a:ln>
                      </wps:spPr>
                      <wps:txbx>
                        <w:txbxContent>
                          <w:p>
                            <w:pPr>
                              <w:rPr>
                                <w:rFonts w:ascii="黑体" w:hAnsi="黑体" w:eastAsia="黑体" w:cs="宋体"/>
                                <w:bCs/>
                                <w:kern w:val="0"/>
                                <w:sz w:val="24"/>
                                <w:szCs w:val="28"/>
                              </w:rPr>
                            </w:pPr>
                            <w:r>
                              <w:rPr>
                                <w:rFonts w:hint="eastAsia" w:ascii="黑体" w:hAnsi="黑体" w:eastAsia="黑体" w:cs="宋体"/>
                                <w:bCs/>
                                <w:kern w:val="0"/>
                                <w:sz w:val="24"/>
                                <w:szCs w:val="28"/>
                              </w:rPr>
                              <w:t>[产品名称]质押式报价回购</w:t>
                            </w:r>
                          </w:p>
                          <w:p>
                            <w:pPr>
                              <w:rPr>
                                <w:sz w:val="36"/>
                                <w:szCs w:val="36"/>
                              </w:rPr>
                            </w:pPr>
                            <w:r>
                              <w:rPr>
                                <w:rFonts w:hint="eastAsia" w:ascii="黑体" w:hAnsi="黑体" w:eastAsia="黑体" w:cs="宋体"/>
                                <w:bCs/>
                                <w:kern w:val="0"/>
                                <w:sz w:val="36"/>
                                <w:szCs w:val="36"/>
                              </w:rPr>
                              <w:t>产品资料概览</w:t>
                            </w:r>
                          </w:p>
                        </w:txbxContent>
                      </wps:txbx>
                      <wps:bodyPr upright="1"/>
                    </wps:wsp>
                  </a:graphicData>
                </a:graphic>
              </wp:anchor>
            </w:drawing>
          </mc:Choice>
          <mc:Fallback>
            <w:pict>
              <v:shape id="_x0000_s1026" o:spid="_x0000_s1026" o:spt="202" type="#_x0000_t202" style="position:absolute;left:0pt;margin-left:273pt;margin-top:0.4pt;height:46.8pt;width:161.65pt;z-index:251660288;mso-width-relative:page;mso-height-relative:page;" fillcolor="#FFFFFF" filled="t" stroked="f" coordsize="21600,21600" o:gfxdata="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mvGK1gAAAAcBAAAPAAAAAAAAAAEAIAAAACIAAABkcnMvZG93bnJldi54&#10;bWxQSwECFAAUAAAACACHTuJA3b2kbcMBAAB3AwAADgAAAAAAAAABACAAAAAlAQAAZHJzL2Uyb0Rv&#10;Yy54bWxQSwUGAAAAAAYABgBZAQAAWgUAAAAA&#10;">
                <v:fill on="t" focussize="0,0"/>
                <v:stroke on="f"/>
                <v:imagedata o:title=""/>
                <o:lock v:ext="edit" aspectratio="f"/>
                <v:textbox>
                  <w:txbxContent>
                    <w:p>
                      <w:pPr>
                        <w:rPr>
                          <w:rFonts w:ascii="黑体" w:hAnsi="黑体" w:eastAsia="黑体" w:cs="宋体"/>
                          <w:bCs/>
                          <w:kern w:val="0"/>
                          <w:sz w:val="24"/>
                          <w:szCs w:val="28"/>
                        </w:rPr>
                      </w:pPr>
                      <w:r>
                        <w:rPr>
                          <w:rFonts w:hint="eastAsia" w:ascii="黑体" w:hAnsi="黑体" w:eastAsia="黑体" w:cs="宋体"/>
                          <w:bCs/>
                          <w:kern w:val="0"/>
                          <w:sz w:val="24"/>
                          <w:szCs w:val="28"/>
                        </w:rPr>
                        <w:t>[产品名称]质押式报价回购</w:t>
                      </w:r>
                    </w:p>
                    <w:p>
                      <w:pPr>
                        <w:rPr>
                          <w:sz w:val="36"/>
                          <w:szCs w:val="36"/>
                        </w:rPr>
                      </w:pPr>
                      <w:r>
                        <w:rPr>
                          <w:rFonts w:hint="eastAsia" w:ascii="黑体" w:hAnsi="黑体" w:eastAsia="黑体" w:cs="宋体"/>
                          <w:bCs/>
                          <w:kern w:val="0"/>
                          <w:sz w:val="36"/>
                          <w:szCs w:val="36"/>
                        </w:rPr>
                        <w:t>产品资料概览</w:t>
                      </w:r>
                    </w:p>
                  </w:txbxContent>
                </v:textbox>
              </v:shape>
            </w:pict>
          </mc:Fallback>
        </mc:AlternateContent>
      </w:r>
    </w:p>
    <w:p>
      <w:pPr>
        <w:spacing w:line="480" w:lineRule="exact"/>
        <w:rPr>
          <w:rFonts w:ascii="黑体" w:eastAsia="黑体"/>
          <w:sz w:val="30"/>
        </w:rPr>
      </w:pPr>
      <w:r>
        <w:rPr>
          <w:rFonts w:ascii="宋体" w:hAnsi="宋体" w:cs="宋体"/>
          <w:kern w:val="0"/>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179070</wp:posOffset>
                </wp:positionV>
                <wp:extent cx="1931670" cy="267970"/>
                <wp:effectExtent l="0" t="0" r="11430" b="17780"/>
                <wp:wrapNone/>
                <wp:docPr id="1" name="文本框 1"/>
                <wp:cNvGraphicFramePr/>
                <a:graphic xmlns:a="http://schemas.openxmlformats.org/drawingml/2006/main">
                  <a:graphicData uri="http://schemas.microsoft.com/office/word/2010/wordprocessingShape">
                    <wps:wsp>
                      <wps:cNvSpPr txBox="1"/>
                      <wps:spPr>
                        <a:xfrm>
                          <a:off x="0" y="0"/>
                          <a:ext cx="1931670" cy="267970"/>
                        </a:xfrm>
                        <a:prstGeom prst="rect">
                          <a:avLst/>
                        </a:prstGeom>
                        <a:solidFill>
                          <a:srgbClr val="FFFFFF"/>
                        </a:solidFill>
                        <a:ln>
                          <a:noFill/>
                        </a:ln>
                      </wps:spPr>
                      <wps:txbx>
                        <w:txbxContent>
                          <w:p>
                            <w:pPr>
                              <w:rPr>
                                <w:rFonts w:ascii="黑体" w:hAnsi="黑体" w:eastAsia="黑体" w:cs="宋体"/>
                                <w:bCs/>
                                <w:kern w:val="0"/>
                                <w:sz w:val="24"/>
                                <w:szCs w:val="28"/>
                              </w:rPr>
                            </w:pPr>
                            <w:r>
                              <w:rPr>
                                <w:rFonts w:hint="eastAsia" w:ascii="黑体" w:hAnsi="黑体" w:eastAsia="黑体" w:cs="宋体"/>
                                <w:bCs/>
                                <w:kern w:val="0"/>
                                <w:sz w:val="24"/>
                                <w:szCs w:val="28"/>
                              </w:rPr>
                              <w:t>[证券公司名称及标志]</w:t>
                            </w:r>
                          </w:p>
                        </w:txbxContent>
                      </wps:txbx>
                      <wps:bodyPr upright="1"/>
                    </wps:wsp>
                  </a:graphicData>
                </a:graphic>
              </wp:anchor>
            </w:drawing>
          </mc:Choice>
          <mc:Fallback>
            <w:pict>
              <v:shape id="_x0000_s1026" o:spid="_x0000_s1026" o:spt="202" type="#_x0000_t202" style="position:absolute;left:0pt;margin-left:5.25pt;margin-top:14.1pt;height:21.1pt;width:152.1pt;z-index:251659264;mso-width-relative:page;mso-height-relative:page;" fillcolor="#FFFFFF" filled="t" stroked="f" coordsize="21600,21600" o:gfxdata="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twPatYAAAAIAQAADwAAAAAAAAABACAAAAAiAAAAZHJzL2Rvd25yZXYueG1sUEsB&#10;AhQAFAAAAAgAh07iQNYwgmi+AQAAdwMAAA4AAAAAAAAAAQAgAAAAJQEAAGRycy9lMm9Eb2MueG1s&#10;UEsFBgAAAAAGAAYAWQEAAFUFAAAAAA==&#10;">
                <v:fill on="t" focussize="0,0"/>
                <v:stroke on="f"/>
                <v:imagedata o:title=""/>
                <o:lock v:ext="edit" aspectratio="f"/>
                <v:textbox>
                  <w:txbxContent>
                    <w:p>
                      <w:pPr>
                        <w:rPr>
                          <w:rFonts w:ascii="黑体" w:hAnsi="黑体" w:eastAsia="黑体" w:cs="宋体"/>
                          <w:bCs/>
                          <w:kern w:val="0"/>
                          <w:sz w:val="24"/>
                          <w:szCs w:val="28"/>
                        </w:rPr>
                      </w:pPr>
                      <w:r>
                        <w:rPr>
                          <w:rFonts w:hint="eastAsia" w:ascii="黑体" w:hAnsi="黑体" w:eastAsia="黑体" w:cs="宋体"/>
                          <w:bCs/>
                          <w:kern w:val="0"/>
                          <w:sz w:val="24"/>
                          <w:szCs w:val="28"/>
                        </w:rPr>
                        <w:t>[证券公司名称及标志]</w:t>
                      </w:r>
                    </w:p>
                  </w:txbxContent>
                </v:textbox>
              </v:shape>
            </w:pict>
          </mc:Fallback>
        </mc:AlternateContent>
      </w:r>
    </w:p>
    <w:p>
      <w:pPr>
        <w:spacing w:line="480" w:lineRule="exact"/>
        <w:rPr>
          <w:rFonts w:ascii="黑体" w:eastAsia="黑体"/>
          <w:sz w:val="30"/>
        </w:rPr>
      </w:pPr>
    </w:p>
    <w:tbl>
      <w:tblPr>
        <w:tblStyle w:val="14"/>
        <w:tblW w:w="9063" w:type="dxa"/>
        <w:jc w:val="center"/>
        <w:tblLayout w:type="autofit"/>
        <w:tblCellMar>
          <w:top w:w="0" w:type="dxa"/>
          <w:left w:w="108" w:type="dxa"/>
          <w:bottom w:w="0" w:type="dxa"/>
          <w:right w:w="108" w:type="dxa"/>
        </w:tblCellMar>
      </w:tblPr>
      <w:tblGrid>
        <w:gridCol w:w="345"/>
        <w:gridCol w:w="4188"/>
        <w:gridCol w:w="4530"/>
      </w:tblGrid>
      <w:tr>
        <w:tblPrEx>
          <w:tblCellMar>
            <w:top w:w="0" w:type="dxa"/>
            <w:left w:w="108" w:type="dxa"/>
            <w:bottom w:w="0" w:type="dxa"/>
            <w:right w:w="108" w:type="dxa"/>
          </w:tblCellMar>
        </w:tblPrEx>
        <w:trPr>
          <w:trHeight w:val="296"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kern w:val="0"/>
                <w:sz w:val="24"/>
                <w:szCs w:val="21"/>
              </w:rPr>
            </w:pPr>
            <w:r>
              <w:rPr>
                <w:rFonts w:hint="eastAsia" w:ascii="宋体" w:hAnsi="宋体" w:cs="宋体"/>
                <w:b/>
                <w:kern w:val="0"/>
                <w:sz w:val="24"/>
                <w:szCs w:val="21"/>
              </w:rPr>
              <w:t>本产品与存款不同。</w:t>
            </w:r>
          </w:p>
          <w:p>
            <w:pPr>
              <w:widowControl/>
              <w:spacing w:line="400" w:lineRule="exact"/>
              <w:jc w:val="center"/>
              <w:rPr>
                <w:rFonts w:ascii="宋体" w:hAnsi="宋体" w:cs="宋体"/>
                <w:b/>
                <w:kern w:val="0"/>
                <w:sz w:val="24"/>
                <w:szCs w:val="21"/>
              </w:rPr>
            </w:pPr>
            <w:r>
              <w:rPr>
                <w:rFonts w:hint="eastAsia" w:ascii="宋体" w:hAnsi="宋体" w:cs="宋体"/>
                <w:b/>
                <w:kern w:val="0"/>
                <w:sz w:val="24"/>
                <w:szCs w:val="21"/>
              </w:rPr>
              <w:t>证券公司虽然提供质押担保，但投资本产品仍存在风险，请慎重决定。</w:t>
            </w:r>
          </w:p>
          <w:p>
            <w:pPr>
              <w:widowControl/>
              <w:spacing w:line="400" w:lineRule="exact"/>
              <w:jc w:val="center"/>
              <w:rPr>
                <w:rFonts w:ascii="宋体" w:hAnsi="宋体" w:cs="宋体"/>
                <w:b/>
                <w:kern w:val="0"/>
                <w:sz w:val="24"/>
                <w:szCs w:val="21"/>
              </w:rPr>
            </w:pPr>
            <w:r>
              <w:rPr>
                <w:rFonts w:hint="eastAsia" w:ascii="宋体" w:hAnsi="宋体" w:cs="宋体"/>
                <w:b/>
                <w:kern w:val="0"/>
                <w:sz w:val="24"/>
                <w:szCs w:val="21"/>
              </w:rPr>
              <w:t>本概览是产品销售文件的一部分。</w:t>
            </w:r>
          </w:p>
          <w:p>
            <w:pPr>
              <w:widowControl/>
              <w:spacing w:line="400" w:lineRule="exact"/>
              <w:jc w:val="center"/>
              <w:rPr>
                <w:rFonts w:ascii="宋体" w:hAnsi="宋体" w:cs="宋体"/>
                <w:b/>
                <w:kern w:val="0"/>
                <w:szCs w:val="21"/>
              </w:rPr>
            </w:pPr>
            <w:r>
              <w:rPr>
                <w:rFonts w:hint="eastAsia" w:ascii="宋体" w:hAnsi="宋体" w:cs="宋体"/>
                <w:b/>
                <w:kern w:val="0"/>
                <w:sz w:val="24"/>
                <w:szCs w:val="21"/>
              </w:rPr>
              <w:t>请勿单凭本概览做出投资决定。</w:t>
            </w:r>
          </w:p>
        </w:tc>
      </w:tr>
      <w:tr>
        <w:tblPrEx>
          <w:tblCellMar>
            <w:top w:w="0" w:type="dxa"/>
            <w:left w:w="108" w:type="dxa"/>
            <w:bottom w:w="0" w:type="dxa"/>
            <w:right w:w="108" w:type="dxa"/>
          </w:tblCellMar>
        </w:tblPrEx>
        <w:trPr>
          <w:trHeight w:val="457"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after="156" w:afterLines="50" w:line="400" w:lineRule="exact"/>
              <w:rPr>
                <w:rFonts w:ascii="宋体" w:hAnsi="宋体" w:cs="宋体"/>
                <w:b/>
                <w:kern w:val="0"/>
                <w:sz w:val="24"/>
                <w:szCs w:val="21"/>
              </w:rPr>
            </w:pPr>
            <w:r>
              <w:rPr>
                <w:rFonts w:hint="eastAsia" w:ascii="宋体" w:hAnsi="宋体" w:cs="宋体"/>
                <w:b/>
                <w:kern w:val="0"/>
                <w:sz w:val="24"/>
                <w:szCs w:val="21"/>
              </w:rPr>
              <w:t>信息便览</w:t>
            </w:r>
          </w:p>
        </w:tc>
      </w:tr>
      <w:tr>
        <w:tblPrEx>
          <w:tblCellMar>
            <w:top w:w="0" w:type="dxa"/>
            <w:left w:w="108" w:type="dxa"/>
            <w:bottom w:w="0" w:type="dxa"/>
            <w:right w:w="108" w:type="dxa"/>
          </w:tblCellMar>
        </w:tblPrEx>
        <w:trPr>
          <w:trHeight w:val="1591" w:hRule="atLeast"/>
          <w:jc w:val="center"/>
        </w:trPr>
        <w:tc>
          <w:tcPr>
            <w:tcW w:w="345" w:type="dxa"/>
            <w:tcBorders>
              <w:top w:val="single" w:color="auto" w:sz="8" w:space="0"/>
              <w:left w:val="single" w:color="auto" w:sz="8" w:space="0"/>
              <w:bottom w:val="single" w:color="auto" w:sz="8" w:space="0"/>
              <w:right w:val="nil"/>
            </w:tcBorders>
            <w:vAlign w:val="center"/>
          </w:tcPr>
          <w:p>
            <w:pPr>
              <w:spacing w:line="300" w:lineRule="exact"/>
              <w:rPr>
                <w:rFonts w:ascii="宋体" w:hAnsi="宋体" w:cs="宋体"/>
                <w:b/>
                <w:kern w:val="0"/>
                <w:szCs w:val="21"/>
              </w:rPr>
            </w:pPr>
          </w:p>
        </w:tc>
        <w:tc>
          <w:tcPr>
            <w:tcW w:w="4188" w:type="dxa"/>
            <w:tcBorders>
              <w:top w:val="single" w:color="auto" w:sz="8" w:space="0"/>
              <w:left w:val="nil"/>
              <w:bottom w:val="single" w:color="auto" w:sz="8" w:space="0"/>
              <w:right w:val="single" w:color="auto" w:sz="4" w:space="0"/>
            </w:tcBorders>
            <w:vAlign w:val="center"/>
          </w:tcPr>
          <w:p>
            <w:pPr>
              <w:widowControl/>
              <w:spacing w:line="300" w:lineRule="exact"/>
              <w:rPr>
                <w:rFonts w:ascii="宋体" w:hAnsi="宋体" w:cs="宋体"/>
                <w:b/>
                <w:kern w:val="0"/>
                <w:szCs w:val="21"/>
              </w:rPr>
            </w:pPr>
            <w:r>
              <w:rPr>
                <w:rFonts w:hint="eastAsia" w:ascii="宋体" w:hAnsi="宋体" w:cs="宋体"/>
                <w:b/>
                <w:kern w:val="0"/>
                <w:szCs w:val="21"/>
              </w:rPr>
              <w:t xml:space="preserve">客户门槛：                         </w:t>
            </w:r>
          </w:p>
          <w:p>
            <w:pPr>
              <w:widowControl/>
              <w:spacing w:line="300" w:lineRule="exact"/>
              <w:rPr>
                <w:rFonts w:ascii="宋体" w:hAnsi="宋体" w:cs="宋体"/>
                <w:b/>
                <w:kern w:val="0"/>
                <w:szCs w:val="21"/>
              </w:rPr>
            </w:pPr>
            <w:r>
              <w:rPr>
                <w:rFonts w:hint="eastAsia" w:ascii="宋体" w:hAnsi="宋体" w:cs="宋体"/>
                <w:b/>
                <w:kern w:val="0"/>
                <w:szCs w:val="21"/>
              </w:rPr>
              <w:t xml:space="preserve">交易品种：                         </w:t>
            </w:r>
          </w:p>
          <w:p>
            <w:pPr>
              <w:widowControl/>
              <w:spacing w:line="300" w:lineRule="exact"/>
              <w:rPr>
                <w:rFonts w:ascii="宋体" w:hAnsi="宋体" w:cs="宋体"/>
                <w:b/>
                <w:kern w:val="0"/>
                <w:szCs w:val="21"/>
              </w:rPr>
            </w:pPr>
            <w:r>
              <w:rPr>
                <w:rFonts w:hint="eastAsia" w:ascii="宋体" w:hAnsi="宋体" w:cs="宋体"/>
                <w:b/>
                <w:kern w:val="0"/>
                <w:szCs w:val="21"/>
              </w:rPr>
              <w:t xml:space="preserve">可否中途参与交易品种：             </w:t>
            </w:r>
          </w:p>
          <w:p>
            <w:pPr>
              <w:widowControl/>
              <w:spacing w:line="300" w:lineRule="exact"/>
              <w:rPr>
                <w:rFonts w:ascii="宋体" w:hAnsi="宋体" w:cs="宋体"/>
                <w:b/>
                <w:kern w:val="0"/>
                <w:szCs w:val="21"/>
              </w:rPr>
            </w:pPr>
            <w:r>
              <w:rPr>
                <w:rFonts w:hint="eastAsia" w:ascii="宋体" w:hAnsi="宋体" w:cs="宋体"/>
                <w:b/>
                <w:kern w:val="0"/>
                <w:szCs w:val="21"/>
              </w:rPr>
              <w:t xml:space="preserve">客户可否提前购回：                 </w:t>
            </w:r>
          </w:p>
          <w:p>
            <w:pPr>
              <w:widowControl/>
              <w:spacing w:line="300" w:lineRule="exact"/>
              <w:rPr>
                <w:rFonts w:ascii="宋体" w:hAnsi="宋体" w:cs="宋体"/>
                <w:b/>
                <w:kern w:val="0"/>
                <w:szCs w:val="21"/>
              </w:rPr>
            </w:pPr>
            <w:r>
              <w:rPr>
                <w:rFonts w:hint="eastAsia" w:ascii="宋体" w:hAnsi="宋体" w:cs="宋体"/>
                <w:b/>
                <w:kern w:val="0"/>
                <w:szCs w:val="21"/>
              </w:rPr>
              <w:t xml:space="preserve">到期可否自动续做：                 </w:t>
            </w:r>
          </w:p>
        </w:tc>
        <w:tc>
          <w:tcPr>
            <w:tcW w:w="4530" w:type="dxa"/>
            <w:tcBorders>
              <w:top w:val="single" w:color="auto" w:sz="8" w:space="0"/>
              <w:left w:val="single" w:color="auto" w:sz="4" w:space="0"/>
              <w:bottom w:val="single" w:color="auto" w:sz="8" w:space="0"/>
              <w:right w:val="single" w:color="auto" w:sz="8" w:space="0"/>
            </w:tcBorders>
            <w:vAlign w:val="center"/>
          </w:tcPr>
          <w:p>
            <w:pPr>
              <w:widowControl/>
              <w:spacing w:line="300" w:lineRule="exact"/>
              <w:rPr>
                <w:rFonts w:ascii="宋体" w:hAnsi="宋体" w:cs="宋体"/>
                <w:b/>
                <w:kern w:val="0"/>
                <w:szCs w:val="21"/>
              </w:rPr>
            </w:pPr>
            <w:r>
              <w:rPr>
                <w:rFonts w:hint="eastAsia" w:ascii="宋体" w:hAnsi="宋体" w:cs="宋体"/>
                <w:b/>
                <w:kern w:val="0"/>
                <w:szCs w:val="21"/>
              </w:rPr>
              <w:t xml:space="preserve">交易时间：                         </w:t>
            </w:r>
          </w:p>
          <w:p>
            <w:pPr>
              <w:widowControl/>
              <w:spacing w:line="300" w:lineRule="exact"/>
              <w:rPr>
                <w:rFonts w:ascii="宋体" w:hAnsi="宋体" w:cs="宋体"/>
                <w:b/>
                <w:kern w:val="0"/>
                <w:szCs w:val="21"/>
              </w:rPr>
            </w:pPr>
            <w:r>
              <w:rPr>
                <w:rFonts w:hint="eastAsia" w:ascii="宋体" w:hAnsi="宋体" w:cs="宋体"/>
                <w:b/>
                <w:kern w:val="0"/>
                <w:szCs w:val="21"/>
              </w:rPr>
              <w:t xml:space="preserve">最低参与金额：                     </w:t>
            </w:r>
          </w:p>
          <w:p>
            <w:pPr>
              <w:widowControl/>
              <w:spacing w:line="300" w:lineRule="exact"/>
              <w:rPr>
                <w:rFonts w:ascii="宋体" w:hAnsi="宋体" w:cs="宋体"/>
                <w:b/>
                <w:kern w:val="0"/>
                <w:szCs w:val="21"/>
              </w:rPr>
            </w:pPr>
            <w:r>
              <w:rPr>
                <w:rFonts w:hint="eastAsia" w:ascii="宋体" w:hAnsi="宋体" w:cs="宋体"/>
                <w:b/>
                <w:kern w:val="0"/>
                <w:szCs w:val="21"/>
              </w:rPr>
              <w:t xml:space="preserve">客户可否撤销委托：                  </w:t>
            </w:r>
          </w:p>
          <w:p>
            <w:pPr>
              <w:widowControl/>
              <w:spacing w:line="300" w:lineRule="exact"/>
              <w:rPr>
                <w:rFonts w:ascii="宋体" w:hAnsi="宋体" w:cs="宋体"/>
                <w:b/>
                <w:kern w:val="0"/>
                <w:szCs w:val="21"/>
              </w:rPr>
            </w:pPr>
            <w:r>
              <w:rPr>
                <w:rFonts w:hint="eastAsia" w:ascii="宋体" w:hAnsi="宋体" w:cs="宋体"/>
                <w:b/>
                <w:kern w:val="0"/>
                <w:szCs w:val="21"/>
              </w:rPr>
              <w:t xml:space="preserve">资金的可用、可取时间：              </w:t>
            </w:r>
          </w:p>
          <w:p>
            <w:pPr>
              <w:widowControl/>
              <w:spacing w:line="300" w:lineRule="exact"/>
              <w:rPr>
                <w:rFonts w:ascii="宋体" w:hAnsi="宋体" w:cs="宋体"/>
                <w:b/>
                <w:kern w:val="0"/>
                <w:szCs w:val="21"/>
              </w:rPr>
            </w:pPr>
            <w:r>
              <w:rPr>
                <w:rFonts w:hint="eastAsia" w:ascii="宋体" w:hAnsi="宋体" w:cs="宋体"/>
                <w:b/>
                <w:kern w:val="0"/>
                <w:szCs w:val="21"/>
              </w:rPr>
              <w:t xml:space="preserve">质押物种类：                        </w:t>
            </w:r>
          </w:p>
        </w:tc>
      </w:tr>
      <w:tr>
        <w:tblPrEx>
          <w:tblCellMar>
            <w:top w:w="0" w:type="dxa"/>
            <w:left w:w="108" w:type="dxa"/>
            <w:bottom w:w="0" w:type="dxa"/>
            <w:right w:w="108" w:type="dxa"/>
          </w:tblCellMar>
        </w:tblPrEx>
        <w:trPr>
          <w:trHeight w:val="1226"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什么是[产品名称]质押式报价回购？</w:t>
            </w:r>
          </w:p>
          <w:p>
            <w:pPr>
              <w:widowControl/>
              <w:spacing w:line="400" w:lineRule="exact"/>
              <w:rPr>
                <w:rFonts w:ascii="宋体" w:hAnsi="宋体" w:cs="宋体"/>
                <w:kern w:val="0"/>
                <w:szCs w:val="21"/>
              </w:rPr>
            </w:pPr>
            <w:r>
              <w:rPr>
                <w:rFonts w:hint="eastAsia" w:ascii="宋体" w:hAnsi="宋体" w:cs="宋体"/>
                <w:kern w:val="0"/>
                <w:szCs w:val="21"/>
              </w:rPr>
              <w:t>[以简洁易懂的方式介绍产品运作的主要环节，并配合产品结构示意图列示初始交易、购回交易中产品参与人之间的关系]</w:t>
            </w:r>
          </w:p>
        </w:tc>
      </w:tr>
      <w:tr>
        <w:tblPrEx>
          <w:tblCellMar>
            <w:top w:w="0" w:type="dxa"/>
            <w:left w:w="108" w:type="dxa"/>
            <w:bottom w:w="0" w:type="dxa"/>
            <w:right w:w="108" w:type="dxa"/>
          </w:tblCellMar>
        </w:tblPrEx>
        <w:trPr>
          <w:trHeight w:val="764"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产品有哪些主要风险？</w:t>
            </w:r>
          </w:p>
          <w:p>
            <w:pPr>
              <w:widowControl/>
              <w:spacing w:line="400" w:lineRule="exact"/>
              <w:rPr>
                <w:rFonts w:ascii="宋体" w:hAnsi="宋体" w:cs="宋体"/>
                <w:b/>
                <w:kern w:val="0"/>
                <w:szCs w:val="21"/>
              </w:rPr>
            </w:pPr>
            <w:r>
              <w:rPr>
                <w:rFonts w:hint="eastAsia" w:ascii="宋体" w:hAnsi="宋体" w:cs="宋体"/>
                <w:b/>
                <w:kern w:val="0"/>
                <w:szCs w:val="21"/>
              </w:rPr>
              <w:t>详情请参阅《质押式报价回购交易风险揭示书》</w:t>
            </w:r>
          </w:p>
        </w:tc>
      </w:tr>
      <w:tr>
        <w:tblPrEx>
          <w:tblCellMar>
            <w:top w:w="0" w:type="dxa"/>
            <w:left w:w="108" w:type="dxa"/>
            <w:bottom w:w="0" w:type="dxa"/>
            <w:right w:w="108" w:type="dxa"/>
          </w:tblCellMar>
        </w:tblPrEx>
        <w:trPr>
          <w:trHeight w:val="1186"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客户如何参与产品？</w:t>
            </w:r>
          </w:p>
          <w:p>
            <w:pPr>
              <w:widowControl/>
              <w:numPr>
                <w:ilvl w:val="0"/>
                <w:numId w:val="10"/>
              </w:numPr>
              <w:spacing w:line="400" w:lineRule="exact"/>
              <w:ind w:left="0"/>
              <w:rPr>
                <w:rFonts w:ascii="宋体" w:hAnsi="宋体" w:cs="宋体"/>
                <w:b/>
                <w:kern w:val="0"/>
                <w:szCs w:val="21"/>
              </w:rPr>
            </w:pPr>
            <w:r>
              <w:rPr>
                <w:rFonts w:hint="eastAsia" w:ascii="宋体" w:hAnsi="宋体" w:cs="宋体"/>
                <w:kern w:val="0"/>
                <w:szCs w:val="21"/>
              </w:rPr>
              <w:t>[分点介绍客户参与产品需签署的文件，获知报价的渠道、时点，客户参与产品发出委托的渠道、填报的内容、回购到期客户不需发出委托的提示等]</w:t>
            </w:r>
          </w:p>
        </w:tc>
      </w:tr>
      <w:tr>
        <w:tblPrEx>
          <w:tblCellMar>
            <w:top w:w="0" w:type="dxa"/>
            <w:left w:w="108" w:type="dxa"/>
            <w:bottom w:w="0" w:type="dxa"/>
            <w:right w:w="108" w:type="dxa"/>
          </w:tblCellMar>
        </w:tblPrEx>
        <w:trPr>
          <w:trHeight w:val="1112"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客户如何退出产品？</w:t>
            </w:r>
          </w:p>
          <w:p>
            <w:pPr>
              <w:widowControl/>
              <w:numPr>
                <w:ilvl w:val="0"/>
                <w:numId w:val="10"/>
              </w:numPr>
              <w:spacing w:line="400" w:lineRule="exact"/>
              <w:ind w:left="0"/>
              <w:rPr>
                <w:rFonts w:ascii="宋体" w:hAnsi="宋体" w:cs="宋体"/>
                <w:b/>
                <w:kern w:val="0"/>
                <w:sz w:val="24"/>
                <w:szCs w:val="21"/>
              </w:rPr>
            </w:pPr>
            <w:r>
              <w:rPr>
                <w:rFonts w:hint="eastAsia" w:ascii="宋体" w:hAnsi="宋体" w:cs="宋体"/>
                <w:kern w:val="0"/>
                <w:szCs w:val="21"/>
              </w:rPr>
              <w:t>[分点介绍客户可以不再续做、可以提前购回及相应的渠道、填报的内容和限制]</w:t>
            </w:r>
          </w:p>
        </w:tc>
      </w:tr>
      <w:tr>
        <w:tblPrEx>
          <w:tblCellMar>
            <w:top w:w="0" w:type="dxa"/>
            <w:left w:w="108" w:type="dxa"/>
            <w:bottom w:w="0" w:type="dxa"/>
            <w:right w:w="108" w:type="dxa"/>
          </w:tblCellMar>
        </w:tblPrEx>
        <w:trPr>
          <w:trHeight w:val="1225"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客户的收益与交易费用如何计算？</w:t>
            </w:r>
          </w:p>
          <w:p>
            <w:pPr>
              <w:widowControl/>
              <w:numPr>
                <w:ilvl w:val="0"/>
                <w:numId w:val="10"/>
              </w:numPr>
              <w:spacing w:line="400" w:lineRule="exact"/>
              <w:ind w:left="0"/>
              <w:rPr>
                <w:rFonts w:ascii="宋体" w:hAnsi="宋体" w:cs="宋体"/>
                <w:b/>
                <w:kern w:val="0"/>
                <w:sz w:val="24"/>
                <w:szCs w:val="21"/>
              </w:rPr>
            </w:pPr>
            <w:r>
              <w:rPr>
                <w:rFonts w:hint="eastAsia" w:ascii="宋体" w:hAnsi="宋体" w:cs="宋体"/>
                <w:kern w:val="0"/>
                <w:szCs w:val="21"/>
              </w:rPr>
              <w:t>[分点介绍初始交易、到期购回及提前购回时金额的计算公式，以及交易费用的收取标准，可通过举例方式说明]</w:t>
            </w:r>
          </w:p>
        </w:tc>
      </w:tr>
      <w:tr>
        <w:tblPrEx>
          <w:tblCellMar>
            <w:top w:w="0" w:type="dxa"/>
            <w:left w:w="108" w:type="dxa"/>
            <w:bottom w:w="0" w:type="dxa"/>
            <w:right w:w="108" w:type="dxa"/>
          </w:tblCellMar>
        </w:tblPrEx>
        <w:trPr>
          <w:trHeight w:val="640"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有何种担保品？</w:t>
            </w:r>
          </w:p>
          <w:p>
            <w:pPr>
              <w:widowControl/>
              <w:numPr>
                <w:ilvl w:val="0"/>
                <w:numId w:val="10"/>
              </w:numPr>
              <w:spacing w:line="400" w:lineRule="exact"/>
              <w:ind w:left="0"/>
              <w:rPr>
                <w:rFonts w:ascii="宋体" w:hAnsi="宋体" w:cs="宋体"/>
                <w:b/>
                <w:kern w:val="0"/>
                <w:sz w:val="24"/>
                <w:szCs w:val="21"/>
              </w:rPr>
            </w:pPr>
            <w:r>
              <w:rPr>
                <w:rFonts w:hint="eastAsia" w:ascii="宋体" w:hAnsi="宋体" w:cs="宋体"/>
                <w:kern w:val="0"/>
                <w:szCs w:val="21"/>
              </w:rPr>
              <w:t>[分点介绍质押物种类，及每类质押物标准券折算率的确定方式或约定的值]</w:t>
            </w:r>
          </w:p>
        </w:tc>
      </w:tr>
      <w:tr>
        <w:tblPrEx>
          <w:tblCellMar>
            <w:top w:w="0" w:type="dxa"/>
            <w:left w:w="108" w:type="dxa"/>
            <w:bottom w:w="0" w:type="dxa"/>
            <w:right w:w="108" w:type="dxa"/>
          </w:tblCellMar>
        </w:tblPrEx>
        <w:trPr>
          <w:trHeight w:val="1112"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客户如何获得产品的后续信息？</w:t>
            </w:r>
          </w:p>
          <w:p>
            <w:pPr>
              <w:widowControl/>
              <w:spacing w:line="400" w:lineRule="exact"/>
              <w:rPr>
                <w:rFonts w:ascii="宋体" w:hAnsi="宋体" w:cs="宋体"/>
                <w:b/>
                <w:kern w:val="0"/>
                <w:sz w:val="24"/>
                <w:szCs w:val="21"/>
              </w:rPr>
            </w:pPr>
            <w:r>
              <w:rPr>
                <w:rFonts w:hint="eastAsia" w:ascii="宋体" w:hAnsi="宋体" w:cs="宋体"/>
                <w:kern w:val="0"/>
                <w:szCs w:val="21"/>
              </w:rPr>
              <w:t>[介绍产品信息披露的渠道、内容和时点]</w:t>
            </w:r>
          </w:p>
        </w:tc>
      </w:tr>
      <w:tr>
        <w:tblPrEx>
          <w:tblCellMar>
            <w:top w:w="0" w:type="dxa"/>
            <w:left w:w="108" w:type="dxa"/>
            <w:bottom w:w="0" w:type="dxa"/>
            <w:right w:w="108" w:type="dxa"/>
          </w:tblCellMar>
        </w:tblPrEx>
        <w:trPr>
          <w:trHeight w:val="1112" w:hRule="atLeast"/>
          <w:jc w:val="center"/>
        </w:trPr>
        <w:tc>
          <w:tcPr>
            <w:tcW w:w="9063"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b/>
                <w:kern w:val="0"/>
                <w:sz w:val="24"/>
                <w:szCs w:val="21"/>
              </w:rPr>
            </w:pPr>
            <w:r>
              <w:rPr>
                <w:rFonts w:hint="eastAsia" w:ascii="宋体" w:hAnsi="宋体" w:cs="宋体"/>
                <w:b/>
                <w:kern w:val="0"/>
                <w:sz w:val="24"/>
                <w:szCs w:val="21"/>
              </w:rPr>
              <w:t>联系我们</w:t>
            </w:r>
          </w:p>
          <w:p>
            <w:pPr>
              <w:widowControl/>
              <w:spacing w:line="400" w:lineRule="exact"/>
              <w:rPr>
                <w:rFonts w:ascii="宋体" w:hAnsi="宋体" w:cs="宋体"/>
                <w:b/>
                <w:kern w:val="0"/>
                <w:sz w:val="24"/>
                <w:szCs w:val="21"/>
              </w:rPr>
            </w:pPr>
            <w:r>
              <w:rPr>
                <w:rFonts w:hint="eastAsia" w:ascii="宋体" w:hAnsi="宋体" w:cs="宋体"/>
                <w:kern w:val="0"/>
                <w:szCs w:val="21"/>
              </w:rPr>
              <w:t>[包括证券公司名称、网址，本业务的咨询电话、电子邮件]</w:t>
            </w:r>
          </w:p>
        </w:tc>
      </w:tr>
    </w:tbl>
    <w:p>
      <w:pPr>
        <w:spacing w:line="240" w:lineRule="exact"/>
        <w:rPr>
          <w:rFonts w:ascii="黑体" w:eastAsia="黑体"/>
          <w:sz w:val="30"/>
        </w:rPr>
      </w:pPr>
    </w:p>
    <w:p>
      <w:pPr>
        <w:rPr>
          <w:rFonts w:ascii="宋体" w:hAnsi="宋体" w:cs="宋体"/>
          <w:kern w:val="0"/>
          <w:sz w:val="20"/>
        </w:rPr>
      </w:pPr>
      <w:r>
        <w:rPr>
          <w:rFonts w:hint="eastAsia" w:ascii="宋体" w:hAnsi="宋体" w:cs="宋体"/>
          <w:kern w:val="0"/>
          <w:sz w:val="20"/>
        </w:rPr>
        <w:t>声明:本概览提供本产品的重要数据，是产品销售文件的一部分,请勿仅凭本概览做出投资决定。客户在参与报价回购交易前，应认真阅读相关业务规则、《客户协议》及《风险揭示书》，如有需要及时向证券公司咨询，并做好风险评估与财务安排，确定自身有足够的风险承受能力，避免因参与报价回购交易而遭受难以承受的损失。</w:t>
      </w:r>
    </w:p>
    <w:p>
      <w:pPr>
        <w:spacing w:line="480" w:lineRule="exact"/>
        <w:rPr>
          <w:rFonts w:ascii="黑体" w:eastAsia="黑体"/>
          <w:sz w:val="30"/>
        </w:rPr>
      </w:pPr>
    </w:p>
    <w:p>
      <w:pPr>
        <w:spacing w:line="480" w:lineRule="exact"/>
        <w:rPr>
          <w:rFonts w:ascii="黑体" w:eastAsia="黑体"/>
          <w:sz w:val="30"/>
        </w:rPr>
      </w:pPr>
    </w:p>
    <w:p>
      <w:pPr>
        <w:adjustRightInd w:val="0"/>
        <w:snapToGrid w:val="0"/>
        <w:spacing w:line="520" w:lineRule="exact"/>
        <w:rPr>
          <w:rFonts w:ascii="宋体" w:hAnsi="宋体"/>
          <w:sz w:val="28"/>
          <w:szCs w:val="28"/>
        </w:rPr>
      </w:pPr>
    </w:p>
    <w:p>
      <w:pPr>
        <w:adjustRightInd w:val="0"/>
        <w:snapToGrid w:val="0"/>
        <w:spacing w:line="520" w:lineRule="exact"/>
        <w:rPr>
          <w:rFonts w:ascii="宋体" w:hAnsi="宋体"/>
          <w:sz w:val="28"/>
          <w:szCs w:val="28"/>
        </w:rPr>
      </w:pPr>
    </w:p>
    <w:p>
      <w:pPr>
        <w:adjustRightInd w:val="0"/>
        <w:snapToGrid w:val="0"/>
        <w:spacing w:line="520" w:lineRule="exact"/>
        <w:rPr>
          <w:rFonts w:ascii="黑体" w:hAnsi="黑体" w:eastAsia="黑体" w:cs="黑体"/>
          <w:sz w:val="30"/>
          <w:szCs w:val="30"/>
        </w:rPr>
      </w:pPr>
      <w:r>
        <w:rPr>
          <w:rFonts w:ascii="宋体" w:hAnsi="宋体"/>
          <w:sz w:val="28"/>
          <w:szCs w:val="28"/>
        </w:rPr>
        <w:br w:type="page"/>
      </w:r>
      <w:r>
        <w:rPr>
          <w:rFonts w:hint="eastAsia" w:ascii="黑体" w:hAnsi="黑体" w:eastAsia="黑体" w:cs="黑体"/>
          <w:sz w:val="30"/>
          <w:szCs w:val="30"/>
        </w:rPr>
        <w:t>附件3</w:t>
      </w:r>
    </w:p>
    <w:p>
      <w:pPr>
        <w:adjustRightInd w:val="0"/>
        <w:snapToGrid w:val="0"/>
        <w:spacing w:line="520" w:lineRule="exact"/>
        <w:rPr>
          <w:rFonts w:ascii="黑体" w:hAnsi="黑体" w:eastAsia="黑体" w:cs="黑体"/>
          <w:sz w:val="30"/>
          <w:szCs w:val="30"/>
        </w:rPr>
      </w:pPr>
    </w:p>
    <w:p>
      <w:pPr>
        <w:adjustRightInd w:val="0"/>
        <w:snapToGrid w:val="0"/>
        <w:spacing w:line="520" w:lineRule="exact"/>
        <w:jc w:val="center"/>
        <w:rPr>
          <w:rFonts w:ascii="黑体" w:eastAsia="黑体"/>
          <w:bCs/>
          <w:sz w:val="36"/>
          <w:szCs w:val="30"/>
        </w:rPr>
      </w:pPr>
      <w:r>
        <w:rPr>
          <w:rFonts w:hint="eastAsia" w:ascii="黑体" w:eastAsia="黑体"/>
          <w:bCs/>
          <w:sz w:val="36"/>
          <w:szCs w:val="30"/>
        </w:rPr>
        <w:t>质押式报价回购交易证券代码申请表</w:t>
      </w:r>
    </w:p>
    <w:p>
      <w:pPr>
        <w:adjustRightInd w:val="0"/>
        <w:snapToGrid w:val="0"/>
        <w:spacing w:line="520" w:lineRule="exact"/>
        <w:jc w:val="center"/>
        <w:rPr>
          <w:rFonts w:ascii="黑体" w:eastAsia="黑体"/>
          <w:b/>
          <w:sz w:val="36"/>
          <w:szCs w:val="30"/>
        </w:rPr>
      </w:pPr>
    </w:p>
    <w:tbl>
      <w:tblPr>
        <w:tblStyle w:val="14"/>
        <w:tblW w:w="955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2552"/>
        <w:gridCol w:w="378"/>
        <w:gridCol w:w="47"/>
        <w:gridCol w:w="1417"/>
        <w:gridCol w:w="142"/>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top w:val="single" w:color="auto" w:sz="12" w:space="0"/>
              <w:left w:val="single" w:color="auto" w:sz="12" w:space="0"/>
              <w:bottom w:val="single" w:color="auto" w:sz="8"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证券公司全称</w:t>
            </w:r>
          </w:p>
        </w:tc>
        <w:tc>
          <w:tcPr>
            <w:tcW w:w="2977" w:type="dxa"/>
            <w:gridSpan w:val="3"/>
            <w:tcBorders>
              <w:top w:val="single" w:color="auto" w:sz="12" w:space="0"/>
              <w:bottom w:val="single" w:color="auto" w:sz="8" w:space="0"/>
              <w:right w:val="single" w:color="auto" w:sz="8" w:space="0"/>
            </w:tcBorders>
            <w:shd w:val="clear" w:color="auto" w:fill="auto"/>
            <w:vAlign w:val="center"/>
          </w:tcPr>
          <w:p>
            <w:pPr>
              <w:jc w:val="left"/>
              <w:rPr>
                <w:rFonts w:ascii="Times New Roman" w:hAnsi="Times New Roman"/>
                <w:sz w:val="24"/>
              </w:rPr>
            </w:pPr>
          </w:p>
        </w:tc>
        <w:tc>
          <w:tcPr>
            <w:tcW w:w="1559" w:type="dxa"/>
            <w:gridSpan w:val="2"/>
            <w:tcBorders>
              <w:top w:val="single" w:color="auto" w:sz="12"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sz w:val="24"/>
              </w:rPr>
            </w:pPr>
            <w:r>
              <w:rPr>
                <w:rFonts w:hint="eastAsia" w:ascii="Times New Roman" w:hAnsi="Times New Roman"/>
                <w:b/>
                <w:sz w:val="24"/>
              </w:rPr>
              <w:t>会员代码</w:t>
            </w:r>
          </w:p>
        </w:tc>
        <w:tc>
          <w:tcPr>
            <w:tcW w:w="1885" w:type="dxa"/>
            <w:tcBorders>
              <w:top w:val="single" w:color="auto" w:sz="12" w:space="0"/>
              <w:left w:val="single" w:color="auto" w:sz="8" w:space="0"/>
              <w:bottom w:val="single" w:color="auto" w:sz="8" w:space="0"/>
              <w:right w:val="single" w:color="auto" w:sz="12" w:space="0"/>
            </w:tcBorders>
            <w:shd w:val="clear" w:color="auto" w:fill="auto"/>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top w:val="single" w:color="auto" w:sz="8" w:space="0"/>
              <w:lef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产品名称</w:t>
            </w:r>
          </w:p>
        </w:tc>
        <w:tc>
          <w:tcPr>
            <w:tcW w:w="6421" w:type="dxa"/>
            <w:gridSpan w:val="6"/>
            <w:tcBorders>
              <w:top w:val="single" w:color="auto" w:sz="8" w:space="0"/>
              <w:right w:val="single" w:color="auto" w:sz="12" w:space="0"/>
            </w:tcBorders>
            <w:shd w:val="clear" w:color="auto" w:fill="auto"/>
            <w:vAlign w:val="center"/>
          </w:tcPr>
          <w:p>
            <w:pPr>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lef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质押物种类</w:t>
            </w:r>
          </w:p>
          <w:p>
            <w:pPr>
              <w:jc w:val="center"/>
              <w:rPr>
                <w:rFonts w:ascii="Times New Roman" w:hAnsi="Times New Roman"/>
                <w:sz w:val="24"/>
              </w:rPr>
            </w:pPr>
            <w:r>
              <w:rPr>
                <w:rFonts w:hint="eastAsia" w:ascii="Times New Roman" w:hAnsi="Times New Roman"/>
                <w:sz w:val="22"/>
              </w:rPr>
              <w:t>（请在相应选项打√或填写）</w:t>
            </w:r>
          </w:p>
        </w:tc>
        <w:tc>
          <w:tcPr>
            <w:tcW w:w="6421" w:type="dxa"/>
            <w:gridSpan w:val="6"/>
            <w:tcBorders>
              <w:right w:val="single" w:color="auto" w:sz="12" w:space="0"/>
            </w:tcBorders>
            <w:shd w:val="clear" w:color="auto" w:fill="auto"/>
            <w:vAlign w:val="center"/>
          </w:tcPr>
          <w:p>
            <w:pPr>
              <w:jc w:val="left"/>
              <w:rPr>
                <w:rFonts w:ascii="Times New Roman" w:hAnsi="Times New Roman"/>
                <w:sz w:val="22"/>
              </w:rPr>
            </w:pPr>
            <w:r>
              <w:rPr>
                <w:rFonts w:hint="eastAsia" w:ascii="宋体" w:hAnsi="宋体"/>
                <w:sz w:val="22"/>
              </w:rPr>
              <w:t xml:space="preserve">□ </w:t>
            </w:r>
            <w:r>
              <w:rPr>
                <w:rFonts w:hint="eastAsia" w:ascii="Times New Roman" w:hAnsi="Times New Roman"/>
                <w:sz w:val="22"/>
              </w:rPr>
              <w:t>符合深交所债券质押式回购交易相关规定的债券</w:t>
            </w:r>
          </w:p>
          <w:p>
            <w:pPr>
              <w:jc w:val="left"/>
              <w:rPr>
                <w:rFonts w:ascii="宋体" w:hAnsi="宋体"/>
                <w:sz w:val="22"/>
              </w:rPr>
            </w:pPr>
            <w:r>
              <w:rPr>
                <w:rFonts w:hint="eastAsia" w:ascii="宋体" w:hAnsi="宋体"/>
                <w:sz w:val="22"/>
              </w:rPr>
              <w:t>□ 基金份额</w:t>
            </w:r>
          </w:p>
          <w:p>
            <w:pPr>
              <w:jc w:val="left"/>
              <w:rPr>
                <w:rFonts w:ascii="宋体" w:hAnsi="宋体"/>
                <w:sz w:val="22"/>
              </w:rPr>
            </w:pPr>
            <w:r>
              <w:rPr>
                <w:rFonts w:hint="eastAsia" w:ascii="宋体" w:hAnsi="宋体"/>
                <w:sz w:val="22"/>
              </w:rPr>
              <w:t>□ 现金</w:t>
            </w:r>
          </w:p>
          <w:p>
            <w:pPr>
              <w:jc w:val="left"/>
              <w:rPr>
                <w:rFonts w:ascii="Times New Roman" w:hAnsi="Times New Roman"/>
                <w:sz w:val="24"/>
              </w:rPr>
            </w:pPr>
            <w:r>
              <w:rPr>
                <w:rFonts w:hint="eastAsia" w:ascii="宋体" w:hAnsi="宋体"/>
                <w:sz w:val="22"/>
              </w:rPr>
              <w:t xml:space="preserve">□ 深交所和中国结算认可的其他证券: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lef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报备规模（元）</w:t>
            </w:r>
          </w:p>
        </w:tc>
        <w:tc>
          <w:tcPr>
            <w:tcW w:w="6421" w:type="dxa"/>
            <w:gridSpan w:val="6"/>
            <w:tcBorders>
              <w:right w:val="single" w:color="auto" w:sz="12" w:space="0"/>
            </w:tcBorders>
            <w:shd w:val="clear" w:color="auto" w:fill="auto"/>
            <w:vAlign w:val="center"/>
          </w:tcPr>
          <w:p>
            <w:pPr>
              <w:jc w:val="left"/>
              <w:rPr>
                <w:rFonts w:ascii="宋体" w:hAnsi="宋体"/>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lef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品种期限</w:t>
            </w:r>
          </w:p>
        </w:tc>
        <w:tc>
          <w:tcPr>
            <w:tcW w:w="6421" w:type="dxa"/>
            <w:gridSpan w:val="6"/>
            <w:tcBorders>
              <w:right w:val="single" w:color="auto" w:sz="12" w:space="0"/>
            </w:tcBorders>
            <w:shd w:val="clear" w:color="auto" w:fill="auto"/>
            <w:vAlign w:val="center"/>
          </w:tcPr>
          <w:p>
            <w:pPr>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lef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业务联络人姓名</w:t>
            </w:r>
          </w:p>
        </w:tc>
        <w:tc>
          <w:tcPr>
            <w:tcW w:w="2552" w:type="dxa"/>
            <w:shd w:val="clear" w:color="auto" w:fill="auto"/>
            <w:vAlign w:val="center"/>
          </w:tcPr>
          <w:p>
            <w:pPr>
              <w:jc w:val="left"/>
              <w:rPr>
                <w:rFonts w:ascii="Times New Roman" w:hAnsi="Times New Roman"/>
                <w:b/>
                <w:sz w:val="24"/>
              </w:rPr>
            </w:pPr>
          </w:p>
        </w:tc>
        <w:tc>
          <w:tcPr>
            <w:tcW w:w="1842" w:type="dxa"/>
            <w:gridSpan w:val="3"/>
            <w:shd w:val="clear" w:color="auto" w:fill="auto"/>
            <w:vAlign w:val="center"/>
          </w:tcPr>
          <w:p>
            <w:pPr>
              <w:jc w:val="center"/>
              <w:rPr>
                <w:rFonts w:ascii="Times New Roman" w:hAnsi="Times New Roman"/>
                <w:b/>
                <w:sz w:val="24"/>
              </w:rPr>
            </w:pPr>
            <w:r>
              <w:rPr>
                <w:rFonts w:hint="eastAsia" w:ascii="Times New Roman" w:hAnsi="Times New Roman"/>
                <w:b/>
                <w:sz w:val="24"/>
              </w:rPr>
              <w:t>联系电话</w:t>
            </w:r>
          </w:p>
        </w:tc>
        <w:tc>
          <w:tcPr>
            <w:tcW w:w="2027" w:type="dxa"/>
            <w:gridSpan w:val="2"/>
            <w:tcBorders>
              <w:right w:val="single" w:color="auto" w:sz="12" w:space="0"/>
            </w:tcBorders>
            <w:shd w:val="clear" w:color="auto" w:fill="auto"/>
            <w:vAlign w:val="center"/>
          </w:tcPr>
          <w:p>
            <w:pPr>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lef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手机</w:t>
            </w:r>
          </w:p>
        </w:tc>
        <w:tc>
          <w:tcPr>
            <w:tcW w:w="2552" w:type="dxa"/>
            <w:shd w:val="clear" w:color="auto" w:fill="auto"/>
            <w:vAlign w:val="center"/>
          </w:tcPr>
          <w:p>
            <w:pPr>
              <w:jc w:val="left"/>
              <w:rPr>
                <w:rFonts w:ascii="Times New Roman" w:hAnsi="Times New Roman"/>
                <w:b/>
                <w:sz w:val="24"/>
              </w:rPr>
            </w:pPr>
          </w:p>
        </w:tc>
        <w:tc>
          <w:tcPr>
            <w:tcW w:w="1842" w:type="dxa"/>
            <w:gridSpan w:val="3"/>
            <w:shd w:val="clear" w:color="auto" w:fill="auto"/>
            <w:vAlign w:val="center"/>
          </w:tcPr>
          <w:p>
            <w:pPr>
              <w:jc w:val="center"/>
              <w:rPr>
                <w:rFonts w:ascii="Times New Roman" w:hAnsi="Times New Roman"/>
                <w:b/>
                <w:sz w:val="24"/>
              </w:rPr>
            </w:pPr>
            <w:r>
              <w:rPr>
                <w:rFonts w:hint="eastAsia" w:ascii="Times New Roman" w:hAnsi="Times New Roman"/>
                <w:b/>
                <w:sz w:val="24"/>
              </w:rPr>
              <w:t>传真</w:t>
            </w:r>
          </w:p>
        </w:tc>
        <w:tc>
          <w:tcPr>
            <w:tcW w:w="2027" w:type="dxa"/>
            <w:gridSpan w:val="2"/>
            <w:tcBorders>
              <w:right w:val="single" w:color="auto" w:sz="12" w:space="0"/>
            </w:tcBorders>
            <w:shd w:val="clear" w:color="auto" w:fill="auto"/>
            <w:vAlign w:val="center"/>
          </w:tcPr>
          <w:p>
            <w:pPr>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lef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邮箱</w:t>
            </w:r>
          </w:p>
        </w:tc>
        <w:tc>
          <w:tcPr>
            <w:tcW w:w="6421" w:type="dxa"/>
            <w:gridSpan w:val="6"/>
            <w:tcBorders>
              <w:right w:val="single" w:color="auto" w:sz="12" w:space="0"/>
            </w:tcBorders>
            <w:shd w:val="clear" w:color="auto" w:fill="auto"/>
            <w:vAlign w:val="center"/>
          </w:tcPr>
          <w:p>
            <w:pPr>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left w:val="single" w:color="auto" w:sz="12" w:space="0"/>
              <w:bottom w:val="double" w:color="auto" w:sz="4" w:space="0"/>
              <w:right w:val="single" w:color="auto" w:sz="4"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联系地址及邮政编码</w:t>
            </w:r>
          </w:p>
        </w:tc>
        <w:tc>
          <w:tcPr>
            <w:tcW w:w="6421" w:type="dxa"/>
            <w:gridSpan w:val="6"/>
            <w:tcBorders>
              <w:left w:val="single" w:color="auto" w:sz="4" w:space="0"/>
              <w:bottom w:val="double" w:color="auto" w:sz="4" w:space="0"/>
              <w:right w:val="single" w:color="auto" w:sz="12" w:space="0"/>
            </w:tcBorders>
            <w:shd w:val="clear" w:color="auto" w:fill="auto"/>
            <w:vAlign w:val="center"/>
          </w:tcPr>
          <w:p>
            <w:pPr>
              <w:jc w:val="left"/>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51" w:type="dxa"/>
            <w:gridSpan w:val="7"/>
            <w:tcBorders>
              <w:top w:val="double" w:color="auto" w:sz="4" w:space="0"/>
              <w:left w:val="single" w:color="auto" w:sz="12" w:space="0"/>
              <w:bottom w:val="single" w:color="auto" w:sz="8" w:space="0"/>
              <w:right w:val="single" w:color="auto" w:sz="12"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以下由会员管理部填写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30" w:type="dxa"/>
            <w:tcBorders>
              <w:top w:val="single" w:color="auto" w:sz="8" w:space="0"/>
              <w:left w:val="single" w:color="auto" w:sz="12" w:space="0"/>
              <w:bottom w:val="single" w:color="auto" w:sz="8" w:space="0"/>
              <w:right w:val="single" w:color="auto" w:sz="8"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证券代码</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b/>
                <w:sz w:val="24"/>
              </w:rPr>
            </w:pPr>
          </w:p>
        </w:tc>
        <w:tc>
          <w:tcPr>
            <w:tcW w:w="1842"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Times New Roman" w:hAnsi="Times New Roman"/>
                <w:b/>
                <w:sz w:val="24"/>
              </w:rPr>
            </w:pPr>
            <w:r>
              <w:rPr>
                <w:rFonts w:hint="eastAsia" w:ascii="Times New Roman" w:hAnsi="Times New Roman"/>
                <w:b/>
                <w:sz w:val="24"/>
              </w:rPr>
              <w:t>证券简称</w:t>
            </w:r>
          </w:p>
        </w:tc>
        <w:tc>
          <w:tcPr>
            <w:tcW w:w="2027" w:type="dxa"/>
            <w:gridSpan w:val="2"/>
            <w:tcBorders>
              <w:top w:val="single" w:color="auto" w:sz="8" w:space="0"/>
              <w:left w:val="single" w:color="auto" w:sz="8" w:space="0"/>
              <w:bottom w:val="single" w:color="auto" w:sz="8" w:space="0"/>
              <w:right w:val="single" w:color="auto" w:sz="12" w:space="0"/>
            </w:tcBorders>
            <w:shd w:val="clear" w:color="auto" w:fill="auto"/>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60" w:type="dxa"/>
            <w:gridSpan w:val="3"/>
            <w:tcBorders>
              <w:top w:val="single" w:color="auto" w:sz="8" w:space="0"/>
              <w:left w:val="single" w:color="auto" w:sz="12" w:space="0"/>
              <w:bottom w:val="single" w:color="auto" w:sz="12" w:space="0"/>
              <w:right w:val="single" w:color="auto" w:sz="4" w:space="0"/>
            </w:tcBorders>
            <w:shd w:val="clear" w:color="auto" w:fill="auto"/>
            <w:vAlign w:val="center"/>
          </w:tcPr>
          <w:p>
            <w:pPr>
              <w:rPr>
                <w:rFonts w:ascii="Times New Roman" w:hAnsi="Times New Roman"/>
                <w:b/>
                <w:sz w:val="24"/>
              </w:rPr>
            </w:pPr>
          </w:p>
          <w:p>
            <w:pPr>
              <w:rPr>
                <w:rFonts w:ascii="Times New Roman" w:hAnsi="Times New Roman"/>
                <w:b/>
                <w:sz w:val="24"/>
              </w:rPr>
            </w:pPr>
          </w:p>
          <w:p>
            <w:pPr>
              <w:rPr>
                <w:rFonts w:ascii="Times New Roman" w:hAnsi="Times New Roman"/>
                <w:sz w:val="24"/>
              </w:rPr>
            </w:pPr>
            <w:r>
              <w:rPr>
                <w:rFonts w:hint="eastAsia" w:ascii="Times New Roman" w:hAnsi="Times New Roman"/>
                <w:b/>
                <w:sz w:val="24"/>
              </w:rPr>
              <w:t>经办人：</w:t>
            </w:r>
            <w:r>
              <w:rPr>
                <w:rFonts w:hint="eastAsia" w:ascii="Times New Roman" w:hAnsi="Times New Roman"/>
                <w:sz w:val="24"/>
              </w:rPr>
              <w:t xml:space="preserve">                                 </w:t>
            </w:r>
          </w:p>
          <w:p>
            <w:pPr>
              <w:rPr>
                <w:rFonts w:ascii="Times New Roman" w:hAnsi="Times New Roman"/>
                <w:sz w:val="24"/>
              </w:rPr>
            </w:pPr>
          </w:p>
          <w:p>
            <w:pPr>
              <w:rPr>
                <w:rFonts w:ascii="Times New Roman" w:hAnsi="Times New Roman"/>
                <w:sz w:val="24"/>
              </w:rPr>
            </w:pPr>
          </w:p>
          <w:p>
            <w:pPr>
              <w:rPr>
                <w:rFonts w:ascii="Times New Roman" w:hAnsi="Times New Roman"/>
                <w:sz w:val="24"/>
              </w:rPr>
            </w:pPr>
            <w:r>
              <w:rPr>
                <w:rFonts w:hint="eastAsia" w:ascii="Times New Roman" w:hAnsi="Times New Roman"/>
                <w:b/>
                <w:sz w:val="24"/>
              </w:rPr>
              <w:t xml:space="preserve">复核人： </w:t>
            </w:r>
            <w:r>
              <w:rPr>
                <w:rFonts w:hint="eastAsia" w:ascii="Times New Roman" w:hAnsi="Times New Roman"/>
                <w:sz w:val="24"/>
              </w:rPr>
              <w:t xml:space="preserve">                                </w:t>
            </w:r>
          </w:p>
          <w:p>
            <w:pPr>
              <w:rPr>
                <w:rFonts w:ascii="Times New Roman" w:hAnsi="Times New Roman"/>
                <w:sz w:val="24"/>
              </w:rPr>
            </w:pPr>
          </w:p>
          <w:p>
            <w:pPr>
              <w:rPr>
                <w:rFonts w:ascii="Times New Roman" w:hAnsi="Times New Roman"/>
                <w:sz w:val="24"/>
              </w:rPr>
            </w:pPr>
          </w:p>
          <w:p>
            <w:pPr>
              <w:jc w:val="left"/>
              <w:rPr>
                <w:rFonts w:ascii="Times New Roman" w:hAnsi="Times New Roman"/>
                <w:b/>
                <w:sz w:val="24"/>
              </w:rPr>
            </w:pPr>
            <w:r>
              <w:rPr>
                <w:rFonts w:hint="eastAsia" w:ascii="Times New Roman" w:hAnsi="Times New Roman"/>
                <w:b/>
                <w:sz w:val="24"/>
              </w:rPr>
              <w:t xml:space="preserve">部门负责人： </w:t>
            </w:r>
            <w:r>
              <w:rPr>
                <w:rFonts w:hint="eastAsia" w:ascii="Times New Roman" w:hAnsi="Times New Roman"/>
                <w:sz w:val="24"/>
              </w:rPr>
              <w:t xml:space="preserve">                           </w:t>
            </w:r>
          </w:p>
        </w:tc>
        <w:tc>
          <w:tcPr>
            <w:tcW w:w="3491" w:type="dxa"/>
            <w:gridSpan w:val="4"/>
            <w:tcBorders>
              <w:top w:val="single" w:color="auto" w:sz="8" w:space="0"/>
              <w:left w:val="single" w:color="auto" w:sz="4" w:space="0"/>
              <w:bottom w:val="single" w:color="auto" w:sz="12" w:space="0"/>
              <w:right w:val="single" w:color="auto" w:sz="12" w:space="0"/>
            </w:tcBorders>
            <w:shd w:val="clear" w:color="auto" w:fill="auto"/>
            <w:vAlign w:val="center"/>
          </w:tcPr>
          <w:p>
            <w:pPr>
              <w:widowControl/>
              <w:jc w:val="left"/>
              <w:rPr>
                <w:rFonts w:ascii="Times New Roman" w:hAnsi="Times New Roman"/>
                <w:b/>
                <w:sz w:val="24"/>
              </w:rPr>
            </w:pPr>
          </w:p>
          <w:p>
            <w:pPr>
              <w:widowControl/>
              <w:jc w:val="left"/>
              <w:rPr>
                <w:rFonts w:ascii="Times New Roman" w:hAnsi="Times New Roman"/>
                <w:b/>
                <w:sz w:val="24"/>
              </w:rPr>
            </w:pPr>
          </w:p>
          <w:p>
            <w:pPr>
              <w:widowControl/>
              <w:jc w:val="left"/>
              <w:rPr>
                <w:rFonts w:ascii="Times New Roman" w:hAnsi="Times New Roman"/>
                <w:b/>
                <w:sz w:val="24"/>
              </w:rPr>
            </w:pPr>
          </w:p>
          <w:p>
            <w:pPr>
              <w:widowControl/>
              <w:spacing w:line="480" w:lineRule="auto"/>
              <w:ind w:firstLine="840" w:firstLineChars="350"/>
              <w:jc w:val="left"/>
              <w:rPr>
                <w:rFonts w:ascii="Times New Roman" w:hAnsi="Times New Roman"/>
                <w:sz w:val="24"/>
              </w:rPr>
            </w:pPr>
            <w:r>
              <w:rPr>
                <w:rFonts w:hint="eastAsia" w:ascii="Times New Roman" w:hAnsi="Times New Roman"/>
                <w:sz w:val="24"/>
              </w:rPr>
              <w:t>深圳证券交易所</w:t>
            </w:r>
          </w:p>
          <w:p>
            <w:pPr>
              <w:widowControl/>
              <w:spacing w:line="480" w:lineRule="auto"/>
              <w:ind w:left="930" w:leftChars="443" w:firstLine="120" w:firstLineChars="50"/>
              <w:jc w:val="left"/>
              <w:rPr>
                <w:rFonts w:ascii="Times New Roman" w:hAnsi="Times New Roman"/>
                <w:sz w:val="24"/>
              </w:rPr>
            </w:pPr>
            <w:r>
              <w:rPr>
                <w:rFonts w:hint="eastAsia" w:ascii="Times New Roman" w:hAnsi="Times New Roman"/>
                <w:sz w:val="24"/>
              </w:rPr>
              <w:t>会员管理部</w:t>
            </w:r>
          </w:p>
          <w:p>
            <w:pPr>
              <w:widowControl/>
              <w:spacing w:line="480" w:lineRule="auto"/>
              <w:ind w:left="930" w:leftChars="443" w:firstLine="120" w:firstLineChars="50"/>
              <w:jc w:val="left"/>
              <w:rPr>
                <w:rFonts w:ascii="Times New Roman" w:hAnsi="Times New Roman"/>
                <w:b/>
                <w:sz w:val="24"/>
              </w:rPr>
            </w:pPr>
            <w:r>
              <w:rPr>
                <w:rFonts w:hint="eastAsia" w:ascii="Times New Roman" w:hAnsi="Times New Roman"/>
                <w:sz w:val="24"/>
              </w:rPr>
              <w:t>年  月  日</w:t>
            </w:r>
          </w:p>
        </w:tc>
      </w:tr>
    </w:tbl>
    <w:p>
      <w:pPr>
        <w:adjustRightInd w:val="0"/>
        <w:snapToGrid w:val="0"/>
        <w:spacing w:line="520" w:lineRule="exact"/>
        <w:rPr>
          <w:rFonts w:ascii="仿宋" w:hAnsi="仿宋" w:eastAsia="仿宋" w:cs="Times New Roman"/>
          <w:sz w:val="32"/>
          <w:szCs w:val="32"/>
        </w:rPr>
      </w:pP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9"/>
          <w:tabs>
            <w:tab w:val="left" w:pos="1354"/>
          </w:tabs>
        </w:pPr>
        <w:r>
          <w:tab/>
        </w:r>
        <w:r>
          <w:tab/>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9"/>
          <w:jc w:val="center"/>
        </w:pPr>
        <w:r>
          <w:fldChar w:fldCharType="begin"/>
        </w:r>
        <w:r>
          <w:instrText xml:space="preserve">PAGE   \* MERGEFORMAT</w:instrText>
        </w:r>
        <w:r>
          <w:fldChar w:fldCharType="separate"/>
        </w:r>
        <w:r>
          <w:rPr>
            <w:lang w:val="zh-CN"/>
          </w:rPr>
          <w:t>4</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7B12B"/>
    <w:multiLevelType w:val="singleLevel"/>
    <w:tmpl w:val="9067B12B"/>
    <w:lvl w:ilvl="0" w:tentative="0">
      <w:start w:val="2"/>
      <w:numFmt w:val="decimal"/>
      <w:suff w:val="space"/>
      <w:lvlText w:val="%1."/>
      <w:lvlJc w:val="left"/>
    </w:lvl>
  </w:abstractNum>
  <w:abstractNum w:abstractNumId="1">
    <w:nsid w:val="F4A76572"/>
    <w:multiLevelType w:val="singleLevel"/>
    <w:tmpl w:val="F4A76572"/>
    <w:lvl w:ilvl="0" w:tentative="0">
      <w:start w:val="1"/>
      <w:numFmt w:val="decimal"/>
      <w:suff w:val="space"/>
      <w:lvlText w:val="%1."/>
      <w:lvlJc w:val="left"/>
    </w:lvl>
  </w:abstractNum>
  <w:abstractNum w:abstractNumId="2">
    <w:nsid w:val="16F56621"/>
    <w:multiLevelType w:val="multilevel"/>
    <w:tmpl w:val="16F566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641457"/>
    <w:multiLevelType w:val="multilevel"/>
    <w:tmpl w:val="176414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317F99"/>
    <w:multiLevelType w:val="multilevel"/>
    <w:tmpl w:val="21317F99"/>
    <w:lvl w:ilvl="0" w:tentative="0">
      <w:start w:val="1"/>
      <w:numFmt w:val="bullet"/>
      <w:lvlText w:val="•"/>
      <w:lvlJc w:val="left"/>
      <w:pPr>
        <w:ind w:left="840" w:hanging="420"/>
      </w:pPr>
      <w:rPr>
        <w:rFonts w:hint="default" w:ascii="Arial" w:hAnsi="Arial"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13794FF"/>
    <w:multiLevelType w:val="singleLevel"/>
    <w:tmpl w:val="313794FF"/>
    <w:lvl w:ilvl="0" w:tentative="0">
      <w:start w:val="1"/>
      <w:numFmt w:val="decimal"/>
      <w:suff w:val="nothing"/>
      <w:lvlText w:val="%1）"/>
      <w:lvlJc w:val="left"/>
    </w:lvl>
  </w:abstractNum>
  <w:abstractNum w:abstractNumId="6">
    <w:nsid w:val="404A08A6"/>
    <w:multiLevelType w:val="multilevel"/>
    <w:tmpl w:val="404A08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A57601"/>
    <w:multiLevelType w:val="multilevel"/>
    <w:tmpl w:val="49A576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2533218"/>
    <w:multiLevelType w:val="multilevel"/>
    <w:tmpl w:val="72533218"/>
    <w:lvl w:ilvl="0" w:tentative="0">
      <w:start w:val="1"/>
      <w:numFmt w:val="chineseCountingThousand"/>
      <w:lvlText w:val="第%1条"/>
      <w:lvlJc w:val="left"/>
      <w:pPr>
        <w:tabs>
          <w:tab w:val="left" w:pos="0"/>
        </w:tabs>
        <w:ind w:left="959" w:hanging="420"/>
      </w:pPr>
      <w:rPr>
        <w:rFonts w:hint="eastAsia"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7BB40A88"/>
    <w:multiLevelType w:val="multilevel"/>
    <w:tmpl w:val="7BB40A88"/>
    <w:lvl w:ilvl="0" w:tentative="0">
      <w:start w:val="1"/>
      <w:numFmt w:val="japaneseCounting"/>
      <w:lvlText w:val="第%1条"/>
      <w:lvlJc w:val="left"/>
      <w:pPr>
        <w:tabs>
          <w:tab w:val="left" w:pos="1245"/>
        </w:tabs>
        <w:ind w:left="1245" w:hanging="1245"/>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5"/>
  </w:num>
  <w:num w:numId="4">
    <w:abstractNumId w:val="3"/>
  </w:num>
  <w:num w:numId="5">
    <w:abstractNumId w:val="7"/>
  </w:num>
  <w:num w:numId="6">
    <w:abstractNumId w:val="6"/>
  </w:num>
  <w:num w:numId="7">
    <w:abstractNumId w:val="1"/>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304C9B"/>
    <w:rsid w:val="003C21CE"/>
    <w:rsid w:val="0045396E"/>
    <w:rsid w:val="00457909"/>
    <w:rsid w:val="005B4F79"/>
    <w:rsid w:val="00701135"/>
    <w:rsid w:val="00810E5C"/>
    <w:rsid w:val="008F4272"/>
    <w:rsid w:val="008F510E"/>
    <w:rsid w:val="009334A8"/>
    <w:rsid w:val="009A1AD5"/>
    <w:rsid w:val="009B74A7"/>
    <w:rsid w:val="009D7FF2"/>
    <w:rsid w:val="009F3F80"/>
    <w:rsid w:val="00A46BB5"/>
    <w:rsid w:val="00A65ECD"/>
    <w:rsid w:val="00B506B2"/>
    <w:rsid w:val="00B91B1D"/>
    <w:rsid w:val="00BE25AB"/>
    <w:rsid w:val="00CF24AA"/>
    <w:rsid w:val="00D0011E"/>
    <w:rsid w:val="00D16259"/>
    <w:rsid w:val="00D36474"/>
    <w:rsid w:val="00D72D3A"/>
    <w:rsid w:val="00E024A8"/>
    <w:rsid w:val="03791862"/>
    <w:rsid w:val="03F85B7C"/>
    <w:rsid w:val="07E97690"/>
    <w:rsid w:val="0B444B2A"/>
    <w:rsid w:val="0EEA0E42"/>
    <w:rsid w:val="11CD67DB"/>
    <w:rsid w:val="141F0426"/>
    <w:rsid w:val="15546D58"/>
    <w:rsid w:val="17941D86"/>
    <w:rsid w:val="1E571175"/>
    <w:rsid w:val="24951681"/>
    <w:rsid w:val="255B32D7"/>
    <w:rsid w:val="2C666113"/>
    <w:rsid w:val="2FA23BCC"/>
    <w:rsid w:val="33484D23"/>
    <w:rsid w:val="36BB24D0"/>
    <w:rsid w:val="3CC6192B"/>
    <w:rsid w:val="48472F8A"/>
    <w:rsid w:val="51B13DEC"/>
    <w:rsid w:val="532C7EB0"/>
    <w:rsid w:val="6C7E7CC6"/>
    <w:rsid w:val="72B6466D"/>
    <w:rsid w:val="72D8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19"/>
    <w:unhideWhenUsed/>
    <w:qFormat/>
    <w:uiPriority w:val="9"/>
    <w:pPr>
      <w:keepNext/>
      <w:keepLines/>
      <w:spacing w:line="560" w:lineRule="exact"/>
      <w:ind w:firstLine="420" w:firstLineChars="200"/>
      <w:outlineLvl w:val="2"/>
    </w:pPr>
    <w:rPr>
      <w:rFonts w:eastAsia="仿宋"/>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3 Char"/>
    <w:basedOn w:val="16"/>
    <w:link w:val="4"/>
    <w:qFormat/>
    <w:uiPriority w:val="9"/>
    <w:rPr>
      <w:rFonts w:eastAsia="仿宋" w:asciiTheme="minorHAnsi" w:hAnsiTheme="minorHAnsi"/>
      <w:b/>
      <w:bCs/>
      <w:sz w:val="32"/>
      <w:szCs w:val="32"/>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link w:val="2"/>
    <w:qFormat/>
    <w:uiPriority w:val="9"/>
    <w:rPr>
      <w:b/>
      <w:bCs/>
      <w:kern w:val="44"/>
      <w:sz w:val="44"/>
      <w:szCs w:val="44"/>
    </w:rPr>
  </w:style>
  <w:style w:type="character" w:customStyle="1" w:styleId="23">
    <w:name w:val="标题 2 Char"/>
    <w:basedOn w:val="16"/>
    <w:link w:val="3"/>
    <w:qFormat/>
    <w:uiPriority w:val="9"/>
    <w:rPr>
      <w:rFonts w:eastAsia="黑体" w:asciiTheme="majorHAnsi" w:hAnsiTheme="majorHAnsi" w:cstheme="majorBidi"/>
      <w:bCs/>
      <w:sz w:val="32"/>
      <w:szCs w:val="32"/>
    </w:rPr>
  </w:style>
  <w:style w:type="character" w:customStyle="1" w:styleId="24">
    <w:name w:val="批注文字 Char"/>
    <w:basedOn w:val="16"/>
    <w:link w:val="5"/>
    <w:semiHidden/>
    <w:qFormat/>
    <w:uiPriority w:val="99"/>
  </w:style>
  <w:style w:type="character" w:customStyle="1" w:styleId="25">
    <w:name w:val="批注框文本 Char"/>
    <w:basedOn w:val="16"/>
    <w:link w:val="8"/>
    <w:semiHidden/>
    <w:qFormat/>
    <w:uiPriority w:val="99"/>
    <w:rPr>
      <w:sz w:val="18"/>
      <w:szCs w:val="18"/>
    </w:rPr>
  </w:style>
  <w:style w:type="character" w:customStyle="1" w:styleId="26">
    <w:name w:val="批注主题 Char"/>
    <w:basedOn w:val="24"/>
    <w:link w:val="13"/>
    <w:semiHidden/>
    <w:qFormat/>
    <w:uiPriority w:val="99"/>
    <w:rPr>
      <w:b/>
      <w:bCs/>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A24147-DB64-461F-9E57-7436A36B7573}">
  <ds:schemaRefs/>
</ds:datastoreItem>
</file>

<file path=docProps/app.xml><?xml version="1.0" encoding="utf-8"?>
<Properties xmlns="http://schemas.openxmlformats.org/officeDocument/2006/extended-properties" xmlns:vt="http://schemas.openxmlformats.org/officeDocument/2006/docPropsVTypes">
  <Template>Normal</Template>
  <Pages>20</Pages>
  <Words>1656</Words>
  <Characters>9443</Characters>
  <Lines>78</Lines>
  <Paragraphs>22</Paragraphs>
  <TotalTime>12</TotalTime>
  <ScaleCrop>false</ScaleCrop>
  <LinksUpToDate>false</LinksUpToDate>
  <CharactersWithSpaces>11077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姚一凡</cp:lastModifiedBy>
  <dcterms:modified xsi:type="dcterms:W3CDTF">2023-09-07T06:39:30Z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DFC048D7C7584C14959D114CE7D032E8</vt:lpwstr>
  </property>
</Properties>
</file>