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52" w:name="_GoBack"/>
      <w:bookmarkEnd w:id="52"/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监管服务事项办事指南</w:t>
      </w: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基金流动性服务商确认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_Toc23629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一、事项名称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_Toc23629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_Toc26833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二、规则依据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_Toc26833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_Toc15882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三、受理部门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_Toc15882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_Toc28098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四、办理部门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_Toc28098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_Toc12640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五、办理时限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_Toc12640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_Toc2918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六、申请材料清单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_Toc2918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_Toc11110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七、办理流程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_Toc11110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_Toc11276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（一）新增流动性服务商办理流程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_Toc11276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_Toc25416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Cs w:val="0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终止流动性服务商办理流程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_Toc25416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_Toc12224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三）指定主</w:t>
      </w:r>
      <w:r>
        <w:rPr>
          <w:rFonts w:hint="eastAsia" w:ascii="仿宋" w:hAnsi="仿宋" w:eastAsia="仿宋" w:cs="仿宋"/>
          <w:sz w:val="28"/>
          <w:szCs w:val="28"/>
        </w:rPr>
        <w:t>流动性服务商办理流程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_Toc12224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_Toc23233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四）调整为一般</w:t>
      </w:r>
      <w:r>
        <w:rPr>
          <w:rFonts w:hint="eastAsia" w:ascii="仿宋" w:hAnsi="仿宋" w:eastAsia="仿宋" w:cs="仿宋"/>
          <w:sz w:val="28"/>
          <w:szCs w:val="28"/>
        </w:rPr>
        <w:t>流动性服务商办理流程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_Toc23233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_Toc13235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八、申请接收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_Toc13235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_Toc14702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九、办理结果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_Toc14702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_Toc23353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十、咨询途径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_Toc23353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_Toc28371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十一、办理地点和时间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_Toc28371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_Toc21311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（一）办理地点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_Toc21311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_Toc27071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（二）办理时间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_Toc27071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2"/>
      </w:pPr>
    </w:p>
    <w:p/>
    <w:p>
      <w:pPr>
        <w:rPr>
          <w:rFonts w:hint="eastAsia"/>
        </w:rPr>
      </w:pPr>
      <w:bookmarkStart w:id="0" w:name="_Toc15890"/>
      <w:bookmarkStart w:id="1" w:name="_Toc23629"/>
      <w:r>
        <w:rPr>
          <w:rFonts w:hint="eastAsia"/>
        </w:rPr>
        <w:br w:type="page"/>
      </w:r>
    </w:p>
    <w:p>
      <w:pPr>
        <w:pStyle w:val="2"/>
        <w:ind w:firstLine="640" w:firstLineChars="200"/>
      </w:pPr>
      <w:r>
        <w:rPr>
          <w:rFonts w:hint="eastAsia"/>
        </w:rPr>
        <w:t>一、事项名称</w:t>
      </w:r>
      <w:bookmarkEnd w:id="0"/>
      <w:bookmarkEnd w:id="1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基金流动性服务商确认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ind w:firstLine="640" w:firstLineChars="200"/>
      </w:pPr>
      <w:bookmarkStart w:id="2" w:name="_Toc26833"/>
      <w:bookmarkStart w:id="3" w:name="_Toc30441"/>
      <w:r>
        <w:rPr>
          <w:rFonts w:hint="eastAsia"/>
        </w:rPr>
        <w:t>二、规则依据</w:t>
      </w:r>
      <w:bookmarkEnd w:id="2"/>
      <w:bookmarkEnd w:id="3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《深圳证券交易所证券投资基金业务指引第2号——流动性服务》（以下简称《流动性指引》）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《深圳证券交易所证券投资基金业务指南第1号——相关业务办理》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ind w:firstLine="640" w:firstLineChars="200"/>
      </w:pPr>
      <w:bookmarkStart w:id="4" w:name="_Toc21242"/>
      <w:bookmarkStart w:id="5" w:name="_Toc15882"/>
      <w:r>
        <w:rPr>
          <w:rFonts w:hint="eastAsia"/>
        </w:rPr>
        <w:t>三、受理部门</w:t>
      </w:r>
      <w:bookmarkEnd w:id="4"/>
      <w:bookmarkEnd w:id="5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ind w:firstLine="640" w:firstLineChars="200"/>
      </w:pPr>
      <w:bookmarkStart w:id="6" w:name="_Toc9461"/>
      <w:bookmarkStart w:id="7" w:name="_Toc28098"/>
      <w:r>
        <w:rPr>
          <w:rFonts w:hint="eastAsia"/>
        </w:rPr>
        <w:t>四、办理部门</w:t>
      </w:r>
      <w:bookmarkEnd w:id="6"/>
      <w:bookmarkEnd w:id="7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  <w:ind w:firstLine="640" w:firstLineChars="200"/>
      </w:pPr>
      <w:bookmarkStart w:id="8" w:name="_Toc12640"/>
      <w:bookmarkStart w:id="9" w:name="_Toc20136"/>
      <w:r>
        <w:rPr>
          <w:rFonts w:hint="eastAsia"/>
        </w:rPr>
        <w:t>五、办理时限</w:t>
      </w:r>
      <w:bookmarkEnd w:id="8"/>
      <w:bookmarkEnd w:id="9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原则上收到完备申请材料当日</w:t>
      </w:r>
    </w:p>
    <w:p>
      <w:pPr>
        <w:spacing w:line="560" w:lineRule="exact"/>
        <w:ind w:firstLine="420" w:firstLineChars="200"/>
      </w:pPr>
    </w:p>
    <w:p>
      <w:pPr>
        <w:pStyle w:val="2"/>
        <w:ind w:firstLine="640" w:firstLineChars="200"/>
      </w:pPr>
      <w:bookmarkStart w:id="10" w:name="_Toc15381"/>
      <w:bookmarkStart w:id="11" w:name="_Toc2918"/>
      <w:r>
        <w:rPr>
          <w:rFonts w:hint="eastAsia"/>
        </w:rPr>
        <w:t>六、申请材料清单</w:t>
      </w:r>
      <w:bookmarkEnd w:id="10"/>
      <w:bookmarkEnd w:id="11"/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（一）新增流动性服务商需提交的材料包括：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申请书（加盖基金管理人公司公章）；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新增流动性服务商公告文件；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基金流动性服务商登记表（加盖证券公司公章）。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（二）终止流动性服务商需提交的材料包括：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申请书（加盖基金管理人公司公章）；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终止流动性服务商公告文件。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bookmarkStart w:id="12" w:name="_Toc30500"/>
      <w:bookmarkStart w:id="13" w:name="_Toc6126"/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三）指定主</w:t>
      </w:r>
      <w:r>
        <w:rPr>
          <w:rFonts w:hint="eastAsia" w:ascii="仿宋" w:hAnsi="仿宋" w:eastAsia="仿宋"/>
          <w:b/>
          <w:sz w:val="32"/>
          <w:szCs w:val="32"/>
        </w:rPr>
        <w:t>流动性服务商</w:t>
      </w:r>
      <w:bookmarkEnd w:id="12"/>
      <w:bookmarkEnd w:id="13"/>
      <w:r>
        <w:rPr>
          <w:rFonts w:hint="eastAsia" w:ascii="仿宋" w:hAnsi="仿宋" w:eastAsia="仿宋"/>
          <w:b/>
          <w:sz w:val="32"/>
          <w:szCs w:val="32"/>
        </w:rPr>
        <w:t>需提交的材料包括：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申请书（加盖基金管理人公司公章）；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 </w:t>
      </w:r>
      <w:r>
        <w:rPr>
          <w:rFonts w:hint="eastAsia" w:ascii="仿宋" w:hAnsi="仿宋" w:eastAsia="仿宋"/>
          <w:sz w:val="32"/>
          <w:szCs w:val="32"/>
          <w:lang w:eastAsia="zh-CN"/>
        </w:rPr>
        <w:t>指定主</w:t>
      </w:r>
      <w:r>
        <w:rPr>
          <w:rFonts w:hint="eastAsia" w:ascii="仿宋" w:hAnsi="仿宋" w:eastAsia="仿宋"/>
          <w:sz w:val="32"/>
          <w:szCs w:val="32"/>
        </w:rPr>
        <w:t>流动性服务商公告文件。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bookmarkStart w:id="14" w:name="_Toc19748"/>
      <w:bookmarkStart w:id="15" w:name="_Toc11506"/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四）调整为一般</w:t>
      </w:r>
      <w:r>
        <w:rPr>
          <w:rFonts w:hint="eastAsia" w:ascii="仿宋" w:hAnsi="仿宋" w:eastAsia="仿宋"/>
          <w:b/>
          <w:sz w:val="32"/>
          <w:szCs w:val="32"/>
        </w:rPr>
        <w:t>流动性服务商</w:t>
      </w:r>
      <w:bookmarkEnd w:id="14"/>
      <w:bookmarkEnd w:id="15"/>
      <w:r>
        <w:rPr>
          <w:rFonts w:hint="eastAsia" w:ascii="仿宋" w:hAnsi="仿宋" w:eastAsia="仿宋"/>
          <w:b/>
          <w:sz w:val="32"/>
          <w:szCs w:val="32"/>
        </w:rPr>
        <w:t>需提交的材料包括：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 </w:t>
      </w:r>
      <w:r>
        <w:rPr>
          <w:rFonts w:hint="eastAsia" w:ascii="仿宋" w:hAnsi="仿宋" w:eastAsia="仿宋"/>
          <w:sz w:val="32"/>
          <w:szCs w:val="32"/>
          <w:lang w:eastAsia="zh-CN"/>
        </w:rPr>
        <w:t>调整为一般</w:t>
      </w:r>
      <w:r>
        <w:rPr>
          <w:rFonts w:hint="eastAsia" w:ascii="仿宋" w:hAnsi="仿宋" w:eastAsia="仿宋"/>
          <w:sz w:val="32"/>
          <w:szCs w:val="32"/>
        </w:rPr>
        <w:t>流动性服务商公告文件。</w:t>
      </w:r>
    </w:p>
    <w:p>
      <w:pPr>
        <w:spacing w:line="560" w:lineRule="exact"/>
        <w:ind w:firstLine="420" w:firstLineChars="200"/>
      </w:pPr>
    </w:p>
    <w:p>
      <w:pPr>
        <w:pStyle w:val="2"/>
        <w:ind w:firstLine="640" w:firstLineChars="200"/>
      </w:pPr>
      <w:bookmarkStart w:id="16" w:name="_Toc11110"/>
      <w:bookmarkStart w:id="17" w:name="_Toc30059"/>
      <w:r>
        <w:rPr>
          <w:rFonts w:hint="eastAsia"/>
        </w:rPr>
        <w:t>七、办理流程</w:t>
      </w:r>
      <w:bookmarkEnd w:id="16"/>
      <w:bookmarkEnd w:id="17"/>
    </w:p>
    <w:p>
      <w:pPr>
        <w:pStyle w:val="3"/>
        <w:ind w:firstLine="643" w:firstLineChars="200"/>
      </w:pPr>
      <w:bookmarkStart w:id="18" w:name="_Toc16868"/>
      <w:bookmarkStart w:id="19" w:name="_Toc11276"/>
      <w:r>
        <w:rPr>
          <w:rFonts w:hint="eastAsia"/>
        </w:rPr>
        <w:t>（一）新增流动性服务商</w:t>
      </w:r>
      <w:r>
        <w:rPr>
          <w:rFonts w:hint="eastAsia" w:ascii="仿宋" w:hAnsi="仿宋"/>
        </w:rPr>
        <w:t>办理流程</w:t>
      </w:r>
      <w:bookmarkEnd w:id="18"/>
      <w:bookmarkEnd w:id="19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开始服务日的两个交易日前，基金管理人通过基金业务专区提交业务申请，并附相关申请材料。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本所在收到申请后，按照《流动性指引》的规定办理业务，并将办理结果反馈基金管理人。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基金管理人未按要求提交文件的，应当补充材料。基金管理人补充材料期间不计入本所办理期限内。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基金管理人收到本所办理完成的通知后，发布新增流动性服务商公告。</w:t>
      </w:r>
    </w:p>
    <w:p>
      <w:pPr>
        <w:pStyle w:val="3"/>
        <w:ind w:firstLine="643" w:firstLineChars="200"/>
        <w:rPr>
          <w:rFonts w:ascii="仿宋" w:hAnsi="仿宋"/>
        </w:rPr>
      </w:pPr>
      <w:bookmarkStart w:id="20" w:name="_Toc25416"/>
      <w:bookmarkStart w:id="21" w:name="_Toc30078"/>
      <w:r>
        <w:rPr>
          <w:rFonts w:hint="eastAsia" w:ascii="仿宋" w:hAnsi="仿宋"/>
          <w:bCs w:val="0"/>
        </w:rPr>
        <w:t>（二）</w:t>
      </w:r>
      <w:r>
        <w:rPr>
          <w:rFonts w:hint="eastAsia"/>
        </w:rPr>
        <w:t>终止流动性服务商</w:t>
      </w:r>
      <w:r>
        <w:rPr>
          <w:rFonts w:hint="eastAsia" w:ascii="仿宋" w:hAnsi="仿宋"/>
        </w:rPr>
        <w:t>办理流程</w:t>
      </w:r>
      <w:bookmarkEnd w:id="20"/>
      <w:bookmarkEnd w:id="21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终止服务日的两个交易日前，基金管理人通过基金业务专区提交业务申请，并附相关申请材料。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本所在收到申请后，按照《流动性指引》的规定办理业务，并将办理结果反馈基金管理人。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基金管理人未按要求提交文件的，应当补充材料。基金管理人补充材料期间不计入本所办理期限内。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基金管理人收到本所办理完成的通知后，发布终止流动性服务商公告。</w:t>
      </w:r>
    </w:p>
    <w:p>
      <w:pPr>
        <w:pStyle w:val="3"/>
        <w:ind w:firstLine="643" w:firstLineChars="200"/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22" w:name="_Toc12171"/>
      <w:bookmarkStart w:id="23" w:name="_Toc12224"/>
      <w:r>
        <w:rPr>
          <w:rFonts w:hint="eastAsia"/>
        </w:rPr>
        <w:t>（</w:t>
      </w:r>
      <w:r>
        <w:rPr>
          <w:rFonts w:hint="eastAsia"/>
          <w:lang w:eastAsia="zh-CN"/>
        </w:rPr>
        <w:t>三）指定主</w:t>
      </w:r>
      <w:r>
        <w:rPr>
          <w:rFonts w:hint="eastAsia"/>
        </w:rPr>
        <w:t>流动性服务商</w:t>
      </w:r>
      <w:r>
        <w:rPr>
          <w:rFonts w:hint="eastAsia" w:ascii="仿宋" w:hAnsi="仿宋"/>
        </w:rPr>
        <w:t>办理流程</w:t>
      </w:r>
      <w:bookmarkEnd w:id="22"/>
      <w:bookmarkEnd w:id="23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 </w:t>
      </w:r>
      <w:r>
        <w:rPr>
          <w:rFonts w:hint="eastAsia" w:ascii="仿宋" w:hAnsi="仿宋" w:eastAsia="仿宋"/>
          <w:sz w:val="32"/>
          <w:szCs w:val="32"/>
          <w:lang w:eastAsia="zh-CN"/>
        </w:rPr>
        <w:t>主流动性服务商生效日期</w:t>
      </w:r>
      <w:r>
        <w:rPr>
          <w:rFonts w:hint="eastAsia" w:ascii="仿宋" w:hAnsi="仿宋" w:eastAsia="仿宋"/>
          <w:sz w:val="32"/>
          <w:szCs w:val="32"/>
        </w:rPr>
        <w:t>的两个交易日前，基金管理人通过基金业务专区提交业务申请，并附相关申请材料。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本所在收到申请后，按照《流动性指引》的规定办理业务，并将办理结果反馈基金管理人。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基金管理人未按要求提交文件的，应当补充材料。基金管理人补充材料期间不计入本所办理期限内。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基金管理人收到本所办理完成的通知后，发布</w:t>
      </w:r>
      <w:r>
        <w:rPr>
          <w:rFonts w:hint="eastAsia" w:ascii="仿宋" w:hAnsi="仿宋" w:eastAsia="仿宋"/>
          <w:sz w:val="32"/>
          <w:szCs w:val="32"/>
          <w:lang w:eastAsia="zh-CN"/>
        </w:rPr>
        <w:t>指定主</w:t>
      </w:r>
      <w:r>
        <w:rPr>
          <w:rFonts w:hint="eastAsia" w:ascii="仿宋" w:hAnsi="仿宋" w:eastAsia="仿宋"/>
          <w:sz w:val="32"/>
          <w:szCs w:val="32"/>
        </w:rPr>
        <w:t>流动性服务商公告。</w:t>
      </w:r>
    </w:p>
    <w:p>
      <w:pPr>
        <w:pStyle w:val="3"/>
        <w:ind w:firstLine="643" w:firstLineChars="200"/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bookmarkStart w:id="24" w:name="_Toc23233"/>
      <w:bookmarkStart w:id="25" w:name="_Toc25351"/>
      <w:r>
        <w:rPr>
          <w:rFonts w:hint="eastAsia"/>
        </w:rPr>
        <w:t>（</w:t>
      </w:r>
      <w:r>
        <w:rPr>
          <w:rFonts w:hint="eastAsia"/>
          <w:lang w:eastAsia="zh-CN"/>
        </w:rPr>
        <w:t>四）调整为一般</w:t>
      </w:r>
      <w:r>
        <w:rPr>
          <w:rFonts w:hint="eastAsia"/>
        </w:rPr>
        <w:t>流动性服务商</w:t>
      </w:r>
      <w:r>
        <w:rPr>
          <w:rFonts w:hint="eastAsia" w:ascii="仿宋" w:hAnsi="仿宋"/>
        </w:rPr>
        <w:t>办理流程</w:t>
      </w:r>
      <w:bookmarkEnd w:id="24"/>
      <w:bookmarkEnd w:id="25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基金管理人在“</w:t>
      </w:r>
      <w:r>
        <w:rPr>
          <w:rFonts w:hint="eastAsia" w:ascii="仿宋" w:hAnsi="仿宋" w:eastAsia="仿宋"/>
          <w:sz w:val="32"/>
          <w:szCs w:val="32"/>
        </w:rPr>
        <w:t>调整为一般流动性服务商信息</w:t>
      </w:r>
      <w:r>
        <w:rPr>
          <w:rFonts w:hint="eastAsia" w:ascii="仿宋" w:hAnsi="仿宋" w:eastAsia="仿宋"/>
          <w:sz w:val="32"/>
          <w:szCs w:val="32"/>
          <w:lang w:eastAsia="zh-CN"/>
        </w:rPr>
        <w:t>”生成后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2个交易日内提交相关公告材料，发布</w:t>
      </w:r>
      <w:r>
        <w:rPr>
          <w:rFonts w:hint="eastAsia" w:ascii="仿宋" w:hAnsi="仿宋" w:eastAsia="仿宋"/>
          <w:sz w:val="32"/>
          <w:szCs w:val="32"/>
          <w:lang w:eastAsia="zh-CN"/>
        </w:rPr>
        <w:t>调整为一般流动性服务商的公告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pStyle w:val="2"/>
        <w:ind w:firstLine="640" w:firstLineChars="200"/>
      </w:pPr>
      <w:bookmarkStart w:id="26" w:name="_Toc17183"/>
      <w:bookmarkStart w:id="27" w:name="_Toc13235"/>
      <w:r>
        <w:rPr>
          <w:rFonts w:hint="eastAsia"/>
        </w:rPr>
        <w:t>八、申请接收</w:t>
      </w:r>
      <w:bookmarkEnd w:id="26"/>
      <w:bookmarkEnd w:id="27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本所基金业务专区受理申请，接收电子版材料。</w:t>
      </w:r>
    </w:p>
    <w:p>
      <w:pPr>
        <w:spacing w:line="560" w:lineRule="exact"/>
        <w:ind w:firstLine="420" w:firstLineChars="200"/>
      </w:pPr>
    </w:p>
    <w:p>
      <w:pPr>
        <w:pStyle w:val="2"/>
        <w:ind w:firstLine="640" w:firstLineChars="200"/>
      </w:pPr>
      <w:bookmarkStart w:id="28" w:name="_Toc14702"/>
      <w:bookmarkStart w:id="29" w:name="_Toc5343"/>
      <w:r>
        <w:rPr>
          <w:rFonts w:hint="eastAsia"/>
        </w:rPr>
        <w:t>九、办理结果</w:t>
      </w:r>
      <w:bookmarkEnd w:id="28"/>
      <w:bookmarkEnd w:id="29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基金管理人可通过基金业务专区查看业务办理结果。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/>
        <w:keepLines/>
        <w:spacing w:line="560" w:lineRule="exact"/>
        <w:ind w:firstLine="640" w:firstLineChars="200"/>
        <w:outlineLvl w:val="1"/>
        <w:rPr>
          <w:rFonts w:eastAsia="黑体" w:asciiTheme="majorHAnsi" w:hAnsiTheme="majorHAnsi" w:cstheme="majorBidi"/>
          <w:bCs/>
          <w:sz w:val="32"/>
          <w:szCs w:val="32"/>
        </w:rPr>
      </w:pPr>
      <w:bookmarkStart w:id="30" w:name="_Toc23353"/>
      <w:bookmarkStart w:id="31" w:name="_Toc25713"/>
      <w:bookmarkStart w:id="32" w:name="_Toc54681468"/>
      <w:bookmarkStart w:id="33" w:name="_Toc54708195"/>
      <w:bookmarkStart w:id="34" w:name="_Toc54690943"/>
      <w:r>
        <w:rPr>
          <w:rFonts w:hint="eastAsia" w:eastAsia="黑体" w:asciiTheme="majorHAnsi" w:hAnsiTheme="majorHAnsi" w:cstheme="majorBidi"/>
          <w:bCs/>
          <w:sz w:val="32"/>
          <w:szCs w:val="32"/>
        </w:rPr>
        <w:t>十、咨询途径</w:t>
      </w:r>
      <w:bookmarkEnd w:id="30"/>
      <w:bookmarkEnd w:id="31"/>
      <w:bookmarkEnd w:id="32"/>
      <w:bookmarkEnd w:id="33"/>
      <w:bookmarkEnd w:id="34"/>
    </w:p>
    <w:p>
      <w:pPr>
        <w:autoSpaceDN w:val="0"/>
        <w:adjustRightInd w:val="0"/>
        <w:snapToGrid w:val="0"/>
        <w:spacing w:line="560" w:lineRule="exact"/>
        <w:ind w:firstLine="638" w:firstLineChars="228"/>
        <w:jc w:val="left"/>
        <w:rPr>
          <w:rFonts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李</w:t>
      </w:r>
      <w:r>
        <w:rPr>
          <w:rFonts w:ascii="仿宋" w:hAnsi="仿宋" w:eastAsia="仿宋"/>
          <w:spacing w:val="-20"/>
          <w:sz w:val="32"/>
          <w:szCs w:val="32"/>
        </w:rPr>
        <w:t>女士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/>
          <w:spacing w:val="-20"/>
          <w:sz w:val="32"/>
          <w:szCs w:val="32"/>
        </w:rPr>
        <w:t>电话</w:t>
      </w:r>
      <w:r>
        <w:rPr>
          <w:rFonts w:hint="eastAsia" w:ascii="仿宋" w:hAnsi="仿宋" w:eastAsia="仿宋"/>
          <w:spacing w:val="-20"/>
          <w:sz w:val="32"/>
          <w:szCs w:val="32"/>
        </w:rPr>
        <w:t>：</w:t>
      </w:r>
      <w:r>
        <w:rPr>
          <w:rFonts w:ascii="仿宋" w:hAnsi="仿宋" w:eastAsia="仿宋"/>
          <w:spacing w:val="-20"/>
          <w:sz w:val="32"/>
          <w:szCs w:val="32"/>
        </w:rPr>
        <w:t>0755-8866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6350</w:t>
      </w:r>
      <w:r>
        <w:rPr>
          <w:rFonts w:ascii="仿宋" w:hAnsi="仿宋" w:eastAsia="仿宋"/>
          <w:spacing w:val="-20"/>
          <w:sz w:val="32"/>
          <w:szCs w:val="32"/>
        </w:rPr>
        <w:t xml:space="preserve"> 邮箱：</w:t>
      </w:r>
      <w:r>
        <w:rPr>
          <w:rFonts w:hint="eastAsia" w:ascii="仿宋" w:hAnsi="仿宋" w:eastAsia="仿宋"/>
          <w:spacing w:val="-20"/>
          <w:sz w:val="32"/>
          <w:szCs w:val="32"/>
        </w:rPr>
        <w:t>liyanping</w:t>
      </w:r>
      <w:r>
        <w:rPr>
          <w:rFonts w:ascii="仿宋" w:hAnsi="仿宋" w:eastAsia="仿宋"/>
          <w:spacing w:val="-20"/>
          <w:sz w:val="32"/>
          <w:szCs w:val="32"/>
        </w:rPr>
        <w:t>@szse.cn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詹女士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8130</w:t>
      </w:r>
      <w:r>
        <w:rPr>
          <w:rFonts w:ascii="仿宋" w:hAnsi="仿宋" w:eastAsia="仿宋"/>
          <w:sz w:val="32"/>
          <w:szCs w:val="32"/>
        </w:rPr>
        <w:t xml:space="preserve"> 邮箱：</w:t>
      </w:r>
      <w:r>
        <w:fldChar w:fldCharType="begin"/>
      </w:r>
      <w:r>
        <w:instrText xml:space="preserve"> HYPERLINK "mailto:jzhan.oth@szse.cn"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zhanjie</w:t>
      </w:r>
      <w:r>
        <w:rPr>
          <w:rFonts w:ascii="仿宋" w:hAnsi="仿宋" w:eastAsia="仿宋"/>
          <w:sz w:val="32"/>
          <w:szCs w:val="32"/>
        </w:rPr>
        <w:t>@szse.cn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徐先生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8337 </w:t>
      </w:r>
      <w:r>
        <w:rPr>
          <w:rFonts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</w:rPr>
        <w:t>yxu</w:t>
      </w:r>
      <w:r>
        <w:rPr>
          <w:rFonts w:ascii="仿宋" w:hAnsi="仿宋" w:eastAsia="仿宋"/>
          <w:sz w:val="32"/>
          <w:szCs w:val="32"/>
        </w:rPr>
        <w:t>@szse.cn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/>
        <w:keepLines/>
        <w:spacing w:line="560" w:lineRule="exact"/>
        <w:ind w:firstLine="640" w:firstLineChars="200"/>
        <w:outlineLvl w:val="1"/>
        <w:rPr>
          <w:rFonts w:eastAsia="黑体" w:asciiTheme="majorHAnsi" w:hAnsiTheme="majorHAnsi" w:cstheme="majorBidi"/>
          <w:bCs/>
          <w:sz w:val="32"/>
          <w:szCs w:val="32"/>
        </w:rPr>
      </w:pPr>
      <w:bookmarkStart w:id="35" w:name="_Toc5750"/>
      <w:bookmarkStart w:id="36" w:name="_Toc54690946"/>
      <w:bookmarkStart w:id="37" w:name="_Toc54708198"/>
      <w:bookmarkStart w:id="38" w:name="_Toc54681471"/>
      <w:bookmarkStart w:id="39" w:name="_Toc28371"/>
      <w:r>
        <w:rPr>
          <w:rFonts w:hint="eastAsia" w:eastAsia="黑体" w:asciiTheme="majorHAnsi" w:hAnsiTheme="majorHAnsi" w:cstheme="majorBidi"/>
          <w:bCs/>
          <w:sz w:val="32"/>
          <w:szCs w:val="32"/>
        </w:rPr>
        <w:t>十一、办理地点和时间</w:t>
      </w:r>
      <w:bookmarkEnd w:id="35"/>
      <w:bookmarkEnd w:id="36"/>
      <w:bookmarkEnd w:id="37"/>
      <w:bookmarkEnd w:id="38"/>
      <w:bookmarkEnd w:id="39"/>
    </w:p>
    <w:p>
      <w:pPr>
        <w:keepNext/>
        <w:keepLines/>
        <w:spacing w:line="560" w:lineRule="exact"/>
        <w:ind w:firstLine="643" w:firstLineChars="200"/>
        <w:outlineLvl w:val="2"/>
        <w:rPr>
          <w:rFonts w:eastAsia="仿宋"/>
          <w:b/>
          <w:bCs/>
          <w:sz w:val="32"/>
          <w:szCs w:val="32"/>
        </w:rPr>
      </w:pPr>
      <w:bookmarkStart w:id="40" w:name="_Toc54681472"/>
      <w:bookmarkStart w:id="41" w:name="_Toc54708199"/>
      <w:bookmarkStart w:id="42" w:name="_Toc55896176"/>
      <w:bookmarkStart w:id="43" w:name="_Toc54690947"/>
      <w:bookmarkStart w:id="44" w:name="_Toc21311"/>
      <w:bookmarkStart w:id="45" w:name="_Toc4267"/>
      <w:r>
        <w:rPr>
          <w:rFonts w:hint="eastAsia" w:eastAsia="仿宋"/>
          <w:b/>
          <w:bCs/>
          <w:sz w:val="32"/>
          <w:szCs w:val="32"/>
        </w:rPr>
        <w:t>（一）办理地</w:t>
      </w:r>
      <w:bookmarkEnd w:id="40"/>
      <w:bookmarkEnd w:id="41"/>
      <w:bookmarkEnd w:id="42"/>
      <w:bookmarkEnd w:id="43"/>
      <w:r>
        <w:rPr>
          <w:rFonts w:hint="eastAsia" w:eastAsia="仿宋"/>
          <w:b/>
          <w:bCs/>
          <w:sz w:val="32"/>
          <w:szCs w:val="32"/>
        </w:rPr>
        <w:t>点</w:t>
      </w:r>
      <w:bookmarkEnd w:id="44"/>
      <w:bookmarkEnd w:id="45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46" w:name="_Toc54708200"/>
      <w:bookmarkStart w:id="47" w:name="_Toc54681473"/>
      <w:bookmarkStart w:id="48" w:name="_Toc54690948"/>
      <w:bookmarkStart w:id="49" w:name="_Toc55896177"/>
      <w:r>
        <w:rPr>
          <w:rFonts w:hint="eastAsia" w:ascii="仿宋" w:hAnsi="仿宋" w:eastAsia="仿宋"/>
          <w:sz w:val="32"/>
          <w:szCs w:val="32"/>
        </w:rPr>
        <w:t>1. 业务申请通过本所基金业务专区网上提交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办公地址：深圳市福田区深南大道2012号深圳证券交易所19楼1906室</w:t>
      </w:r>
    </w:p>
    <w:p>
      <w:pPr>
        <w:keepNext/>
        <w:keepLines/>
        <w:spacing w:line="560" w:lineRule="exact"/>
        <w:ind w:firstLine="643" w:firstLineChars="200"/>
        <w:outlineLvl w:val="2"/>
        <w:rPr>
          <w:rFonts w:eastAsia="仿宋"/>
          <w:b/>
          <w:bCs/>
          <w:sz w:val="32"/>
          <w:szCs w:val="32"/>
        </w:rPr>
      </w:pPr>
      <w:bookmarkStart w:id="50" w:name="_Toc27071"/>
      <w:bookmarkStart w:id="51" w:name="_Toc23028"/>
      <w:r>
        <w:rPr>
          <w:rFonts w:hint="eastAsia" w:eastAsia="仿宋"/>
          <w:b/>
          <w:bCs/>
          <w:sz w:val="32"/>
          <w:szCs w:val="32"/>
        </w:rPr>
        <w:t>（二）办理时间</w:t>
      </w:r>
      <w:bookmarkEnd w:id="46"/>
      <w:bookmarkEnd w:id="47"/>
      <w:bookmarkEnd w:id="48"/>
      <w:bookmarkEnd w:id="49"/>
      <w:bookmarkEnd w:id="50"/>
      <w:bookmarkEnd w:id="51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本所基金业务专区系统运营时间为7×24小时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办公时间：周一至周五 8:30-11:30；13:30-17:00</w:t>
      </w:r>
    </w:p>
    <w:p>
      <w:pPr>
        <w:spacing w:line="560" w:lineRule="exact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403305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F2"/>
    <w:rsid w:val="001365CE"/>
    <w:rsid w:val="002106E0"/>
    <w:rsid w:val="00341CF2"/>
    <w:rsid w:val="00360E3C"/>
    <w:rsid w:val="00362D81"/>
    <w:rsid w:val="00503A2D"/>
    <w:rsid w:val="007A4660"/>
    <w:rsid w:val="00913CD3"/>
    <w:rsid w:val="009315CF"/>
    <w:rsid w:val="00E00334"/>
    <w:rsid w:val="00F72FDC"/>
    <w:rsid w:val="00FB144F"/>
    <w:rsid w:val="01D47F8D"/>
    <w:rsid w:val="026779BA"/>
    <w:rsid w:val="032D3A42"/>
    <w:rsid w:val="06DD491F"/>
    <w:rsid w:val="10A739CE"/>
    <w:rsid w:val="138E1F11"/>
    <w:rsid w:val="1C4E7AA5"/>
    <w:rsid w:val="1C512301"/>
    <w:rsid w:val="1DF06F83"/>
    <w:rsid w:val="21E86B0C"/>
    <w:rsid w:val="28515964"/>
    <w:rsid w:val="2E7E0858"/>
    <w:rsid w:val="2F9B57E6"/>
    <w:rsid w:val="2FC46838"/>
    <w:rsid w:val="30917CC0"/>
    <w:rsid w:val="30DC03FD"/>
    <w:rsid w:val="338B7F5A"/>
    <w:rsid w:val="34997AFA"/>
    <w:rsid w:val="36CA697F"/>
    <w:rsid w:val="375E78CE"/>
    <w:rsid w:val="3A020073"/>
    <w:rsid w:val="3A027391"/>
    <w:rsid w:val="3B697868"/>
    <w:rsid w:val="3C9E3C0C"/>
    <w:rsid w:val="3EF44842"/>
    <w:rsid w:val="491214C7"/>
    <w:rsid w:val="4A037B33"/>
    <w:rsid w:val="4B407947"/>
    <w:rsid w:val="53C519DB"/>
    <w:rsid w:val="54703B39"/>
    <w:rsid w:val="5A94227C"/>
    <w:rsid w:val="61720EED"/>
    <w:rsid w:val="6329775D"/>
    <w:rsid w:val="66452A5A"/>
    <w:rsid w:val="6F955BFE"/>
    <w:rsid w:val="700E15EF"/>
    <w:rsid w:val="74C8509F"/>
    <w:rsid w:val="79150B60"/>
    <w:rsid w:val="7F08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560" w:lineRule="exact"/>
      <w:outlineLvl w:val="2"/>
    </w:pPr>
    <w:rPr>
      <w:rFonts w:eastAsia="仿宋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994</Words>
  <Characters>1093</Characters>
  <Lines>9</Lines>
  <Paragraphs>4</Paragraphs>
  <TotalTime>9</TotalTime>
  <ScaleCrop>false</ScaleCrop>
  <LinksUpToDate>false</LinksUpToDate>
  <CharactersWithSpaces>2083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2023-03-09T02:54:00Z</dcterms:created>
  <dc:creator>yzhao.oth</dc:creator>
  <cp:lastModifiedBy>辛雅婷</cp:lastModifiedBy>
  <dcterms:modified xsi:type="dcterms:W3CDTF">2023-12-08T06:26:15Z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F840F21374864057B927F65B586351B2</vt:lpwstr>
  </property>
</Properties>
</file>