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方正小标宋简体" w:hAnsi="仿宋" w:eastAsia="方正小标宋简体"/>
          <w:sz w:val="44"/>
          <w:szCs w:val="44"/>
        </w:rPr>
      </w:pPr>
      <w:bookmarkStart w:id="25" w:name="_GoBack"/>
      <w:bookmarkEnd w:id="25"/>
    </w:p>
    <w:p>
      <w:pPr>
        <w:spacing w:line="560" w:lineRule="exact"/>
        <w:jc w:val="center"/>
        <w:rPr>
          <w:rFonts w:ascii="方正小标宋简体" w:hAnsi="仿宋" w:eastAsia="方正小标宋简体"/>
          <w:sz w:val="44"/>
          <w:szCs w:val="44"/>
        </w:rPr>
      </w:pPr>
      <w:r>
        <w:rPr>
          <w:rFonts w:hint="eastAsia" w:ascii="方正小标宋简体" w:hAnsi="仿宋" w:eastAsia="方正小标宋简体"/>
          <w:sz w:val="44"/>
          <w:szCs w:val="44"/>
        </w:rPr>
        <w:t>监管服务事项办事指南</w:t>
      </w:r>
    </w:p>
    <w:p>
      <w:pPr>
        <w:spacing w:line="560" w:lineRule="exact"/>
        <w:jc w:val="center"/>
        <w:rPr>
          <w:rFonts w:ascii="仿宋" w:hAnsi="仿宋" w:eastAsia="仿宋"/>
          <w:b/>
          <w:sz w:val="44"/>
          <w:szCs w:val="44"/>
        </w:rPr>
      </w:pPr>
      <w:r>
        <w:rPr>
          <w:rFonts w:hint="eastAsia" w:ascii="仿宋" w:hAnsi="仿宋" w:eastAsia="仿宋"/>
          <w:b/>
          <w:sz w:val="44"/>
          <w:szCs w:val="44"/>
        </w:rPr>
        <w:t>基金通平台销售机构业务办理</w:t>
      </w:r>
    </w:p>
    <w:p>
      <w:pPr>
        <w:spacing w:line="560" w:lineRule="exact"/>
        <w:jc w:val="center"/>
        <w:rPr>
          <w:rFonts w:ascii="黑体" w:hAnsi="黑体" w:eastAsia="黑体"/>
          <w:sz w:val="32"/>
          <w:szCs w:val="32"/>
        </w:rPr>
      </w:pPr>
    </w:p>
    <w:p>
      <w:pPr>
        <w:spacing w:line="560" w:lineRule="exact"/>
        <w:jc w:val="center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目录</w:t>
      </w:r>
    </w:p>
    <w:p>
      <w:pPr>
        <w:spacing w:line="560" w:lineRule="exact"/>
        <w:jc w:val="center"/>
        <w:rPr>
          <w:rFonts w:hint="eastAsia" w:ascii="黑体" w:hAnsi="黑体" w:eastAsia="黑体"/>
          <w:sz w:val="32"/>
          <w:szCs w:val="32"/>
        </w:rPr>
      </w:pPr>
    </w:p>
    <w:p>
      <w:pPr>
        <w:pStyle w:val="10"/>
        <w:pageBreakBefore w:val="0"/>
        <w:widowControl w:val="0"/>
        <w:tabs>
          <w:tab w:val="right" w:leader="dot" w:pos="830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sz w:val="28"/>
          <w:szCs w:val="28"/>
        </w:rPr>
        <w:instrText xml:space="preserve"> TOC \o "1-3" \h \z \u </w:instrText>
      </w:r>
      <w:r>
        <w:rPr>
          <w:rFonts w:hint="eastAsia"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sz w:val="28"/>
          <w:szCs w:val="28"/>
        </w:rPr>
        <w:instrText xml:space="preserve"> HYPERLINK \l _Toc9600 </w:instrText>
      </w:r>
      <w:r>
        <w:rPr>
          <w:rFonts w:hint="eastAsia"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sz w:val="28"/>
          <w:szCs w:val="28"/>
        </w:rPr>
        <w:t>一、事项名称</w:t>
      </w:r>
      <w:r>
        <w:rPr>
          <w:rFonts w:hint="eastAsia" w:ascii="仿宋" w:hAnsi="仿宋" w:eastAsia="仿宋" w:cs="仿宋"/>
          <w:sz w:val="28"/>
          <w:szCs w:val="28"/>
        </w:rPr>
        <w:tab/>
      </w:r>
      <w:r>
        <w:rPr>
          <w:rFonts w:hint="eastAsia" w:ascii="仿宋" w:hAnsi="仿宋" w:eastAsia="仿宋" w:cs="仿宋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sz w:val="28"/>
          <w:szCs w:val="28"/>
        </w:rPr>
        <w:instrText xml:space="preserve"> PAGEREF _Toc9600 \h </w:instrText>
      </w:r>
      <w:r>
        <w:rPr>
          <w:rFonts w:hint="eastAsia"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sz w:val="28"/>
          <w:szCs w:val="28"/>
        </w:rPr>
        <w:t>2</w:t>
      </w:r>
      <w:r>
        <w:rPr>
          <w:rFonts w:hint="eastAsia" w:ascii="仿宋" w:hAnsi="仿宋" w:eastAsia="仿宋" w:cs="仿宋"/>
          <w:sz w:val="28"/>
          <w:szCs w:val="28"/>
        </w:rPr>
        <w:fldChar w:fldCharType="end"/>
      </w:r>
      <w:r>
        <w:rPr>
          <w:rFonts w:hint="eastAsia" w:ascii="仿宋" w:hAnsi="仿宋" w:eastAsia="仿宋" w:cs="仿宋"/>
          <w:sz w:val="28"/>
          <w:szCs w:val="28"/>
        </w:rPr>
        <w:fldChar w:fldCharType="end"/>
      </w:r>
    </w:p>
    <w:p>
      <w:pPr>
        <w:pStyle w:val="10"/>
        <w:pageBreakBefore w:val="0"/>
        <w:widowControl w:val="0"/>
        <w:tabs>
          <w:tab w:val="right" w:leader="dot" w:pos="830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sz w:val="28"/>
          <w:szCs w:val="28"/>
        </w:rPr>
        <w:instrText xml:space="preserve"> HYPERLINK \l _Toc9054 </w:instrText>
      </w:r>
      <w:r>
        <w:rPr>
          <w:rFonts w:hint="eastAsia"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sz w:val="28"/>
          <w:szCs w:val="28"/>
        </w:rPr>
        <w:t>二、规则依据</w:t>
      </w:r>
      <w:r>
        <w:rPr>
          <w:rFonts w:hint="eastAsia" w:ascii="仿宋" w:hAnsi="仿宋" w:eastAsia="仿宋" w:cs="仿宋"/>
          <w:sz w:val="28"/>
          <w:szCs w:val="28"/>
        </w:rPr>
        <w:tab/>
      </w:r>
      <w:r>
        <w:rPr>
          <w:rFonts w:hint="eastAsia" w:ascii="仿宋" w:hAnsi="仿宋" w:eastAsia="仿宋" w:cs="仿宋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sz w:val="28"/>
          <w:szCs w:val="28"/>
        </w:rPr>
        <w:instrText xml:space="preserve"> PAGEREF _Toc9054 \h </w:instrText>
      </w:r>
      <w:r>
        <w:rPr>
          <w:rFonts w:hint="eastAsia"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sz w:val="28"/>
          <w:szCs w:val="28"/>
        </w:rPr>
        <w:t>2</w:t>
      </w:r>
      <w:r>
        <w:rPr>
          <w:rFonts w:hint="eastAsia" w:ascii="仿宋" w:hAnsi="仿宋" w:eastAsia="仿宋" w:cs="仿宋"/>
          <w:sz w:val="28"/>
          <w:szCs w:val="28"/>
        </w:rPr>
        <w:fldChar w:fldCharType="end"/>
      </w:r>
      <w:r>
        <w:rPr>
          <w:rFonts w:hint="eastAsia" w:ascii="仿宋" w:hAnsi="仿宋" w:eastAsia="仿宋" w:cs="仿宋"/>
          <w:sz w:val="28"/>
          <w:szCs w:val="28"/>
        </w:rPr>
        <w:fldChar w:fldCharType="end"/>
      </w:r>
    </w:p>
    <w:p>
      <w:pPr>
        <w:pStyle w:val="10"/>
        <w:pageBreakBefore w:val="0"/>
        <w:widowControl w:val="0"/>
        <w:tabs>
          <w:tab w:val="right" w:leader="dot" w:pos="830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sz w:val="28"/>
          <w:szCs w:val="28"/>
        </w:rPr>
        <w:instrText xml:space="preserve"> HYPERLINK \l _Toc7521 </w:instrText>
      </w:r>
      <w:r>
        <w:rPr>
          <w:rFonts w:hint="eastAsia"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sz w:val="28"/>
          <w:szCs w:val="28"/>
        </w:rPr>
        <w:t>三、受理部门</w:t>
      </w:r>
      <w:r>
        <w:rPr>
          <w:rFonts w:hint="eastAsia" w:ascii="仿宋" w:hAnsi="仿宋" w:eastAsia="仿宋" w:cs="仿宋"/>
          <w:sz w:val="28"/>
          <w:szCs w:val="28"/>
        </w:rPr>
        <w:tab/>
      </w:r>
      <w:r>
        <w:rPr>
          <w:rFonts w:hint="eastAsia" w:ascii="仿宋" w:hAnsi="仿宋" w:eastAsia="仿宋" w:cs="仿宋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sz w:val="28"/>
          <w:szCs w:val="28"/>
        </w:rPr>
        <w:instrText xml:space="preserve"> PAGEREF _Toc7521 \h </w:instrText>
      </w:r>
      <w:r>
        <w:rPr>
          <w:rFonts w:hint="eastAsia"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sz w:val="28"/>
          <w:szCs w:val="28"/>
        </w:rPr>
        <w:t>2</w:t>
      </w:r>
      <w:r>
        <w:rPr>
          <w:rFonts w:hint="eastAsia" w:ascii="仿宋" w:hAnsi="仿宋" w:eastAsia="仿宋" w:cs="仿宋"/>
          <w:sz w:val="28"/>
          <w:szCs w:val="28"/>
        </w:rPr>
        <w:fldChar w:fldCharType="end"/>
      </w:r>
      <w:r>
        <w:rPr>
          <w:rFonts w:hint="eastAsia" w:ascii="仿宋" w:hAnsi="仿宋" w:eastAsia="仿宋" w:cs="仿宋"/>
          <w:sz w:val="28"/>
          <w:szCs w:val="28"/>
        </w:rPr>
        <w:fldChar w:fldCharType="end"/>
      </w:r>
    </w:p>
    <w:p>
      <w:pPr>
        <w:pStyle w:val="10"/>
        <w:pageBreakBefore w:val="0"/>
        <w:widowControl w:val="0"/>
        <w:tabs>
          <w:tab w:val="right" w:leader="dot" w:pos="830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sz w:val="28"/>
          <w:szCs w:val="28"/>
        </w:rPr>
        <w:instrText xml:space="preserve"> HYPERLINK \l _Toc28272 </w:instrText>
      </w:r>
      <w:r>
        <w:rPr>
          <w:rFonts w:hint="eastAsia"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sz w:val="28"/>
          <w:szCs w:val="28"/>
        </w:rPr>
        <w:t>四、办理部门</w:t>
      </w:r>
      <w:r>
        <w:rPr>
          <w:rFonts w:hint="eastAsia" w:ascii="仿宋" w:hAnsi="仿宋" w:eastAsia="仿宋" w:cs="仿宋"/>
          <w:sz w:val="28"/>
          <w:szCs w:val="28"/>
        </w:rPr>
        <w:tab/>
      </w:r>
      <w:r>
        <w:rPr>
          <w:rFonts w:hint="eastAsia" w:ascii="仿宋" w:hAnsi="仿宋" w:eastAsia="仿宋" w:cs="仿宋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sz w:val="28"/>
          <w:szCs w:val="28"/>
        </w:rPr>
        <w:instrText xml:space="preserve"> PAGEREF _Toc28272 \h </w:instrText>
      </w:r>
      <w:r>
        <w:rPr>
          <w:rFonts w:hint="eastAsia"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sz w:val="28"/>
          <w:szCs w:val="28"/>
        </w:rPr>
        <w:t>2</w:t>
      </w:r>
      <w:r>
        <w:rPr>
          <w:rFonts w:hint="eastAsia" w:ascii="仿宋" w:hAnsi="仿宋" w:eastAsia="仿宋" w:cs="仿宋"/>
          <w:sz w:val="28"/>
          <w:szCs w:val="28"/>
        </w:rPr>
        <w:fldChar w:fldCharType="end"/>
      </w:r>
      <w:r>
        <w:rPr>
          <w:rFonts w:hint="eastAsia" w:ascii="仿宋" w:hAnsi="仿宋" w:eastAsia="仿宋" w:cs="仿宋"/>
          <w:sz w:val="28"/>
          <w:szCs w:val="28"/>
        </w:rPr>
        <w:fldChar w:fldCharType="end"/>
      </w:r>
    </w:p>
    <w:p>
      <w:pPr>
        <w:pStyle w:val="10"/>
        <w:pageBreakBefore w:val="0"/>
        <w:widowControl w:val="0"/>
        <w:tabs>
          <w:tab w:val="right" w:leader="dot" w:pos="830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sz w:val="28"/>
          <w:szCs w:val="28"/>
        </w:rPr>
        <w:instrText xml:space="preserve"> HYPERLINK \l _Toc12333 </w:instrText>
      </w:r>
      <w:r>
        <w:rPr>
          <w:rFonts w:hint="eastAsia"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sz w:val="28"/>
          <w:szCs w:val="28"/>
        </w:rPr>
        <w:t>五、办理时限</w:t>
      </w:r>
      <w:r>
        <w:rPr>
          <w:rFonts w:hint="eastAsia" w:ascii="仿宋" w:hAnsi="仿宋" w:eastAsia="仿宋" w:cs="仿宋"/>
          <w:sz w:val="28"/>
          <w:szCs w:val="28"/>
        </w:rPr>
        <w:tab/>
      </w:r>
      <w:r>
        <w:rPr>
          <w:rFonts w:hint="eastAsia" w:ascii="仿宋" w:hAnsi="仿宋" w:eastAsia="仿宋" w:cs="仿宋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sz w:val="28"/>
          <w:szCs w:val="28"/>
        </w:rPr>
        <w:instrText xml:space="preserve"> PAGEREF _Toc12333 \h </w:instrText>
      </w:r>
      <w:r>
        <w:rPr>
          <w:rFonts w:hint="eastAsia"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sz w:val="28"/>
          <w:szCs w:val="28"/>
        </w:rPr>
        <w:t>2</w:t>
      </w:r>
      <w:r>
        <w:rPr>
          <w:rFonts w:hint="eastAsia" w:ascii="仿宋" w:hAnsi="仿宋" w:eastAsia="仿宋" w:cs="仿宋"/>
          <w:sz w:val="28"/>
          <w:szCs w:val="28"/>
        </w:rPr>
        <w:fldChar w:fldCharType="end"/>
      </w:r>
      <w:r>
        <w:rPr>
          <w:rFonts w:hint="eastAsia" w:ascii="仿宋" w:hAnsi="仿宋" w:eastAsia="仿宋" w:cs="仿宋"/>
          <w:sz w:val="28"/>
          <w:szCs w:val="28"/>
        </w:rPr>
        <w:fldChar w:fldCharType="end"/>
      </w:r>
    </w:p>
    <w:p>
      <w:pPr>
        <w:pStyle w:val="10"/>
        <w:pageBreakBefore w:val="0"/>
        <w:widowControl w:val="0"/>
        <w:tabs>
          <w:tab w:val="right" w:leader="dot" w:pos="830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sz w:val="28"/>
          <w:szCs w:val="28"/>
        </w:rPr>
        <w:instrText xml:space="preserve"> HYPERLINK \l _Toc13733 </w:instrText>
      </w:r>
      <w:r>
        <w:rPr>
          <w:rFonts w:hint="eastAsia"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sz w:val="28"/>
          <w:szCs w:val="28"/>
        </w:rPr>
        <w:t>六、申请材料清单</w:t>
      </w:r>
      <w:r>
        <w:rPr>
          <w:rFonts w:hint="eastAsia" w:ascii="仿宋" w:hAnsi="仿宋" w:eastAsia="仿宋" w:cs="仿宋"/>
          <w:sz w:val="28"/>
          <w:szCs w:val="28"/>
        </w:rPr>
        <w:tab/>
      </w:r>
      <w:r>
        <w:rPr>
          <w:rFonts w:hint="eastAsia" w:ascii="仿宋" w:hAnsi="仿宋" w:eastAsia="仿宋" w:cs="仿宋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sz w:val="28"/>
          <w:szCs w:val="28"/>
        </w:rPr>
        <w:instrText xml:space="preserve"> PAGEREF _Toc13733 \h </w:instrText>
      </w:r>
      <w:r>
        <w:rPr>
          <w:rFonts w:hint="eastAsia"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sz w:val="28"/>
          <w:szCs w:val="28"/>
        </w:rPr>
        <w:t>2</w:t>
      </w:r>
      <w:r>
        <w:rPr>
          <w:rFonts w:hint="eastAsia" w:ascii="仿宋" w:hAnsi="仿宋" w:eastAsia="仿宋" w:cs="仿宋"/>
          <w:sz w:val="28"/>
          <w:szCs w:val="28"/>
        </w:rPr>
        <w:fldChar w:fldCharType="end"/>
      </w:r>
      <w:r>
        <w:rPr>
          <w:rFonts w:hint="eastAsia" w:ascii="仿宋" w:hAnsi="仿宋" w:eastAsia="仿宋" w:cs="仿宋"/>
          <w:sz w:val="28"/>
          <w:szCs w:val="28"/>
        </w:rPr>
        <w:fldChar w:fldCharType="end"/>
      </w:r>
    </w:p>
    <w:p>
      <w:pPr>
        <w:pStyle w:val="10"/>
        <w:pageBreakBefore w:val="0"/>
        <w:widowControl w:val="0"/>
        <w:tabs>
          <w:tab w:val="right" w:leader="dot" w:pos="830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sz w:val="28"/>
          <w:szCs w:val="28"/>
        </w:rPr>
        <w:instrText xml:space="preserve"> HYPERLINK \l _Toc18663 </w:instrText>
      </w:r>
      <w:r>
        <w:rPr>
          <w:rFonts w:hint="eastAsia"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sz w:val="28"/>
          <w:szCs w:val="28"/>
        </w:rPr>
        <w:t>七、申请接收</w:t>
      </w:r>
      <w:r>
        <w:rPr>
          <w:rFonts w:hint="eastAsia" w:ascii="仿宋" w:hAnsi="仿宋" w:eastAsia="仿宋" w:cs="仿宋"/>
          <w:sz w:val="28"/>
          <w:szCs w:val="28"/>
        </w:rPr>
        <w:tab/>
      </w:r>
      <w:r>
        <w:rPr>
          <w:rFonts w:hint="eastAsia" w:ascii="仿宋" w:hAnsi="仿宋" w:eastAsia="仿宋" w:cs="仿宋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sz w:val="28"/>
          <w:szCs w:val="28"/>
        </w:rPr>
        <w:instrText xml:space="preserve"> PAGEREF _Toc18663 \h </w:instrText>
      </w:r>
      <w:r>
        <w:rPr>
          <w:rFonts w:hint="eastAsia"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sz w:val="28"/>
          <w:szCs w:val="28"/>
        </w:rPr>
        <w:t>3</w:t>
      </w:r>
      <w:r>
        <w:rPr>
          <w:rFonts w:hint="eastAsia" w:ascii="仿宋" w:hAnsi="仿宋" w:eastAsia="仿宋" w:cs="仿宋"/>
          <w:sz w:val="28"/>
          <w:szCs w:val="28"/>
        </w:rPr>
        <w:fldChar w:fldCharType="end"/>
      </w:r>
      <w:r>
        <w:rPr>
          <w:rFonts w:hint="eastAsia" w:ascii="仿宋" w:hAnsi="仿宋" w:eastAsia="仿宋" w:cs="仿宋"/>
          <w:sz w:val="28"/>
          <w:szCs w:val="28"/>
        </w:rPr>
        <w:fldChar w:fldCharType="end"/>
      </w:r>
    </w:p>
    <w:p>
      <w:pPr>
        <w:pStyle w:val="10"/>
        <w:pageBreakBefore w:val="0"/>
        <w:widowControl w:val="0"/>
        <w:tabs>
          <w:tab w:val="right" w:leader="dot" w:pos="830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sz w:val="28"/>
          <w:szCs w:val="28"/>
        </w:rPr>
        <w:instrText xml:space="preserve"> HYPERLINK \l _Toc22807 </w:instrText>
      </w:r>
      <w:r>
        <w:rPr>
          <w:rFonts w:hint="eastAsia"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sz w:val="28"/>
          <w:szCs w:val="28"/>
        </w:rPr>
        <w:t>八、办理流程</w:t>
      </w:r>
      <w:r>
        <w:rPr>
          <w:rFonts w:hint="eastAsia" w:ascii="仿宋" w:hAnsi="仿宋" w:eastAsia="仿宋" w:cs="仿宋"/>
          <w:sz w:val="28"/>
          <w:szCs w:val="28"/>
        </w:rPr>
        <w:tab/>
      </w:r>
      <w:r>
        <w:rPr>
          <w:rFonts w:hint="eastAsia" w:ascii="仿宋" w:hAnsi="仿宋" w:eastAsia="仿宋" w:cs="仿宋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sz w:val="28"/>
          <w:szCs w:val="28"/>
        </w:rPr>
        <w:instrText xml:space="preserve"> PAGEREF _Toc22807 \h </w:instrText>
      </w:r>
      <w:r>
        <w:rPr>
          <w:rFonts w:hint="eastAsia"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sz w:val="28"/>
          <w:szCs w:val="28"/>
        </w:rPr>
        <w:t>3</w:t>
      </w:r>
      <w:r>
        <w:rPr>
          <w:rFonts w:hint="eastAsia" w:ascii="仿宋" w:hAnsi="仿宋" w:eastAsia="仿宋" w:cs="仿宋"/>
          <w:sz w:val="28"/>
          <w:szCs w:val="28"/>
        </w:rPr>
        <w:fldChar w:fldCharType="end"/>
      </w:r>
      <w:r>
        <w:rPr>
          <w:rFonts w:hint="eastAsia" w:ascii="仿宋" w:hAnsi="仿宋" w:eastAsia="仿宋" w:cs="仿宋"/>
          <w:sz w:val="28"/>
          <w:szCs w:val="28"/>
        </w:rPr>
        <w:fldChar w:fldCharType="end"/>
      </w:r>
    </w:p>
    <w:p>
      <w:pPr>
        <w:pStyle w:val="10"/>
        <w:pageBreakBefore w:val="0"/>
        <w:widowControl w:val="0"/>
        <w:tabs>
          <w:tab w:val="right" w:leader="dot" w:pos="830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sz w:val="28"/>
          <w:szCs w:val="28"/>
        </w:rPr>
        <w:instrText xml:space="preserve"> HYPERLINK \l _Toc27602 </w:instrText>
      </w:r>
      <w:r>
        <w:rPr>
          <w:rFonts w:hint="eastAsia"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sz w:val="28"/>
          <w:szCs w:val="28"/>
        </w:rPr>
        <w:t>九、办理结果</w:t>
      </w:r>
      <w:r>
        <w:rPr>
          <w:rFonts w:hint="eastAsia" w:ascii="仿宋" w:hAnsi="仿宋" w:eastAsia="仿宋" w:cs="仿宋"/>
          <w:sz w:val="28"/>
          <w:szCs w:val="28"/>
        </w:rPr>
        <w:tab/>
      </w:r>
      <w:r>
        <w:rPr>
          <w:rFonts w:hint="eastAsia" w:ascii="仿宋" w:hAnsi="仿宋" w:eastAsia="仿宋" w:cs="仿宋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sz w:val="28"/>
          <w:szCs w:val="28"/>
        </w:rPr>
        <w:instrText xml:space="preserve"> PAGEREF _Toc27602 \h </w:instrText>
      </w:r>
      <w:r>
        <w:rPr>
          <w:rFonts w:hint="eastAsia"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sz w:val="28"/>
          <w:szCs w:val="28"/>
        </w:rPr>
        <w:t>4</w:t>
      </w:r>
      <w:r>
        <w:rPr>
          <w:rFonts w:hint="eastAsia" w:ascii="仿宋" w:hAnsi="仿宋" w:eastAsia="仿宋" w:cs="仿宋"/>
          <w:sz w:val="28"/>
          <w:szCs w:val="28"/>
        </w:rPr>
        <w:fldChar w:fldCharType="end"/>
      </w:r>
      <w:r>
        <w:rPr>
          <w:rFonts w:hint="eastAsia" w:ascii="仿宋" w:hAnsi="仿宋" w:eastAsia="仿宋" w:cs="仿宋"/>
          <w:sz w:val="28"/>
          <w:szCs w:val="28"/>
        </w:rPr>
        <w:fldChar w:fldCharType="end"/>
      </w:r>
    </w:p>
    <w:p>
      <w:pPr>
        <w:pStyle w:val="10"/>
        <w:pageBreakBefore w:val="0"/>
        <w:widowControl w:val="0"/>
        <w:tabs>
          <w:tab w:val="right" w:leader="dot" w:pos="830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sz w:val="28"/>
          <w:szCs w:val="28"/>
        </w:rPr>
        <w:instrText xml:space="preserve"> HYPERLINK \l _Toc17963 </w:instrText>
      </w:r>
      <w:r>
        <w:rPr>
          <w:rFonts w:hint="eastAsia"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sz w:val="28"/>
          <w:szCs w:val="28"/>
        </w:rPr>
        <w:t>十、咨询途径</w:t>
      </w:r>
      <w:r>
        <w:rPr>
          <w:rFonts w:hint="eastAsia" w:ascii="仿宋" w:hAnsi="仿宋" w:eastAsia="仿宋" w:cs="仿宋"/>
          <w:sz w:val="28"/>
          <w:szCs w:val="28"/>
        </w:rPr>
        <w:tab/>
      </w:r>
      <w:r>
        <w:rPr>
          <w:rFonts w:hint="eastAsia" w:ascii="仿宋" w:hAnsi="仿宋" w:eastAsia="仿宋" w:cs="仿宋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sz w:val="28"/>
          <w:szCs w:val="28"/>
        </w:rPr>
        <w:instrText xml:space="preserve"> PAGEREF _Toc17963 \h </w:instrText>
      </w:r>
      <w:r>
        <w:rPr>
          <w:rFonts w:hint="eastAsia"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sz w:val="28"/>
          <w:szCs w:val="28"/>
        </w:rPr>
        <w:t>4</w:t>
      </w:r>
      <w:r>
        <w:rPr>
          <w:rFonts w:hint="eastAsia" w:ascii="仿宋" w:hAnsi="仿宋" w:eastAsia="仿宋" w:cs="仿宋"/>
          <w:sz w:val="28"/>
          <w:szCs w:val="28"/>
        </w:rPr>
        <w:fldChar w:fldCharType="end"/>
      </w:r>
      <w:r>
        <w:rPr>
          <w:rFonts w:hint="eastAsia" w:ascii="仿宋" w:hAnsi="仿宋" w:eastAsia="仿宋" w:cs="仿宋"/>
          <w:sz w:val="28"/>
          <w:szCs w:val="28"/>
        </w:rPr>
        <w:fldChar w:fldCharType="end"/>
      </w:r>
    </w:p>
    <w:p>
      <w:pPr>
        <w:pStyle w:val="10"/>
        <w:pageBreakBefore w:val="0"/>
        <w:widowControl w:val="0"/>
        <w:tabs>
          <w:tab w:val="right" w:leader="dot" w:pos="830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sz w:val="28"/>
          <w:szCs w:val="28"/>
        </w:rPr>
        <w:instrText xml:space="preserve"> HYPERLINK \l _Toc10800 </w:instrText>
      </w:r>
      <w:r>
        <w:rPr>
          <w:rFonts w:hint="eastAsia"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sz w:val="28"/>
          <w:szCs w:val="28"/>
        </w:rPr>
        <w:t>十一、办理地点和时间</w:t>
      </w:r>
      <w:r>
        <w:rPr>
          <w:rFonts w:hint="eastAsia" w:ascii="仿宋" w:hAnsi="仿宋" w:eastAsia="仿宋" w:cs="仿宋"/>
          <w:sz w:val="28"/>
          <w:szCs w:val="28"/>
        </w:rPr>
        <w:tab/>
      </w:r>
      <w:r>
        <w:rPr>
          <w:rFonts w:hint="eastAsia" w:ascii="仿宋" w:hAnsi="仿宋" w:eastAsia="仿宋" w:cs="仿宋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sz w:val="28"/>
          <w:szCs w:val="28"/>
        </w:rPr>
        <w:instrText xml:space="preserve"> PAGEREF _Toc10800 \h </w:instrText>
      </w:r>
      <w:r>
        <w:rPr>
          <w:rFonts w:hint="eastAsia"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sz w:val="28"/>
          <w:szCs w:val="28"/>
        </w:rPr>
        <w:t>4</w:t>
      </w:r>
      <w:r>
        <w:rPr>
          <w:rFonts w:hint="eastAsia" w:ascii="仿宋" w:hAnsi="仿宋" w:eastAsia="仿宋" w:cs="仿宋"/>
          <w:sz w:val="28"/>
          <w:szCs w:val="28"/>
        </w:rPr>
        <w:fldChar w:fldCharType="end"/>
      </w:r>
      <w:r>
        <w:rPr>
          <w:rFonts w:hint="eastAsia" w:ascii="仿宋" w:hAnsi="仿宋" w:eastAsia="仿宋" w:cs="仿宋"/>
          <w:sz w:val="28"/>
          <w:szCs w:val="28"/>
        </w:rPr>
        <w:fldChar w:fldCharType="end"/>
      </w:r>
    </w:p>
    <w:p>
      <w:pPr>
        <w:pStyle w:val="6"/>
        <w:keepNext w:val="0"/>
        <w:keepLines w:val="0"/>
        <w:pageBreakBefore w:val="0"/>
        <w:widowControl w:val="0"/>
        <w:tabs>
          <w:tab w:val="right" w:leader="dot" w:pos="830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sz w:val="28"/>
          <w:szCs w:val="28"/>
        </w:rPr>
        <w:instrText xml:space="preserve"> HYPERLINK \l _Toc25827 </w:instrText>
      </w:r>
      <w:r>
        <w:rPr>
          <w:rFonts w:hint="eastAsia"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bCs/>
          <w:sz w:val="28"/>
          <w:szCs w:val="28"/>
        </w:rPr>
        <w:t>（一）办理地点</w:t>
      </w:r>
      <w:r>
        <w:rPr>
          <w:rFonts w:hint="eastAsia" w:ascii="仿宋" w:hAnsi="仿宋" w:eastAsia="仿宋" w:cs="仿宋"/>
          <w:sz w:val="28"/>
          <w:szCs w:val="28"/>
        </w:rPr>
        <w:tab/>
      </w:r>
      <w:r>
        <w:rPr>
          <w:rFonts w:hint="eastAsia" w:ascii="仿宋" w:hAnsi="仿宋" w:eastAsia="仿宋" w:cs="仿宋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sz w:val="28"/>
          <w:szCs w:val="28"/>
        </w:rPr>
        <w:instrText xml:space="preserve"> PAGEREF _Toc25827 \h </w:instrText>
      </w:r>
      <w:r>
        <w:rPr>
          <w:rFonts w:hint="eastAsia"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sz w:val="28"/>
          <w:szCs w:val="28"/>
        </w:rPr>
        <w:t>4</w:t>
      </w:r>
      <w:r>
        <w:rPr>
          <w:rFonts w:hint="eastAsia" w:ascii="仿宋" w:hAnsi="仿宋" w:eastAsia="仿宋" w:cs="仿宋"/>
          <w:sz w:val="28"/>
          <w:szCs w:val="28"/>
        </w:rPr>
        <w:fldChar w:fldCharType="end"/>
      </w:r>
      <w:r>
        <w:rPr>
          <w:rFonts w:hint="eastAsia" w:ascii="仿宋" w:hAnsi="仿宋" w:eastAsia="仿宋" w:cs="仿宋"/>
          <w:sz w:val="28"/>
          <w:szCs w:val="28"/>
        </w:rPr>
        <w:fldChar w:fldCharType="end"/>
      </w:r>
    </w:p>
    <w:p>
      <w:pPr>
        <w:pStyle w:val="6"/>
        <w:keepNext w:val="0"/>
        <w:keepLines w:val="0"/>
        <w:pageBreakBefore w:val="0"/>
        <w:widowControl w:val="0"/>
        <w:tabs>
          <w:tab w:val="right" w:leader="dot" w:pos="830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sz w:val="28"/>
          <w:szCs w:val="28"/>
        </w:rPr>
        <w:instrText xml:space="preserve"> HYPERLINK \l _Toc181 </w:instrText>
      </w:r>
      <w:r>
        <w:rPr>
          <w:rFonts w:hint="eastAsia"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bCs/>
          <w:sz w:val="28"/>
          <w:szCs w:val="28"/>
        </w:rPr>
        <w:t>（二）办理时间</w:t>
      </w:r>
      <w:r>
        <w:rPr>
          <w:rFonts w:hint="eastAsia" w:ascii="仿宋" w:hAnsi="仿宋" w:eastAsia="仿宋" w:cs="仿宋"/>
          <w:sz w:val="28"/>
          <w:szCs w:val="28"/>
        </w:rPr>
        <w:tab/>
      </w:r>
      <w:r>
        <w:rPr>
          <w:rFonts w:hint="eastAsia" w:ascii="仿宋" w:hAnsi="仿宋" w:eastAsia="仿宋" w:cs="仿宋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sz w:val="28"/>
          <w:szCs w:val="28"/>
        </w:rPr>
        <w:instrText xml:space="preserve"> PAGEREF _Toc181 \h </w:instrText>
      </w:r>
      <w:r>
        <w:rPr>
          <w:rFonts w:hint="eastAsia"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sz w:val="28"/>
          <w:szCs w:val="28"/>
        </w:rPr>
        <w:t>4</w:t>
      </w:r>
      <w:r>
        <w:rPr>
          <w:rFonts w:hint="eastAsia" w:ascii="仿宋" w:hAnsi="仿宋" w:eastAsia="仿宋" w:cs="仿宋"/>
          <w:sz w:val="28"/>
          <w:szCs w:val="28"/>
        </w:rPr>
        <w:fldChar w:fldCharType="end"/>
      </w:r>
      <w:r>
        <w:rPr>
          <w:rFonts w:hint="eastAsia" w:ascii="仿宋" w:hAnsi="仿宋" w:eastAsia="仿宋" w:cs="仿宋"/>
          <w:sz w:val="28"/>
          <w:szCs w:val="28"/>
        </w:rPr>
        <w:fldChar w:fldCharType="end"/>
      </w: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/>
        <w:textAlignment w:val="auto"/>
        <w:rPr>
          <w:rFonts w:hint="eastAsia" w:ascii="仿宋" w:hAnsi="仿宋" w:eastAsia="仿宋" w:cs="仿宋"/>
          <w:sz w:val="28"/>
          <w:szCs w:val="28"/>
        </w:rPr>
        <w:sectPr>
          <w:footerReference r:id="rId3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ascii="仿宋" w:hAnsi="仿宋" w:eastAsia="仿宋" w:cs="仿宋"/>
          <w:sz w:val="28"/>
          <w:szCs w:val="28"/>
        </w:rPr>
        <w:fldChar w:fldCharType="end"/>
      </w: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</w:pPr>
      <w:bookmarkStart w:id="0" w:name="_Toc9600"/>
      <w:r>
        <w:rPr>
          <w:rFonts w:hint="eastAsia"/>
        </w:rPr>
        <w:t>一、事项名称</w:t>
      </w:r>
      <w:bookmarkEnd w:id="0"/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基金通平台销售机构业务办理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</w:pPr>
      <w:bookmarkStart w:id="1" w:name="_Toc9054"/>
      <w:r>
        <w:rPr>
          <w:rFonts w:hint="eastAsia"/>
        </w:rPr>
        <w:t>二、规则依据</w:t>
      </w:r>
      <w:bookmarkEnd w:id="1"/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《深圳证券交易所证券投资基金业务指引第3号——基金通平台份额转让》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《深圳证券交易所证券投资基金业务指南第3号——基金通转让业务办理》（以下简称《基金通业务指南》）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</w:pPr>
      <w:bookmarkStart w:id="2" w:name="_Toc7521"/>
      <w:r>
        <w:rPr>
          <w:rFonts w:hint="eastAsia"/>
        </w:rPr>
        <w:t>三、受理部门</w:t>
      </w:r>
      <w:bookmarkEnd w:id="2"/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深圳证券交易所基金管理部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</w:pPr>
      <w:bookmarkStart w:id="3" w:name="_Toc28272"/>
      <w:r>
        <w:rPr>
          <w:rFonts w:hint="eastAsia"/>
        </w:rPr>
        <w:t>四、办理部门</w:t>
      </w:r>
      <w:bookmarkEnd w:id="3"/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深圳证券交易所基金管理部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黑体" w:hAnsi="黑体" w:eastAsia="黑体"/>
          <w:sz w:val="32"/>
          <w:szCs w:val="32"/>
        </w:rPr>
      </w:pP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</w:pPr>
      <w:bookmarkStart w:id="4" w:name="_Toc12333"/>
      <w:r>
        <w:rPr>
          <w:rFonts w:hint="eastAsia"/>
        </w:rPr>
        <w:t>五、办理时限</w:t>
      </w:r>
      <w:bookmarkEnd w:id="4"/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原则上收到完备申请材料之日起</w:t>
      </w:r>
      <w:r>
        <w:rPr>
          <w:rFonts w:hint="eastAsia" w:ascii="仿宋" w:hAnsi="仿宋" w:eastAsia="仿宋"/>
          <w:sz w:val="32"/>
          <w:szCs w:val="32"/>
          <w:lang w:eastAsia="zh-CN"/>
        </w:rPr>
        <w:t>五</w:t>
      </w:r>
      <w:r>
        <w:rPr>
          <w:rFonts w:hint="eastAsia" w:ascii="仿宋" w:hAnsi="仿宋" w:eastAsia="仿宋"/>
          <w:sz w:val="32"/>
          <w:szCs w:val="32"/>
        </w:rPr>
        <w:t>个交易日内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仿宋" w:hAnsi="仿宋" w:eastAsia="仿宋"/>
          <w:b/>
          <w:sz w:val="32"/>
          <w:szCs w:val="32"/>
        </w:rPr>
      </w:pP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</w:pPr>
      <w:bookmarkStart w:id="5" w:name="_Toc13733"/>
      <w:r>
        <w:rPr>
          <w:rFonts w:hint="eastAsia"/>
        </w:rPr>
        <w:t>六、申请材料清单</w:t>
      </w:r>
      <w:bookmarkEnd w:id="5"/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（一）销售机构开通基金通平台业务权限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</w:rPr>
        <w:t>1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. </w:t>
      </w:r>
      <w:r>
        <w:rPr>
          <w:rFonts w:hint="eastAsia" w:ascii="仿宋" w:hAnsi="仿宋" w:eastAsia="仿宋"/>
          <w:sz w:val="32"/>
          <w:szCs w:val="32"/>
        </w:rPr>
        <w:t>申请书（盖章扫描件）</w:t>
      </w:r>
      <w:r>
        <w:rPr>
          <w:rFonts w:hint="eastAsia" w:ascii="仿宋" w:hAnsi="仿宋" w:eastAsia="仿宋"/>
          <w:sz w:val="32"/>
          <w:szCs w:val="32"/>
          <w:lang w:eastAsia="zh-CN"/>
        </w:rPr>
        <w:t>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（二）基金管理人开通销售机构基金通平台产品权限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. </w:t>
      </w:r>
      <w:r>
        <w:rPr>
          <w:rFonts w:hint="eastAsia" w:ascii="仿宋" w:hAnsi="仿宋" w:eastAsia="仿宋"/>
          <w:sz w:val="32"/>
          <w:szCs w:val="32"/>
        </w:rPr>
        <w:t>申请书（盖章扫描件）；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. </w:t>
      </w:r>
      <w:r>
        <w:rPr>
          <w:rFonts w:hint="eastAsia" w:ascii="仿宋" w:hAnsi="仿宋" w:eastAsia="仿宋"/>
          <w:sz w:val="32"/>
          <w:szCs w:val="32"/>
        </w:rPr>
        <w:t>基金销售机构认可函（销售机构盖章扫描件）；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3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.</w:t>
      </w:r>
      <w:r>
        <w:rPr>
          <w:rFonts w:hint="eastAsia" w:ascii="仿宋" w:hAnsi="仿宋" w:eastAsia="仿宋"/>
          <w:sz w:val="32"/>
          <w:szCs w:val="32"/>
        </w:rPr>
        <w:t>关于开通XX基金深圳证券交易所基金通平台销售机构业务权限的公告。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</w:pPr>
      <w:bookmarkStart w:id="6" w:name="_Toc18663"/>
      <w:r>
        <w:rPr>
          <w:rFonts w:hint="eastAsia"/>
        </w:rPr>
        <w:t>七、申请接收</w:t>
      </w:r>
      <w:bookmarkEnd w:id="6"/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本所基金业务专区受理申请，接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收</w:t>
      </w:r>
      <w:r>
        <w:rPr>
          <w:rFonts w:hint="eastAsia" w:ascii="仿宋" w:hAnsi="仿宋" w:eastAsia="仿宋"/>
          <w:sz w:val="32"/>
          <w:szCs w:val="32"/>
        </w:rPr>
        <w:t>电子版材料。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</w:pPr>
      <w:bookmarkStart w:id="7" w:name="_Toc22807"/>
      <w:r>
        <w:rPr>
          <w:rFonts w:hint="eastAsia"/>
        </w:rPr>
        <w:t>八、办理流程</w:t>
      </w:r>
      <w:bookmarkEnd w:id="7"/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（一）销售机构开通基金通平台业务权限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. </w:t>
      </w:r>
      <w:r>
        <w:rPr>
          <w:rFonts w:hint="eastAsia" w:ascii="仿宋" w:hAnsi="仿宋" w:eastAsia="仿宋"/>
          <w:sz w:val="32"/>
          <w:szCs w:val="32"/>
        </w:rPr>
        <w:t>销售机构申请开通基金通平台业务权限前，应在中国结算办理完成接入申请，完成与深证通的协议签署等工作。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. </w:t>
      </w:r>
      <w:r>
        <w:rPr>
          <w:rFonts w:hint="eastAsia" w:ascii="仿宋" w:hAnsi="仿宋" w:eastAsia="仿宋"/>
          <w:sz w:val="32"/>
          <w:szCs w:val="32"/>
        </w:rPr>
        <w:t>销售机构通过基金业务专区向本所提交申请材料。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3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. </w:t>
      </w:r>
      <w:r>
        <w:rPr>
          <w:rFonts w:hint="eastAsia" w:ascii="仿宋" w:hAnsi="仿宋" w:eastAsia="仿宋"/>
          <w:sz w:val="32"/>
          <w:szCs w:val="32"/>
        </w:rPr>
        <w:t>本所在收到申请后，按照《基金通业务指南》的规定办理业务，并将办理结果反馈销售机构。</w:t>
      </w:r>
      <w:r>
        <w:rPr>
          <w:rFonts w:ascii="仿宋" w:hAnsi="仿宋" w:eastAsia="仿宋"/>
          <w:sz w:val="32"/>
          <w:szCs w:val="32"/>
        </w:rPr>
        <w:t xml:space="preserve"> 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销售机构未按要求提交文件的，应当补充材料。销售机构补充材料期间不计入本所办理期限内。</w:t>
      </w:r>
      <w:r>
        <w:rPr>
          <w:rFonts w:ascii="仿宋" w:hAnsi="仿宋" w:eastAsia="仿宋"/>
          <w:sz w:val="32"/>
          <w:szCs w:val="32"/>
        </w:rPr>
        <w:t xml:space="preserve"> 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4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. </w:t>
      </w:r>
      <w:r>
        <w:rPr>
          <w:rFonts w:hint="eastAsia" w:ascii="仿宋" w:hAnsi="仿宋" w:eastAsia="仿宋"/>
          <w:sz w:val="32"/>
          <w:szCs w:val="32"/>
        </w:rPr>
        <w:t>本所办理完成后，销售机构在基金业务专区补充网关业务材料及信息，上传与通信公司签署的《深圳证券市场通信服务协议（交易用户版）》，并在页面选择填写相关信息。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5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. </w:t>
      </w:r>
      <w:r>
        <w:rPr>
          <w:rFonts w:hint="eastAsia" w:ascii="仿宋" w:hAnsi="仿宋" w:eastAsia="仿宋"/>
          <w:sz w:val="32"/>
          <w:szCs w:val="32"/>
        </w:rPr>
        <w:t>通信公司网关及数字证书申请审核，制作并邮寄网关数字证书。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（二）基金管理人开通销售机构基金通平台产品权限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. </w:t>
      </w:r>
      <w:r>
        <w:rPr>
          <w:rFonts w:hint="eastAsia" w:ascii="仿宋" w:hAnsi="仿宋" w:eastAsia="仿宋"/>
          <w:sz w:val="32"/>
          <w:szCs w:val="32"/>
        </w:rPr>
        <w:t>基金管理人申请开通销售机构基金通平台产品权限前，应确认该销售机构已具有基金通平台业务权限，已在中国结算与相关基金产品建立代销关系，已取得深证通网关数字证书</w:t>
      </w:r>
      <w:r>
        <w:rPr>
          <w:rFonts w:hint="eastAsia" w:ascii="仿宋" w:hAnsi="仿宋" w:eastAsia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/>
          <w:sz w:val="32"/>
          <w:szCs w:val="32"/>
        </w:rPr>
        <w:t>且已与开通该产品权限的做市商签署了相关协议。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. </w:t>
      </w:r>
      <w:r>
        <w:rPr>
          <w:rFonts w:hint="eastAsia" w:ascii="仿宋" w:hAnsi="仿宋" w:eastAsia="仿宋"/>
          <w:sz w:val="32"/>
          <w:szCs w:val="32"/>
        </w:rPr>
        <w:t>基金管理人通过基金业务专区向本所提交申请材料。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3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. </w:t>
      </w:r>
      <w:r>
        <w:rPr>
          <w:rFonts w:hint="eastAsia" w:ascii="仿宋" w:hAnsi="仿宋" w:eastAsia="仿宋"/>
          <w:sz w:val="32"/>
          <w:szCs w:val="32"/>
        </w:rPr>
        <w:t>本所在收到申请后，按照《基金通业务指南》的规定办理业务，并将办理结果反馈基金管理人。</w:t>
      </w:r>
      <w:r>
        <w:rPr>
          <w:rFonts w:ascii="仿宋" w:hAnsi="仿宋" w:eastAsia="仿宋"/>
          <w:sz w:val="32"/>
          <w:szCs w:val="32"/>
        </w:rPr>
        <w:t xml:space="preserve"> 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基金管理人未按要求提交文件的，应当补充材料。基金管理人补充材料期间不计入本所办理期限内。</w:t>
      </w:r>
      <w:r>
        <w:rPr>
          <w:rFonts w:ascii="仿宋" w:hAnsi="仿宋" w:eastAsia="仿宋"/>
          <w:sz w:val="32"/>
          <w:szCs w:val="32"/>
        </w:rPr>
        <w:t xml:space="preserve"> 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4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. </w:t>
      </w:r>
      <w:r>
        <w:rPr>
          <w:rFonts w:hint="eastAsia" w:ascii="仿宋" w:hAnsi="仿宋" w:eastAsia="仿宋"/>
          <w:sz w:val="32"/>
          <w:szCs w:val="32"/>
        </w:rPr>
        <w:t>本所办理完成后，</w:t>
      </w:r>
      <w:r>
        <w:rPr>
          <w:rFonts w:ascii="仿宋" w:hAnsi="仿宋" w:eastAsia="仿宋"/>
          <w:sz w:val="32"/>
          <w:szCs w:val="32"/>
        </w:rPr>
        <w:t>基金管理人</w:t>
      </w:r>
      <w:r>
        <w:rPr>
          <w:rFonts w:hint="eastAsia" w:ascii="仿宋" w:hAnsi="仿宋" w:eastAsia="仿宋"/>
          <w:sz w:val="32"/>
          <w:szCs w:val="32"/>
        </w:rPr>
        <w:t>通过基金业务专区提交《关于开通XX基金深圳证券交易所基金通平台销售机构业务权限的公告》。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</w:pPr>
      <w:bookmarkStart w:id="8" w:name="_Toc27602"/>
      <w:r>
        <w:rPr>
          <w:rFonts w:hint="eastAsia"/>
        </w:rPr>
        <w:t>九、办理结果</w:t>
      </w:r>
      <w:bookmarkEnd w:id="8"/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基金管理人可通过本所基金业务专区查看办理结果。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</w:pPr>
      <w:bookmarkStart w:id="9" w:name="_Toc54681468"/>
      <w:bookmarkStart w:id="10" w:name="_Toc54690943"/>
      <w:bookmarkStart w:id="11" w:name="_Toc17963"/>
      <w:r>
        <w:rPr>
          <w:rFonts w:hint="eastAsia"/>
        </w:rPr>
        <w:t>十、咨询途径</w:t>
      </w:r>
      <w:bookmarkEnd w:id="9"/>
      <w:bookmarkEnd w:id="10"/>
      <w:bookmarkEnd w:id="11"/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詹女士 </w:t>
      </w:r>
      <w:r>
        <w:rPr>
          <w:rFonts w:ascii="仿宋" w:hAnsi="仿宋" w:eastAsia="仿宋"/>
          <w:sz w:val="32"/>
          <w:szCs w:val="32"/>
        </w:rPr>
        <w:t>电话：0755-8866</w:t>
      </w:r>
      <w:r>
        <w:rPr>
          <w:rFonts w:hint="eastAsia" w:ascii="仿宋" w:hAnsi="仿宋" w:eastAsia="仿宋"/>
          <w:sz w:val="32"/>
          <w:szCs w:val="32"/>
        </w:rPr>
        <w:t xml:space="preserve"> 8130</w:t>
      </w:r>
      <w:r>
        <w:rPr>
          <w:rFonts w:ascii="仿宋" w:hAnsi="仿宋" w:eastAsia="仿宋"/>
          <w:sz w:val="32"/>
          <w:szCs w:val="32"/>
        </w:rPr>
        <w:t xml:space="preserve"> 邮箱：</w:t>
      </w:r>
      <w:r>
        <w:fldChar w:fldCharType="begin"/>
      </w:r>
      <w:r>
        <w:instrText xml:space="preserve"> HYPERLINK "mailto:jzhan.oth@szse.cn" </w:instrText>
      </w:r>
      <w:r>
        <w:fldChar w:fldCharType="separate"/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zhanjie</w:t>
      </w:r>
      <w:r>
        <w:rPr>
          <w:rFonts w:ascii="仿宋" w:hAnsi="仿宋" w:eastAsia="仿宋"/>
          <w:sz w:val="32"/>
          <w:szCs w:val="32"/>
        </w:rPr>
        <w:t>@szse.cn</w:t>
      </w:r>
      <w:r>
        <w:rPr>
          <w:rFonts w:ascii="仿宋" w:hAnsi="仿宋" w:eastAsia="仿宋"/>
          <w:sz w:val="32"/>
          <w:szCs w:val="32"/>
        </w:rPr>
        <w:fldChar w:fldCharType="end"/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  <w:lang w:eastAsia="zh-CN"/>
        </w:rPr>
        <w:t>徐</w:t>
      </w:r>
      <w:r>
        <w:rPr>
          <w:rFonts w:hint="eastAsia" w:ascii="仿宋" w:hAnsi="仿宋" w:eastAsia="仿宋"/>
          <w:sz w:val="32"/>
          <w:szCs w:val="32"/>
        </w:rPr>
        <w:t xml:space="preserve">先生 </w:t>
      </w:r>
      <w:r>
        <w:rPr>
          <w:rFonts w:ascii="仿宋" w:hAnsi="仿宋" w:eastAsia="仿宋"/>
          <w:sz w:val="32"/>
          <w:szCs w:val="32"/>
        </w:rPr>
        <w:t>电话：0755-8866</w:t>
      </w:r>
      <w:r>
        <w:rPr>
          <w:rFonts w:hint="eastAsia" w:ascii="仿宋" w:hAnsi="仿宋" w:eastAsia="仿宋"/>
          <w:sz w:val="32"/>
          <w:szCs w:val="32"/>
        </w:rPr>
        <w:t xml:space="preserve"> 8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337</w:t>
      </w:r>
      <w:r>
        <w:rPr>
          <w:rFonts w:hint="eastAsia" w:ascii="仿宋" w:hAnsi="仿宋" w:eastAsia="仿宋"/>
          <w:sz w:val="32"/>
          <w:szCs w:val="32"/>
        </w:rPr>
        <w:t xml:space="preserve"> </w:t>
      </w:r>
      <w:r>
        <w:rPr>
          <w:rFonts w:ascii="仿宋" w:hAnsi="仿宋" w:eastAsia="仿宋"/>
          <w:sz w:val="32"/>
          <w:szCs w:val="32"/>
        </w:rPr>
        <w:t>邮箱：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yxu</w:t>
      </w:r>
      <w:r>
        <w:rPr>
          <w:rFonts w:ascii="仿宋" w:hAnsi="仿宋" w:eastAsia="仿宋"/>
          <w:sz w:val="32"/>
          <w:szCs w:val="32"/>
        </w:rPr>
        <w:t>@szse.cn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</w:pPr>
      <w:bookmarkStart w:id="12" w:name="_Toc10800"/>
      <w:bookmarkStart w:id="13" w:name="_Toc54681471"/>
      <w:bookmarkStart w:id="14" w:name="_Toc54690946"/>
      <w:r>
        <w:rPr>
          <w:rFonts w:hint="eastAsia"/>
        </w:rPr>
        <w:t>十一、办理地点和时间</w:t>
      </w:r>
      <w:bookmarkEnd w:id="12"/>
      <w:bookmarkEnd w:id="13"/>
      <w:bookmarkEnd w:id="14"/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2"/>
        <w:rPr>
          <w:rFonts w:eastAsia="仿宋"/>
          <w:b/>
          <w:bCs/>
          <w:sz w:val="32"/>
          <w:szCs w:val="32"/>
        </w:rPr>
      </w:pPr>
      <w:bookmarkStart w:id="15" w:name="_Toc54681472"/>
      <w:bookmarkStart w:id="16" w:name="_Toc54708199"/>
      <w:bookmarkStart w:id="17" w:name="_Toc55896176"/>
      <w:bookmarkStart w:id="18" w:name="_Toc54690947"/>
      <w:bookmarkStart w:id="19" w:name="_Toc25827"/>
      <w:r>
        <w:rPr>
          <w:rFonts w:hint="eastAsia" w:eastAsia="仿宋"/>
          <w:b/>
          <w:bCs/>
          <w:sz w:val="32"/>
          <w:szCs w:val="32"/>
        </w:rPr>
        <w:t>（一）办理地</w:t>
      </w:r>
      <w:bookmarkEnd w:id="15"/>
      <w:bookmarkEnd w:id="16"/>
      <w:bookmarkEnd w:id="17"/>
      <w:bookmarkEnd w:id="18"/>
      <w:r>
        <w:rPr>
          <w:rFonts w:hint="eastAsia" w:eastAsia="仿宋"/>
          <w:b/>
          <w:bCs/>
          <w:sz w:val="32"/>
          <w:szCs w:val="32"/>
        </w:rPr>
        <w:t>点</w:t>
      </w:r>
      <w:bookmarkEnd w:id="19"/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bookmarkStart w:id="20" w:name="_Toc54690948"/>
      <w:bookmarkStart w:id="21" w:name="_Toc54681473"/>
      <w:bookmarkStart w:id="22" w:name="_Toc55896177"/>
      <w:bookmarkStart w:id="23" w:name="_Toc54708200"/>
      <w:r>
        <w:rPr>
          <w:rFonts w:hint="eastAsia" w:ascii="仿宋" w:hAnsi="仿宋" w:eastAsia="仿宋"/>
          <w:sz w:val="32"/>
          <w:szCs w:val="32"/>
        </w:rPr>
        <w:t>1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. </w:t>
      </w:r>
      <w:r>
        <w:rPr>
          <w:rFonts w:hint="eastAsia" w:ascii="仿宋" w:hAnsi="仿宋" w:eastAsia="仿宋"/>
          <w:sz w:val="32"/>
          <w:szCs w:val="32"/>
        </w:rPr>
        <w:t>业务申请通过</w:t>
      </w:r>
      <w:r>
        <w:rPr>
          <w:rFonts w:hint="eastAsia" w:ascii="仿宋" w:hAnsi="仿宋" w:eastAsia="仿宋"/>
          <w:sz w:val="32"/>
          <w:szCs w:val="32"/>
          <w:lang w:eastAsia="zh-CN"/>
        </w:rPr>
        <w:t>本所</w:t>
      </w:r>
      <w:r>
        <w:rPr>
          <w:rFonts w:hint="eastAsia" w:ascii="仿宋" w:hAnsi="仿宋" w:eastAsia="仿宋"/>
          <w:sz w:val="32"/>
          <w:szCs w:val="32"/>
        </w:rPr>
        <w:t>基金业务专区网上提交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. </w:t>
      </w:r>
      <w:r>
        <w:rPr>
          <w:rFonts w:hint="eastAsia" w:ascii="仿宋" w:hAnsi="仿宋" w:eastAsia="仿宋"/>
          <w:sz w:val="32"/>
          <w:szCs w:val="32"/>
        </w:rPr>
        <w:t>办公地址：深圳市福田区深南大道2012号深圳证券交易所19楼1906室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2"/>
        <w:rPr>
          <w:rFonts w:eastAsia="仿宋"/>
          <w:b/>
          <w:bCs/>
          <w:sz w:val="32"/>
          <w:szCs w:val="32"/>
        </w:rPr>
      </w:pPr>
      <w:bookmarkStart w:id="24" w:name="_Toc181"/>
      <w:r>
        <w:rPr>
          <w:rFonts w:hint="eastAsia" w:eastAsia="仿宋"/>
          <w:b/>
          <w:bCs/>
          <w:sz w:val="32"/>
          <w:szCs w:val="32"/>
        </w:rPr>
        <w:t>（二）办理时间</w:t>
      </w:r>
      <w:bookmarkEnd w:id="20"/>
      <w:bookmarkEnd w:id="21"/>
      <w:bookmarkEnd w:id="22"/>
      <w:bookmarkEnd w:id="23"/>
      <w:bookmarkEnd w:id="24"/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. 本所</w:t>
      </w:r>
      <w:r>
        <w:rPr>
          <w:rFonts w:hint="eastAsia" w:ascii="仿宋" w:hAnsi="仿宋" w:eastAsia="仿宋"/>
          <w:sz w:val="32"/>
          <w:szCs w:val="32"/>
        </w:rPr>
        <w:t>基金业务专区系统运营时间为7×24小时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. </w:t>
      </w:r>
      <w:r>
        <w:rPr>
          <w:rFonts w:hint="eastAsia" w:ascii="仿宋" w:hAnsi="仿宋" w:eastAsia="仿宋"/>
          <w:sz w:val="32"/>
          <w:szCs w:val="32"/>
        </w:rPr>
        <w:t>办公时间：周一至周五 8:30-11:30；13:30-17:00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828131032"/>
      <w:docPartObj>
        <w:docPartGallery w:val="autotext"/>
      </w:docPartObj>
    </w:sdtPr>
    <w:sdtContent>
      <w:p>
        <w:pPr>
          <w:pStyle w:val="8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4</w:t>
        </w:r>
        <w:r>
          <w:fldChar w:fldCharType="end"/>
        </w:r>
      </w:p>
    </w:sdtContent>
  </w:sdt>
  <w:p>
    <w:pPr>
      <w:pStyle w:val="8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5CA5"/>
    <w:rsid w:val="00061035"/>
    <w:rsid w:val="00075DF2"/>
    <w:rsid w:val="000A2987"/>
    <w:rsid w:val="000A7ABB"/>
    <w:rsid w:val="0010007A"/>
    <w:rsid w:val="00117447"/>
    <w:rsid w:val="0017193A"/>
    <w:rsid w:val="001D5F89"/>
    <w:rsid w:val="001E6875"/>
    <w:rsid w:val="001F62CE"/>
    <w:rsid w:val="0020392E"/>
    <w:rsid w:val="00207932"/>
    <w:rsid w:val="0022767C"/>
    <w:rsid w:val="00253625"/>
    <w:rsid w:val="002A2AFD"/>
    <w:rsid w:val="002A5B69"/>
    <w:rsid w:val="002B0012"/>
    <w:rsid w:val="002B05ED"/>
    <w:rsid w:val="00311B28"/>
    <w:rsid w:val="0038696B"/>
    <w:rsid w:val="003F7DA1"/>
    <w:rsid w:val="00401E2E"/>
    <w:rsid w:val="00411D74"/>
    <w:rsid w:val="00421672"/>
    <w:rsid w:val="00485B58"/>
    <w:rsid w:val="004B6376"/>
    <w:rsid w:val="005128C4"/>
    <w:rsid w:val="00584662"/>
    <w:rsid w:val="005A594A"/>
    <w:rsid w:val="005F4984"/>
    <w:rsid w:val="00617A53"/>
    <w:rsid w:val="0063239D"/>
    <w:rsid w:val="0063677E"/>
    <w:rsid w:val="00671A6E"/>
    <w:rsid w:val="00714090"/>
    <w:rsid w:val="00743810"/>
    <w:rsid w:val="00770E9D"/>
    <w:rsid w:val="007F6A1F"/>
    <w:rsid w:val="00880507"/>
    <w:rsid w:val="008B35CD"/>
    <w:rsid w:val="008C605E"/>
    <w:rsid w:val="009906A2"/>
    <w:rsid w:val="00997201"/>
    <w:rsid w:val="009A238B"/>
    <w:rsid w:val="009E3EEB"/>
    <w:rsid w:val="009F5CA5"/>
    <w:rsid w:val="00A11A0D"/>
    <w:rsid w:val="00A15404"/>
    <w:rsid w:val="00A20D88"/>
    <w:rsid w:val="00A45696"/>
    <w:rsid w:val="00A60B5D"/>
    <w:rsid w:val="00A75E43"/>
    <w:rsid w:val="00AB7322"/>
    <w:rsid w:val="00AD6478"/>
    <w:rsid w:val="00AE5054"/>
    <w:rsid w:val="00AF2CDB"/>
    <w:rsid w:val="00B914D0"/>
    <w:rsid w:val="00B96ABC"/>
    <w:rsid w:val="00BB0A50"/>
    <w:rsid w:val="00BB5A50"/>
    <w:rsid w:val="00C7324E"/>
    <w:rsid w:val="00CA247C"/>
    <w:rsid w:val="00CD147B"/>
    <w:rsid w:val="00CE12ED"/>
    <w:rsid w:val="00CF19D7"/>
    <w:rsid w:val="00CF24AA"/>
    <w:rsid w:val="00D3519C"/>
    <w:rsid w:val="00D479A2"/>
    <w:rsid w:val="00E008DD"/>
    <w:rsid w:val="00E06F89"/>
    <w:rsid w:val="00E67E7B"/>
    <w:rsid w:val="00F748C5"/>
    <w:rsid w:val="00F9310C"/>
    <w:rsid w:val="00FB0A2C"/>
    <w:rsid w:val="00FC0A5A"/>
    <w:rsid w:val="00FE03D9"/>
    <w:rsid w:val="2C3E703F"/>
    <w:rsid w:val="316357DD"/>
    <w:rsid w:val="31AD0AC8"/>
    <w:rsid w:val="3C8061FB"/>
    <w:rsid w:val="4E5E1D9E"/>
    <w:rsid w:val="4EC7762F"/>
    <w:rsid w:val="57EC005E"/>
    <w:rsid w:val="62451841"/>
    <w:rsid w:val="6E491249"/>
    <w:rsid w:val="72036D8F"/>
    <w:rsid w:val="7FED7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qFormat="1" w:uiPriority="39" w:semiHidden="0" w:name="toc 2"/>
    <w:lsdException w:qFormat="1" w:uiPriority="39" w:semiHidden="0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24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22"/>
    <w:unhideWhenUsed/>
    <w:qFormat/>
    <w:uiPriority w:val="9"/>
    <w:pPr>
      <w:keepNext/>
      <w:keepLines/>
      <w:spacing w:line="560" w:lineRule="exact"/>
      <w:outlineLvl w:val="1"/>
    </w:pPr>
    <w:rPr>
      <w:rFonts w:eastAsia="黑体" w:asciiTheme="majorHAnsi" w:hAnsiTheme="majorHAnsi" w:cstheme="majorBidi"/>
      <w:bCs/>
      <w:sz w:val="32"/>
      <w:szCs w:val="32"/>
    </w:rPr>
  </w:style>
  <w:style w:type="paragraph" w:styleId="4">
    <w:name w:val="heading 3"/>
    <w:basedOn w:val="1"/>
    <w:next w:val="1"/>
    <w:link w:val="23"/>
    <w:unhideWhenUsed/>
    <w:qFormat/>
    <w:uiPriority w:val="9"/>
    <w:pPr>
      <w:keepNext/>
      <w:keepLines/>
      <w:spacing w:line="560" w:lineRule="exact"/>
      <w:outlineLvl w:val="2"/>
    </w:pPr>
    <w:rPr>
      <w:rFonts w:eastAsia="仿宋"/>
      <w:b/>
      <w:bCs/>
      <w:sz w:val="32"/>
      <w:szCs w:val="32"/>
    </w:rPr>
  </w:style>
  <w:style w:type="character" w:default="1" w:styleId="14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annotation text"/>
    <w:basedOn w:val="1"/>
    <w:link w:val="19"/>
    <w:semiHidden/>
    <w:unhideWhenUsed/>
    <w:qFormat/>
    <w:uiPriority w:val="99"/>
    <w:pPr>
      <w:jc w:val="left"/>
    </w:pPr>
  </w:style>
  <w:style w:type="paragraph" w:styleId="6">
    <w:name w:val="toc 3"/>
    <w:basedOn w:val="1"/>
    <w:next w:val="1"/>
    <w:unhideWhenUsed/>
    <w:qFormat/>
    <w:uiPriority w:val="39"/>
    <w:pPr>
      <w:ind w:left="840" w:leftChars="400"/>
    </w:pPr>
  </w:style>
  <w:style w:type="paragraph" w:styleId="7">
    <w:name w:val="Balloon Text"/>
    <w:basedOn w:val="1"/>
    <w:link w:val="21"/>
    <w:semiHidden/>
    <w:unhideWhenUsed/>
    <w:qFormat/>
    <w:uiPriority w:val="99"/>
    <w:rPr>
      <w:sz w:val="18"/>
      <w:szCs w:val="18"/>
    </w:rPr>
  </w:style>
  <w:style w:type="paragraph" w:styleId="8">
    <w:name w:val="footer"/>
    <w:basedOn w:val="1"/>
    <w:link w:val="1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link w:val="1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toc 2"/>
    <w:basedOn w:val="1"/>
    <w:next w:val="1"/>
    <w:unhideWhenUsed/>
    <w:qFormat/>
    <w:uiPriority w:val="39"/>
    <w:pPr>
      <w:ind w:left="420" w:leftChars="200"/>
    </w:pPr>
  </w:style>
  <w:style w:type="paragraph" w:styleId="11">
    <w:name w:val="annotation subject"/>
    <w:basedOn w:val="5"/>
    <w:next w:val="5"/>
    <w:link w:val="20"/>
    <w:semiHidden/>
    <w:unhideWhenUsed/>
    <w:qFormat/>
    <w:uiPriority w:val="99"/>
    <w:rPr>
      <w:b/>
      <w:bCs/>
    </w:rPr>
  </w:style>
  <w:style w:type="table" w:styleId="13">
    <w:name w:val="Table Grid"/>
    <w:basedOn w:val="12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5">
    <w:name w:val="Hyperlink"/>
    <w:basedOn w:val="14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16">
    <w:name w:val="annotation reference"/>
    <w:basedOn w:val="14"/>
    <w:semiHidden/>
    <w:unhideWhenUsed/>
    <w:qFormat/>
    <w:uiPriority w:val="99"/>
    <w:rPr>
      <w:sz w:val="21"/>
      <w:szCs w:val="21"/>
    </w:rPr>
  </w:style>
  <w:style w:type="character" w:customStyle="1" w:styleId="17">
    <w:name w:val="页眉 Char"/>
    <w:basedOn w:val="14"/>
    <w:link w:val="9"/>
    <w:qFormat/>
    <w:uiPriority w:val="99"/>
    <w:rPr>
      <w:sz w:val="18"/>
      <w:szCs w:val="18"/>
    </w:rPr>
  </w:style>
  <w:style w:type="character" w:customStyle="1" w:styleId="18">
    <w:name w:val="页脚 Char"/>
    <w:basedOn w:val="14"/>
    <w:link w:val="8"/>
    <w:qFormat/>
    <w:uiPriority w:val="99"/>
    <w:rPr>
      <w:sz w:val="18"/>
      <w:szCs w:val="18"/>
    </w:rPr>
  </w:style>
  <w:style w:type="character" w:customStyle="1" w:styleId="19">
    <w:name w:val="批注文字 Char"/>
    <w:basedOn w:val="14"/>
    <w:link w:val="5"/>
    <w:semiHidden/>
    <w:qFormat/>
    <w:uiPriority w:val="99"/>
  </w:style>
  <w:style w:type="character" w:customStyle="1" w:styleId="20">
    <w:name w:val="批注主题 Char"/>
    <w:basedOn w:val="19"/>
    <w:link w:val="11"/>
    <w:semiHidden/>
    <w:qFormat/>
    <w:uiPriority w:val="99"/>
    <w:rPr>
      <w:b/>
      <w:bCs/>
    </w:rPr>
  </w:style>
  <w:style w:type="character" w:customStyle="1" w:styleId="21">
    <w:name w:val="批注框文本 Char"/>
    <w:basedOn w:val="14"/>
    <w:link w:val="7"/>
    <w:semiHidden/>
    <w:qFormat/>
    <w:uiPriority w:val="99"/>
    <w:rPr>
      <w:sz w:val="18"/>
      <w:szCs w:val="18"/>
    </w:rPr>
  </w:style>
  <w:style w:type="character" w:customStyle="1" w:styleId="22">
    <w:name w:val="标题 2 Char"/>
    <w:basedOn w:val="14"/>
    <w:link w:val="3"/>
    <w:qFormat/>
    <w:uiPriority w:val="9"/>
    <w:rPr>
      <w:rFonts w:eastAsia="黑体" w:asciiTheme="majorHAnsi" w:hAnsiTheme="majorHAnsi" w:cstheme="majorBidi"/>
      <w:bCs/>
      <w:sz w:val="32"/>
      <w:szCs w:val="32"/>
    </w:rPr>
  </w:style>
  <w:style w:type="character" w:customStyle="1" w:styleId="23">
    <w:name w:val="标题 3 Char"/>
    <w:basedOn w:val="14"/>
    <w:link w:val="4"/>
    <w:qFormat/>
    <w:uiPriority w:val="9"/>
    <w:rPr>
      <w:rFonts w:eastAsia="仿宋"/>
      <w:b/>
      <w:bCs/>
      <w:sz w:val="32"/>
      <w:szCs w:val="32"/>
    </w:rPr>
  </w:style>
  <w:style w:type="character" w:customStyle="1" w:styleId="24">
    <w:name w:val="标题 1 Char"/>
    <w:basedOn w:val="14"/>
    <w:link w:val="2"/>
    <w:qFormat/>
    <w:uiPriority w:val="9"/>
    <w:rPr>
      <w:b/>
      <w:bCs/>
      <w:kern w:val="44"/>
      <w:sz w:val="44"/>
      <w:szCs w:val="44"/>
    </w:rPr>
  </w:style>
  <w:style w:type="paragraph" w:styleId="25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EB2E87-308E-4583-854F-6361361934D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336</Words>
  <Characters>1917</Characters>
  <Lines>15</Lines>
  <Paragraphs>4</Paragraphs>
  <TotalTime>6</TotalTime>
  <ScaleCrop>false</ScaleCrop>
  <LinksUpToDate>false</LinksUpToDate>
  <CharactersWithSpaces>2249</CharactersWithSpaces>
  <Application>WPS Office_11.8.2.12080_F1E327BC-269C-435d-A152-05C5408002CA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2020-10-15T01:53:00Z</dcterms:created>
  <dc:creator>张畅[zhangchang]</dc:creator>
  <cp:lastModifiedBy>xxb19</cp:lastModifiedBy>
  <cp:lastPrinted>2020-10-15T08:19:00Z</cp:lastPrinted>
  <dcterms:modified xsi:type="dcterms:W3CDTF">2023-09-07T08:25:23Z</dcterms:modified>
  <cp:revision>91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2052-11.8.2.12080</vt:lpwstr>
  </property>
  <property fmtid="{D5CDD505-2E9C-101B-9397-08002B2CF9AE}" pid="3" name="ICV">
    <vt:lpwstr>A6926D2D8D1F4DF686D534DC796E7E16</vt:lpwstr>
  </property>
</Properties>
</file>