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基金产品</w:t>
      </w:r>
      <w:bookmarkStart w:id="25" w:name="_GoBack"/>
      <w:r>
        <w:rPr>
          <w:rFonts w:hint="eastAsia" w:ascii="仿宋" w:hAnsi="仿宋" w:eastAsia="仿宋"/>
          <w:b/>
          <w:sz w:val="44"/>
          <w:szCs w:val="44"/>
        </w:rPr>
        <w:t>开发</w:t>
      </w:r>
      <w:bookmarkEnd w:id="25"/>
      <w:r>
        <w:rPr>
          <w:rFonts w:hint="eastAsia" w:ascii="仿宋" w:hAnsi="仿宋" w:eastAsia="仿宋"/>
          <w:b/>
          <w:sz w:val="44"/>
          <w:szCs w:val="44"/>
        </w:rPr>
        <w:t>申请</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目录</w:t>
      </w:r>
    </w:p>
    <w:p>
      <w:pPr>
        <w:pStyle w:val="10"/>
        <w:tabs>
          <w:tab w:val="right" w:leader="dot" w:pos="8296"/>
        </w:tabs>
        <w:spacing w:line="40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TOC \o "1-3" \h \z \u</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fldChar w:fldCharType="begin"/>
      </w:r>
      <w:r>
        <w:instrText xml:space="preserve"> HYPERLINK \l "_Toc55930859" </w:instrText>
      </w:r>
      <w:r>
        <w:fldChar w:fldCharType="separate"/>
      </w:r>
      <w:r>
        <w:rPr>
          <w:rStyle w:val="15"/>
          <w:rFonts w:hint="eastAsia" w:asciiTheme="minorEastAsia" w:hAnsiTheme="minorEastAsia"/>
          <w:sz w:val="24"/>
          <w:szCs w:val="24"/>
        </w:rPr>
        <w:t>一、事项名称</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_Toc55930859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"_Toc55930860" </w:instrText>
      </w:r>
      <w:r>
        <w:fldChar w:fldCharType="separate"/>
      </w:r>
      <w:r>
        <w:rPr>
          <w:rStyle w:val="15"/>
          <w:rFonts w:hint="eastAsia" w:asciiTheme="minorEastAsia" w:hAnsiTheme="minorEastAsia"/>
          <w:sz w:val="24"/>
          <w:szCs w:val="24"/>
        </w:rPr>
        <w:t>二、规则依据</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_Toc55930860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"_Toc55930861" </w:instrText>
      </w:r>
      <w:r>
        <w:fldChar w:fldCharType="separate"/>
      </w:r>
      <w:r>
        <w:rPr>
          <w:rStyle w:val="15"/>
          <w:rFonts w:hint="eastAsia" w:asciiTheme="minorEastAsia" w:hAnsiTheme="minorEastAsia"/>
          <w:sz w:val="24"/>
          <w:szCs w:val="24"/>
        </w:rPr>
        <w:t>三、受理部门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_Toc55930861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"_Toc55930862" </w:instrText>
      </w:r>
      <w:r>
        <w:fldChar w:fldCharType="separate"/>
      </w:r>
      <w:r>
        <w:rPr>
          <w:rStyle w:val="15"/>
          <w:rFonts w:hint="eastAsia" w:asciiTheme="minorEastAsia" w:hAnsiTheme="minorEastAsia"/>
          <w:sz w:val="24"/>
          <w:szCs w:val="24"/>
        </w:rPr>
        <w:t>四、办理部门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_Toc55930862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"_Toc55930863" </w:instrText>
      </w:r>
      <w:r>
        <w:fldChar w:fldCharType="separate"/>
      </w:r>
      <w:r>
        <w:rPr>
          <w:rStyle w:val="15"/>
          <w:rFonts w:hint="eastAsia" w:asciiTheme="minorEastAsia" w:hAnsiTheme="minorEastAsia"/>
          <w:sz w:val="24"/>
          <w:szCs w:val="24"/>
        </w:rPr>
        <w:t>五、办理时限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_Toc55930863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"_Toc55930864" </w:instrText>
      </w:r>
      <w:r>
        <w:fldChar w:fldCharType="separate"/>
      </w:r>
      <w:r>
        <w:rPr>
          <w:rStyle w:val="15"/>
          <w:rFonts w:hint="eastAsia" w:asciiTheme="minorEastAsia" w:hAnsiTheme="minorEastAsia"/>
          <w:sz w:val="24"/>
          <w:szCs w:val="24"/>
        </w:rPr>
        <w:t>六、申请材料清单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_Toc55930864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"_Toc55930865" </w:instrText>
      </w:r>
      <w:r>
        <w:fldChar w:fldCharType="separate"/>
      </w:r>
      <w:r>
        <w:rPr>
          <w:rStyle w:val="15"/>
          <w:rFonts w:hint="eastAsia" w:asciiTheme="minorEastAsia" w:hAnsiTheme="minorEastAsia"/>
          <w:sz w:val="24"/>
          <w:szCs w:val="24"/>
        </w:rPr>
        <w:t>七、申请接收</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_Toc55930865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"_Toc55930866" </w:instrText>
      </w:r>
      <w:r>
        <w:fldChar w:fldCharType="separate"/>
      </w:r>
      <w:r>
        <w:rPr>
          <w:rStyle w:val="15"/>
          <w:rFonts w:hint="eastAsia" w:asciiTheme="minorEastAsia" w:hAnsiTheme="minorEastAsia"/>
          <w:sz w:val="24"/>
          <w:szCs w:val="24"/>
        </w:rPr>
        <w:t>八、办理流程</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_Toc55930866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"_Toc55930867" </w:instrText>
      </w:r>
      <w:r>
        <w:fldChar w:fldCharType="separate"/>
      </w:r>
      <w:r>
        <w:rPr>
          <w:rStyle w:val="15"/>
          <w:rFonts w:hint="eastAsia" w:asciiTheme="minorEastAsia" w:hAnsiTheme="minorEastAsia"/>
          <w:sz w:val="24"/>
          <w:szCs w:val="24"/>
        </w:rPr>
        <w:t>九、办理结果及送达</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_Toc55930867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"_Toc55930868" </w:instrText>
      </w:r>
      <w:r>
        <w:fldChar w:fldCharType="separate"/>
      </w:r>
      <w:r>
        <w:rPr>
          <w:rStyle w:val="15"/>
          <w:rFonts w:hint="eastAsia" w:asciiTheme="minorEastAsia" w:hAnsiTheme="minorEastAsia" w:cstheme="majorBidi"/>
          <w:bCs/>
          <w:sz w:val="24"/>
          <w:szCs w:val="24"/>
        </w:rPr>
        <w:t>十、咨询途径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_Toc55930868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296"/>
        </w:tabs>
        <w:spacing w:line="400" w:lineRule="exact"/>
        <w:rPr>
          <w:rFonts w:asciiTheme="minorEastAsia" w:hAnsiTheme="minorEastAsia"/>
          <w:sz w:val="24"/>
          <w:szCs w:val="24"/>
        </w:rPr>
      </w:pPr>
      <w:r>
        <w:fldChar w:fldCharType="begin"/>
      </w:r>
      <w:r>
        <w:instrText xml:space="preserve"> HYPERLINK \l "_Toc55930869" </w:instrText>
      </w:r>
      <w:r>
        <w:fldChar w:fldCharType="separate"/>
      </w:r>
      <w:r>
        <w:rPr>
          <w:rStyle w:val="15"/>
          <w:rFonts w:hint="eastAsia" w:asciiTheme="minorEastAsia" w:hAnsiTheme="minorEastAsia" w:cstheme="majorBidi"/>
          <w:bCs/>
          <w:sz w:val="24"/>
          <w:szCs w:val="24"/>
        </w:rPr>
        <w:t>十一、办理地点和时间</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_Toc55930869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6"/>
        <w:tabs>
          <w:tab w:val="right" w:leader="dot" w:pos="8296"/>
        </w:tabs>
        <w:spacing w:line="400" w:lineRule="exact"/>
        <w:rPr>
          <w:rFonts w:asciiTheme="minorEastAsia" w:hAnsiTheme="minorEastAsia"/>
          <w:sz w:val="24"/>
          <w:szCs w:val="24"/>
        </w:rPr>
      </w:pPr>
      <w:r>
        <w:fldChar w:fldCharType="begin"/>
      </w:r>
      <w:r>
        <w:instrText xml:space="preserve"> HYPERLINK \l "_Toc55930870" </w:instrText>
      </w:r>
      <w:r>
        <w:fldChar w:fldCharType="separate"/>
      </w:r>
      <w:r>
        <w:rPr>
          <w:rStyle w:val="15"/>
          <w:rFonts w:hint="eastAsia" w:asciiTheme="minorEastAsia" w:hAnsiTheme="minorEastAsia"/>
          <w:bCs/>
          <w:sz w:val="24"/>
          <w:szCs w:val="24"/>
        </w:rPr>
        <w:t>（一）办理地点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_Toc55930870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6"/>
        <w:tabs>
          <w:tab w:val="right" w:leader="dot" w:pos="8296"/>
        </w:tabs>
        <w:spacing w:line="400" w:lineRule="exact"/>
        <w:rPr>
          <w:rFonts w:asciiTheme="minorEastAsia" w:hAnsiTheme="minorEastAsia"/>
          <w:sz w:val="24"/>
          <w:szCs w:val="24"/>
        </w:rPr>
      </w:pPr>
      <w:r>
        <w:fldChar w:fldCharType="begin"/>
      </w:r>
      <w:r>
        <w:instrText xml:space="preserve"> HYPERLINK \l "_Toc55930871" </w:instrText>
      </w:r>
      <w:r>
        <w:fldChar w:fldCharType="separate"/>
      </w:r>
      <w:r>
        <w:rPr>
          <w:rStyle w:val="15"/>
          <w:rFonts w:hint="eastAsia" w:asciiTheme="minorEastAsia" w:hAnsiTheme="minorEastAsia"/>
          <w:bCs/>
          <w:sz w:val="24"/>
          <w:szCs w:val="24"/>
        </w:rPr>
        <w:t>（二）办理时间</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_Toc55930871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3"/>
        <w:spacing w:line="400" w:lineRule="exact"/>
        <w:rPr>
          <w:rFonts w:asciiTheme="minorEastAsia" w:hAnsiTheme="minorEastAsia" w:eastAsiaTheme="minorEastAsia"/>
          <w:sz w:val="40"/>
        </w:rPr>
        <w:sectPr>
          <w:footerReference r:id="rId3" w:type="default"/>
          <w:pgSz w:w="11906" w:h="16838"/>
          <w:pgMar w:top="1440" w:right="1800" w:bottom="1440" w:left="1800" w:header="851" w:footer="992" w:gutter="0"/>
          <w:cols w:space="425" w:num="1"/>
          <w:docGrid w:type="lines" w:linePitch="312" w:charSpace="0"/>
        </w:sectPr>
      </w:pPr>
      <w:r>
        <w:rPr>
          <w:rFonts w:asciiTheme="minorEastAsia" w:hAnsiTheme="minorEastAsia" w:eastAsiaTheme="minorEastAsia"/>
          <w:sz w:val="24"/>
          <w:szCs w:val="24"/>
        </w:rPr>
        <w:fldChar w:fldCharType="end"/>
      </w:r>
    </w:p>
    <w:p>
      <w:pPr>
        <w:pStyle w:val="3"/>
        <w:spacing w:line="360" w:lineRule="auto"/>
      </w:pPr>
      <w:bookmarkStart w:id="0" w:name="_Toc55930859"/>
      <w:r>
        <w:rPr>
          <w:rFonts w:hint="eastAsia"/>
        </w:rPr>
        <w:t>一、事项名称</w:t>
      </w:r>
      <w:bookmarkEnd w:id="0"/>
    </w:p>
    <w:p>
      <w:pPr>
        <w:spacing w:line="560" w:lineRule="exact"/>
        <w:rPr>
          <w:rFonts w:ascii="仿宋" w:hAnsi="仿宋" w:eastAsia="仿宋"/>
          <w:sz w:val="32"/>
          <w:szCs w:val="32"/>
        </w:rPr>
      </w:pPr>
      <w:r>
        <w:rPr>
          <w:rFonts w:hint="eastAsia" w:ascii="仿宋" w:hAnsi="仿宋" w:eastAsia="仿宋"/>
          <w:sz w:val="32"/>
          <w:szCs w:val="32"/>
        </w:rPr>
        <w:t>基金产品开发申请</w:t>
      </w:r>
    </w:p>
    <w:p>
      <w:pPr>
        <w:spacing w:line="560" w:lineRule="exact"/>
        <w:rPr>
          <w:rFonts w:ascii="仿宋" w:hAnsi="仿宋" w:eastAsia="仿宋"/>
          <w:sz w:val="32"/>
          <w:szCs w:val="32"/>
        </w:rPr>
      </w:pPr>
    </w:p>
    <w:p>
      <w:pPr>
        <w:pStyle w:val="3"/>
      </w:pPr>
      <w:bookmarkStart w:id="1" w:name="_Toc55930860"/>
      <w:r>
        <w:rPr>
          <w:rFonts w:hint="eastAsia"/>
        </w:rPr>
        <w:t>二、规则依据</w:t>
      </w:r>
      <w:bookmarkEnd w:id="1"/>
    </w:p>
    <w:p>
      <w:pPr>
        <w:spacing w:line="560" w:lineRule="exact"/>
        <w:rPr>
          <w:rFonts w:ascii="仿宋" w:hAnsi="仿宋" w:eastAsia="仿宋"/>
          <w:sz w:val="32"/>
          <w:szCs w:val="32"/>
        </w:rPr>
      </w:pPr>
      <w:r>
        <w:rPr>
          <w:rFonts w:hint="eastAsia" w:ascii="仿宋" w:hAnsi="仿宋" w:eastAsia="仿宋"/>
          <w:sz w:val="32"/>
          <w:szCs w:val="32"/>
        </w:rPr>
        <w:t>《深圳证券交易所基金产品开发与创新服务指引》（以下简称《指引》）</w:t>
      </w:r>
    </w:p>
    <w:p>
      <w:pPr>
        <w:spacing w:line="560" w:lineRule="exact"/>
        <w:rPr>
          <w:rFonts w:ascii="仿宋" w:hAnsi="仿宋" w:eastAsia="仿宋"/>
          <w:sz w:val="32"/>
          <w:szCs w:val="32"/>
        </w:rPr>
      </w:pPr>
      <w:r>
        <w:rPr>
          <w:rFonts w:hint="eastAsia" w:ascii="仿宋" w:hAnsi="仿宋" w:eastAsia="仿宋"/>
          <w:sz w:val="32"/>
          <w:szCs w:val="32"/>
        </w:rPr>
        <w:t>《深圳证券交易所证券投资基金业务指引第1号——指数基金开发》</w:t>
      </w:r>
    </w:p>
    <w:p>
      <w:pPr>
        <w:spacing w:line="560" w:lineRule="exact"/>
        <w:rPr>
          <w:rFonts w:ascii="仿宋" w:hAnsi="仿宋" w:eastAsia="仿宋"/>
          <w:sz w:val="32"/>
          <w:szCs w:val="32"/>
        </w:rPr>
      </w:pPr>
    </w:p>
    <w:p>
      <w:pPr>
        <w:pStyle w:val="3"/>
      </w:pPr>
      <w:bookmarkStart w:id="2" w:name="_Toc55930861"/>
      <w:r>
        <w:rPr>
          <w:rFonts w:hint="eastAsia"/>
        </w:rPr>
        <w:t>三、受理部门</w:t>
      </w:r>
      <w:bookmarkEnd w:id="2"/>
    </w:p>
    <w:p>
      <w:pPr>
        <w:spacing w:line="560" w:lineRule="exact"/>
        <w:rPr>
          <w:rFonts w:ascii="仿宋" w:hAnsi="仿宋" w:eastAsia="仿宋"/>
          <w:sz w:val="32"/>
          <w:szCs w:val="32"/>
        </w:rPr>
      </w:pPr>
      <w:r>
        <w:rPr>
          <w:rFonts w:hint="eastAsia" w:ascii="仿宋" w:hAnsi="仿宋" w:eastAsia="仿宋"/>
          <w:sz w:val="32"/>
          <w:szCs w:val="32"/>
        </w:rPr>
        <w:t>深圳证券交易所基金管理部</w:t>
      </w:r>
    </w:p>
    <w:p>
      <w:pPr>
        <w:spacing w:line="560" w:lineRule="exact"/>
        <w:rPr>
          <w:rFonts w:ascii="仿宋" w:hAnsi="仿宋" w:eastAsia="仿宋"/>
          <w:sz w:val="32"/>
          <w:szCs w:val="32"/>
        </w:rPr>
      </w:pPr>
    </w:p>
    <w:p>
      <w:pPr>
        <w:pStyle w:val="3"/>
      </w:pPr>
      <w:bookmarkStart w:id="3" w:name="_Toc55930862"/>
      <w:r>
        <w:rPr>
          <w:rFonts w:hint="eastAsia"/>
        </w:rPr>
        <w:t>四、办理部门</w:t>
      </w:r>
      <w:bookmarkEnd w:id="3"/>
    </w:p>
    <w:p>
      <w:pPr>
        <w:spacing w:line="560" w:lineRule="exact"/>
        <w:rPr>
          <w:rFonts w:ascii="仿宋" w:hAnsi="仿宋" w:eastAsia="仿宋"/>
          <w:sz w:val="32"/>
          <w:szCs w:val="32"/>
        </w:rPr>
      </w:pPr>
      <w:r>
        <w:rPr>
          <w:rFonts w:hint="eastAsia" w:ascii="仿宋" w:hAnsi="仿宋" w:eastAsia="仿宋"/>
          <w:sz w:val="32"/>
          <w:szCs w:val="32"/>
        </w:rPr>
        <w:t>深圳证券交易所基金管理部</w:t>
      </w:r>
    </w:p>
    <w:p>
      <w:pPr>
        <w:spacing w:line="560" w:lineRule="exact"/>
        <w:rPr>
          <w:rFonts w:ascii="仿宋" w:hAnsi="仿宋" w:eastAsia="仿宋"/>
          <w:sz w:val="32"/>
          <w:szCs w:val="32"/>
        </w:rPr>
      </w:pPr>
    </w:p>
    <w:p>
      <w:pPr>
        <w:pStyle w:val="3"/>
      </w:pPr>
      <w:bookmarkStart w:id="4" w:name="_Toc55930863"/>
      <w:r>
        <w:rPr>
          <w:rFonts w:hint="eastAsia"/>
        </w:rPr>
        <w:t>五、办理时限</w:t>
      </w:r>
      <w:bookmarkEnd w:id="4"/>
    </w:p>
    <w:p>
      <w:pPr>
        <w:spacing w:line="560" w:lineRule="exact"/>
        <w:ind w:firstLine="640" w:firstLineChars="200"/>
        <w:rPr>
          <w:rFonts w:ascii="仿宋" w:hAnsi="仿宋" w:eastAsia="仿宋"/>
          <w:sz w:val="32"/>
          <w:szCs w:val="32"/>
        </w:rPr>
      </w:pPr>
      <w:r>
        <w:rPr>
          <w:rFonts w:ascii="仿宋" w:hAnsi="仿宋" w:eastAsia="仿宋"/>
          <w:sz w:val="32"/>
          <w:szCs w:val="32"/>
        </w:rPr>
        <w:t>基金管理人申请开发常规产品</w:t>
      </w:r>
      <w:r>
        <w:rPr>
          <w:rFonts w:hint="eastAsia" w:ascii="仿宋" w:hAnsi="仿宋" w:eastAsia="仿宋"/>
          <w:sz w:val="32"/>
          <w:szCs w:val="32"/>
        </w:rPr>
        <w:t>，</w:t>
      </w:r>
      <w:r>
        <w:rPr>
          <w:rFonts w:ascii="仿宋" w:hAnsi="仿宋" w:eastAsia="仿宋"/>
          <w:sz w:val="32"/>
          <w:szCs w:val="32"/>
        </w:rPr>
        <w:t>自收到完备申请材料之日起十个交易日内出具无异议函，但根据相关规定需要事前向中国证监会报告的产品除外。</w:t>
      </w:r>
    </w:p>
    <w:p>
      <w:pPr>
        <w:spacing w:line="560" w:lineRule="exact"/>
        <w:ind w:firstLine="640" w:firstLineChars="200"/>
        <w:rPr>
          <w:rFonts w:ascii="仿宋" w:hAnsi="仿宋" w:eastAsia="仿宋"/>
          <w:sz w:val="32"/>
          <w:szCs w:val="32"/>
        </w:rPr>
      </w:pPr>
      <w:r>
        <w:rPr>
          <w:rFonts w:ascii="仿宋" w:hAnsi="仿宋" w:eastAsia="仿宋"/>
          <w:sz w:val="32"/>
          <w:szCs w:val="32"/>
        </w:rPr>
        <w:t>基金管理人申请开发创新产品，收到完备申请材料并履行风险评估等相关程序后决定出具无异议函。</w:t>
      </w:r>
    </w:p>
    <w:p>
      <w:pPr>
        <w:spacing w:line="560" w:lineRule="exact"/>
        <w:ind w:firstLine="640" w:firstLineChars="200"/>
        <w:rPr>
          <w:rFonts w:ascii="仿宋" w:hAnsi="仿宋" w:eastAsia="仿宋"/>
          <w:sz w:val="32"/>
          <w:szCs w:val="32"/>
        </w:rPr>
      </w:pPr>
      <w:r>
        <w:rPr>
          <w:rFonts w:ascii="仿宋" w:hAnsi="仿宋" w:eastAsia="仿宋"/>
          <w:sz w:val="32"/>
          <w:szCs w:val="32"/>
        </w:rPr>
        <w:t>基金管理人申请</w:t>
      </w:r>
      <w:r>
        <w:rPr>
          <w:rFonts w:hint="eastAsia" w:ascii="仿宋" w:hAnsi="仿宋" w:eastAsia="仿宋"/>
          <w:sz w:val="32"/>
          <w:szCs w:val="32"/>
        </w:rPr>
        <w:t>产品变更的，常规产品按照上述常规产品时限办理，创新产品按照上述创新产品要求办理。</w:t>
      </w:r>
    </w:p>
    <w:p>
      <w:pPr>
        <w:spacing w:line="560" w:lineRule="exact"/>
        <w:rPr>
          <w:rFonts w:ascii="仿宋" w:hAnsi="仿宋" w:eastAsia="仿宋"/>
          <w:sz w:val="32"/>
          <w:szCs w:val="32"/>
        </w:rPr>
      </w:pPr>
    </w:p>
    <w:p>
      <w:pPr>
        <w:pStyle w:val="3"/>
      </w:pPr>
      <w:bookmarkStart w:id="5" w:name="_Toc55930864"/>
      <w:r>
        <w:rPr>
          <w:rFonts w:hint="eastAsia"/>
        </w:rPr>
        <w:t>六、申请材料清单</w:t>
      </w:r>
      <w:bookmarkEnd w:id="5"/>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金管理人申请开发常规产品的，应当向本所提交：产品开发申请、基金合同（草案）、招募说明书（草案）、标的指数编制方案（适用于指数基金）、关于标的指数符合要求的说明及承诺（适用于指数基金）以及本所要求的其他材料。</w:t>
      </w:r>
    </w:p>
    <w:p>
      <w:pPr>
        <w:ind w:firstLine="640" w:firstLineChars="200"/>
        <w:rPr>
          <w:rFonts w:ascii="仿宋" w:hAnsi="仿宋" w:eastAsia="仿宋"/>
          <w:sz w:val="32"/>
          <w:szCs w:val="32"/>
        </w:rPr>
      </w:pPr>
      <w:r>
        <w:rPr>
          <w:rFonts w:hint="eastAsia" w:ascii="仿宋" w:hAnsi="仿宋" w:eastAsia="仿宋"/>
          <w:sz w:val="32"/>
          <w:szCs w:val="32"/>
        </w:rPr>
        <w:t>基金管理人申请开发创新产品的，除提供前述材料外，还应当向本所提交产品方案和风险评估报告。</w:t>
      </w:r>
    </w:p>
    <w:p>
      <w:pPr>
        <w:ind w:firstLine="640" w:firstLineChars="200"/>
        <w:rPr>
          <w:rFonts w:ascii="仿宋" w:hAnsi="仿宋" w:eastAsia="仿宋"/>
          <w:sz w:val="32"/>
          <w:szCs w:val="32"/>
        </w:rPr>
      </w:pPr>
      <w:r>
        <w:rPr>
          <w:rFonts w:hint="eastAsia" w:ascii="仿宋" w:hAnsi="仿宋" w:eastAsia="仿宋"/>
          <w:sz w:val="32"/>
          <w:szCs w:val="32"/>
        </w:rPr>
        <w:t>2、基金获准注册后，产品方案进行调整应当向证监会申请变更注册的，基金管理人应当向本所提交产品变更申请、产品变更方案以及本所规定的申请开发常规产品或创新产品应提交的相关材料。</w:t>
      </w:r>
    </w:p>
    <w:p>
      <w:pPr>
        <w:spacing w:line="560" w:lineRule="exact"/>
        <w:rPr>
          <w:rFonts w:ascii="仿宋" w:hAnsi="仿宋" w:eastAsia="仿宋"/>
          <w:sz w:val="32"/>
          <w:szCs w:val="32"/>
        </w:rPr>
      </w:pPr>
    </w:p>
    <w:p>
      <w:pPr>
        <w:pStyle w:val="3"/>
      </w:pPr>
      <w:bookmarkStart w:id="6" w:name="_Toc55930865"/>
      <w:r>
        <w:rPr>
          <w:rFonts w:hint="eastAsia"/>
        </w:rPr>
        <w:t>七、申请接收</w:t>
      </w:r>
      <w:bookmarkEnd w:id="6"/>
    </w:p>
    <w:p>
      <w:pPr>
        <w:spacing w:line="560" w:lineRule="exact"/>
        <w:rPr>
          <w:rFonts w:ascii="仿宋" w:hAnsi="仿宋" w:eastAsia="仿宋"/>
          <w:sz w:val="32"/>
          <w:szCs w:val="32"/>
        </w:rPr>
      </w:pPr>
      <w:r>
        <w:rPr>
          <w:rFonts w:hint="eastAsia" w:ascii="仿宋" w:hAnsi="仿宋" w:eastAsia="仿宋"/>
          <w:sz w:val="32"/>
          <w:szCs w:val="32"/>
        </w:rPr>
        <w:t>深交所基金业务专区受理申请，接受电子版材料。</w:t>
      </w:r>
    </w:p>
    <w:p>
      <w:pPr>
        <w:spacing w:line="560" w:lineRule="exact"/>
        <w:ind w:firstLine="645"/>
        <w:rPr>
          <w:rFonts w:ascii="仿宋" w:hAnsi="仿宋" w:eastAsia="仿宋"/>
          <w:sz w:val="32"/>
          <w:szCs w:val="32"/>
        </w:rPr>
      </w:pPr>
    </w:p>
    <w:p>
      <w:pPr>
        <w:pStyle w:val="3"/>
      </w:pPr>
      <w:bookmarkStart w:id="7" w:name="_Toc55930866"/>
      <w:r>
        <w:rPr>
          <w:rFonts w:hint="eastAsia"/>
        </w:rPr>
        <w:t>八、办理流程</w:t>
      </w:r>
      <w:bookmarkEnd w:id="7"/>
    </w:p>
    <w:p>
      <w:pPr>
        <w:spacing w:line="560" w:lineRule="exact"/>
        <w:ind w:firstLine="640" w:firstLineChars="200"/>
        <w:rPr>
          <w:rFonts w:ascii="仿宋" w:hAnsi="仿宋" w:eastAsia="仿宋"/>
          <w:sz w:val="32"/>
          <w:szCs w:val="32"/>
        </w:rPr>
      </w:pPr>
      <w:r>
        <w:rPr>
          <w:rFonts w:ascii="仿宋" w:hAnsi="仿宋" w:eastAsia="仿宋"/>
          <w:sz w:val="32"/>
          <w:szCs w:val="32"/>
        </w:rPr>
        <w:t>1、基金管理人通过本所基金业务专区提交申请，按照要求填写产品信息及上传申请材料。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、本所依据《指引》及本所其他业务规则对产品</w:t>
      </w:r>
      <w:r>
        <w:rPr>
          <w:rFonts w:hint="eastAsia" w:ascii="仿宋" w:hAnsi="仿宋" w:eastAsia="仿宋"/>
          <w:sz w:val="32"/>
          <w:szCs w:val="32"/>
        </w:rPr>
        <w:t>开发与变更</w:t>
      </w:r>
      <w:r>
        <w:rPr>
          <w:rFonts w:ascii="仿宋" w:hAnsi="仿宋" w:eastAsia="仿宋"/>
          <w:sz w:val="32"/>
          <w:szCs w:val="32"/>
        </w:rPr>
        <w:t>申请进行核对</w:t>
      </w:r>
      <w:r>
        <w:rPr>
          <w:rFonts w:hint="eastAsia" w:ascii="仿宋" w:hAnsi="仿宋" w:eastAsia="仿宋"/>
          <w:sz w:val="32"/>
          <w:szCs w:val="32"/>
        </w:rPr>
        <w:t>，向符合规定的产品</w:t>
      </w:r>
      <w:r>
        <w:rPr>
          <w:rFonts w:ascii="仿宋" w:hAnsi="仿宋" w:eastAsia="仿宋"/>
          <w:sz w:val="32"/>
          <w:szCs w:val="32"/>
        </w:rPr>
        <w:t>出具无异议函</w:t>
      </w:r>
      <w:r>
        <w:rPr>
          <w:rFonts w:hint="eastAsia" w:ascii="仿宋" w:hAnsi="仿宋" w:eastAsia="仿宋"/>
          <w:sz w:val="32"/>
          <w:szCs w:val="32"/>
        </w:rPr>
        <w:t>，并通知基金管理人</w:t>
      </w:r>
      <w:r>
        <w:rPr>
          <w:rFonts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基金管理人未按要求提交文件的，应当补充材料。基金管理人补充材料期间不计入本所办理期限内。</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bidi="ar-SA"/>
        </w:rPr>
        <w:t>多家基金管理人同时申请</w:t>
      </w:r>
      <w:r>
        <w:rPr>
          <w:rFonts w:hint="eastAsia" w:ascii="仿宋" w:hAnsi="仿宋" w:eastAsia="仿宋" w:cs="仿宋"/>
          <w:kern w:val="0"/>
          <w:sz w:val="32"/>
          <w:szCs w:val="32"/>
          <w:lang w:eastAsia="zh-CN" w:bidi="ar-SA"/>
        </w:rPr>
        <w:t>开发同一标的</w:t>
      </w:r>
      <w:r>
        <w:rPr>
          <w:rFonts w:hint="eastAsia" w:ascii="仿宋" w:hAnsi="仿宋" w:eastAsia="仿宋" w:cs="仿宋"/>
          <w:kern w:val="0"/>
          <w:sz w:val="32"/>
          <w:szCs w:val="32"/>
          <w:lang w:bidi="ar-SA"/>
        </w:rPr>
        <w:t>指数</w:t>
      </w:r>
      <w:r>
        <w:rPr>
          <w:rFonts w:hint="eastAsia" w:ascii="仿宋" w:hAnsi="仿宋" w:eastAsia="仿宋" w:cs="仿宋"/>
          <w:kern w:val="0"/>
          <w:sz w:val="32"/>
          <w:szCs w:val="32"/>
          <w:lang w:eastAsia="zh-CN" w:bidi="ar-SA"/>
        </w:rPr>
        <w:t>首批产品</w:t>
      </w:r>
      <w:r>
        <w:rPr>
          <w:rFonts w:hint="eastAsia" w:ascii="仿宋" w:hAnsi="仿宋" w:eastAsia="仿宋" w:cs="仿宋"/>
          <w:kern w:val="0"/>
          <w:sz w:val="32"/>
          <w:szCs w:val="32"/>
          <w:lang w:val="en-US" w:eastAsia="zh-CN" w:bidi="ar-SA"/>
        </w:rPr>
        <w:t>，且申请数量超过首批授权数量的，本所将对相关申请进行综合评估后</w:t>
      </w:r>
      <w:r>
        <w:rPr>
          <w:rFonts w:hint="eastAsia" w:ascii="仿宋" w:hAnsi="仿宋" w:eastAsia="仿宋" w:cs="仿宋"/>
          <w:kern w:val="0"/>
          <w:sz w:val="32"/>
          <w:szCs w:val="32"/>
          <w:lang w:bidi="ar-SA"/>
        </w:rPr>
        <w:t>决定出具无异议函的对象</w:t>
      </w:r>
      <w:r>
        <w:rPr>
          <w:rFonts w:hint="eastAsia" w:ascii="仿宋" w:hAnsi="仿宋" w:eastAsia="仿宋" w:cs="仿宋"/>
          <w:kern w:val="0"/>
          <w:sz w:val="32"/>
          <w:szCs w:val="32"/>
          <w:lang w:eastAsia="zh-CN" w:bidi="ar-SA"/>
        </w:rPr>
        <w:t>。</w:t>
      </w:r>
    </w:p>
    <w:p>
      <w:pPr>
        <w:spacing w:line="560" w:lineRule="exact"/>
        <w:rPr>
          <w:rFonts w:ascii="仿宋" w:hAnsi="仿宋" w:eastAsia="仿宋"/>
          <w:sz w:val="32"/>
          <w:szCs w:val="32"/>
        </w:rPr>
      </w:pPr>
    </w:p>
    <w:p>
      <w:pPr>
        <w:pStyle w:val="3"/>
      </w:pPr>
      <w:bookmarkStart w:id="8" w:name="_Toc55930867"/>
      <w:r>
        <w:rPr>
          <w:rFonts w:hint="eastAsia"/>
        </w:rPr>
        <w:t>九、办理结果及送达</w:t>
      </w:r>
      <w:bookmarkEnd w:id="8"/>
    </w:p>
    <w:p>
      <w:pPr>
        <w:spacing w:line="560" w:lineRule="exact"/>
        <w:rPr>
          <w:rFonts w:ascii="仿宋" w:hAnsi="仿宋" w:eastAsia="仿宋"/>
          <w:sz w:val="32"/>
          <w:szCs w:val="32"/>
        </w:rPr>
      </w:pPr>
      <w:r>
        <w:rPr>
          <w:rFonts w:hint="eastAsia" w:ascii="仿宋" w:hAnsi="仿宋" w:eastAsia="仿宋"/>
          <w:sz w:val="32"/>
          <w:szCs w:val="32"/>
        </w:rPr>
        <w:t>基金管理人可通过本所基金业务专区查看办理结果。</w:t>
      </w:r>
    </w:p>
    <w:p>
      <w:pPr>
        <w:spacing w:line="560" w:lineRule="exact"/>
        <w:rPr>
          <w:rFonts w:ascii="仿宋" w:hAnsi="仿宋" w:eastAsia="仿宋"/>
          <w:sz w:val="32"/>
          <w:szCs w:val="32"/>
        </w:rPr>
      </w:pPr>
      <w:r>
        <w:rPr>
          <w:rFonts w:hint="eastAsia" w:ascii="仿宋" w:hAnsi="仿宋" w:eastAsia="仿宋"/>
          <w:sz w:val="32"/>
          <w:szCs w:val="32"/>
        </w:rPr>
        <w:t>本所</w:t>
      </w:r>
      <w:r>
        <w:rPr>
          <w:rFonts w:ascii="仿宋" w:hAnsi="仿宋" w:eastAsia="仿宋"/>
          <w:sz w:val="32"/>
          <w:szCs w:val="32"/>
        </w:rPr>
        <w:t>出具无异议函</w:t>
      </w:r>
      <w:r>
        <w:rPr>
          <w:rFonts w:hint="eastAsia" w:ascii="仿宋" w:hAnsi="仿宋" w:eastAsia="仿宋"/>
          <w:sz w:val="32"/>
          <w:szCs w:val="32"/>
        </w:rPr>
        <w:t>后，基金管理人通过现场领取或邮寄送达的方式取得</w:t>
      </w:r>
      <w:r>
        <w:rPr>
          <w:rFonts w:ascii="仿宋" w:hAnsi="仿宋" w:eastAsia="仿宋"/>
          <w:sz w:val="32"/>
          <w:szCs w:val="32"/>
        </w:rPr>
        <w:t>无异议函</w:t>
      </w:r>
      <w:r>
        <w:rPr>
          <w:rFonts w:hint="eastAsia" w:ascii="仿宋" w:hAnsi="仿宋" w:eastAsia="仿宋"/>
          <w:sz w:val="32"/>
          <w:szCs w:val="32"/>
        </w:rPr>
        <w:t>。</w:t>
      </w:r>
    </w:p>
    <w:p>
      <w:pPr>
        <w:spacing w:line="560" w:lineRule="exact"/>
        <w:rPr>
          <w:rFonts w:ascii="仿宋" w:hAnsi="仿宋" w:eastAsia="仿宋"/>
          <w:sz w:val="32"/>
          <w:szCs w:val="32"/>
        </w:rPr>
      </w:pPr>
    </w:p>
    <w:p>
      <w:pPr>
        <w:keepNext/>
        <w:keepLines/>
        <w:spacing w:line="560" w:lineRule="exact"/>
        <w:outlineLvl w:val="1"/>
        <w:rPr>
          <w:rFonts w:eastAsia="黑体" w:asciiTheme="majorHAnsi" w:hAnsiTheme="majorHAnsi" w:cstheme="majorBidi"/>
          <w:bCs/>
          <w:sz w:val="32"/>
          <w:szCs w:val="32"/>
        </w:rPr>
      </w:pPr>
      <w:bookmarkStart w:id="9" w:name="_Toc54681468"/>
      <w:bookmarkStart w:id="10" w:name="_Toc55930868"/>
      <w:bookmarkStart w:id="11" w:name="_Toc54690943"/>
      <w:r>
        <w:rPr>
          <w:rFonts w:hint="eastAsia" w:eastAsia="黑体" w:asciiTheme="majorHAnsi" w:hAnsiTheme="majorHAnsi" w:cstheme="majorBidi"/>
          <w:bCs/>
          <w:sz w:val="32"/>
          <w:szCs w:val="32"/>
        </w:rPr>
        <w:t>十、咨询途径</w:t>
      </w:r>
      <w:bookmarkEnd w:id="9"/>
      <w:bookmarkEnd w:id="10"/>
      <w:bookmarkEnd w:id="11"/>
    </w:p>
    <w:p>
      <w:pPr>
        <w:spacing w:line="560" w:lineRule="exact"/>
        <w:rPr>
          <w:rFonts w:ascii="仿宋" w:hAnsi="仿宋" w:eastAsia="仿宋"/>
          <w:sz w:val="32"/>
          <w:szCs w:val="32"/>
        </w:rPr>
      </w:pPr>
      <w:r>
        <w:rPr>
          <w:rFonts w:hint="eastAsia" w:ascii="仿宋" w:hAnsi="仿宋" w:eastAsia="仿宋"/>
          <w:sz w:val="32"/>
          <w:szCs w:val="32"/>
        </w:rPr>
        <w:t xml:space="preserve">詹女士 </w:t>
      </w:r>
      <w:r>
        <w:rPr>
          <w:rFonts w:ascii="仿宋" w:hAnsi="仿宋" w:eastAsia="仿宋"/>
          <w:sz w:val="32"/>
          <w:szCs w:val="32"/>
        </w:rPr>
        <w:t>电话</w:t>
      </w:r>
      <w:r>
        <w:rPr>
          <w:rFonts w:hint="eastAsia" w:ascii="仿宋" w:hAnsi="仿宋" w:eastAsia="仿宋"/>
          <w:sz w:val="32"/>
          <w:szCs w:val="32"/>
        </w:rPr>
        <w:t>：</w:t>
      </w:r>
      <w:r>
        <w:rPr>
          <w:rFonts w:ascii="仿宋" w:hAnsi="仿宋" w:eastAsia="仿宋"/>
          <w:sz w:val="32"/>
          <w:szCs w:val="32"/>
        </w:rPr>
        <w:t>0755-8866</w:t>
      </w:r>
      <w:r>
        <w:rPr>
          <w:rFonts w:hint="eastAsia" w:ascii="仿宋" w:hAnsi="仿宋" w:eastAsia="仿宋"/>
          <w:sz w:val="32"/>
          <w:szCs w:val="32"/>
        </w:rPr>
        <w:t xml:space="preserve"> 8130</w:t>
      </w:r>
      <w:r>
        <w:rPr>
          <w:rFonts w:ascii="仿宋" w:hAnsi="仿宋" w:eastAsia="仿宋"/>
          <w:sz w:val="32"/>
          <w:szCs w:val="32"/>
        </w:rPr>
        <w:t xml:space="preserve"> 邮箱：</w:t>
      </w:r>
      <w:r>
        <w:fldChar w:fldCharType="begin"/>
      </w:r>
      <w:r>
        <w:instrText xml:space="preserve"> HYPERLINK "mailto:jzhan.oth@szse.cn" </w:instrText>
      </w:r>
      <w:r>
        <w:fldChar w:fldCharType="separate"/>
      </w:r>
      <w:r>
        <w:rPr>
          <w:rFonts w:hint="eastAsia" w:ascii="仿宋" w:hAnsi="仿宋" w:eastAsia="仿宋"/>
          <w:sz w:val="32"/>
          <w:szCs w:val="32"/>
          <w:lang w:val="en-US" w:eastAsia="zh-CN"/>
        </w:rPr>
        <w:t>zhanjie</w:t>
      </w:r>
      <w:r>
        <w:rPr>
          <w:rFonts w:ascii="仿宋" w:hAnsi="仿宋" w:eastAsia="仿宋"/>
          <w:sz w:val="32"/>
          <w:szCs w:val="32"/>
        </w:rPr>
        <w:t>@szse.cn</w:t>
      </w:r>
      <w:r>
        <w:rPr>
          <w:rFonts w:ascii="仿宋" w:hAnsi="仿宋" w:eastAsia="仿宋"/>
          <w:sz w:val="32"/>
          <w:szCs w:val="32"/>
        </w:rPr>
        <w:fldChar w:fldCharType="end"/>
      </w:r>
    </w:p>
    <w:p>
      <w:pPr>
        <w:spacing w:line="560" w:lineRule="exact"/>
        <w:rPr>
          <w:rFonts w:ascii="仿宋" w:hAnsi="仿宋" w:eastAsia="仿宋"/>
          <w:sz w:val="32"/>
          <w:szCs w:val="32"/>
        </w:rPr>
      </w:pPr>
      <w:r>
        <w:rPr>
          <w:rFonts w:hint="eastAsia" w:ascii="仿宋" w:hAnsi="仿宋" w:eastAsia="仿宋"/>
          <w:sz w:val="32"/>
          <w:szCs w:val="32"/>
          <w:lang w:eastAsia="zh-CN"/>
        </w:rPr>
        <w:t>李先生</w:t>
      </w:r>
      <w:r>
        <w:rPr>
          <w:rFonts w:hint="eastAsia" w:ascii="仿宋" w:hAnsi="仿宋" w:eastAsia="仿宋"/>
          <w:sz w:val="32"/>
          <w:szCs w:val="32"/>
        </w:rPr>
        <w:t xml:space="preserve"> 电话：0755-8866 </w:t>
      </w:r>
      <w:r>
        <w:rPr>
          <w:rFonts w:hint="eastAsia" w:ascii="仿宋" w:hAnsi="仿宋" w:eastAsia="仿宋"/>
          <w:sz w:val="32"/>
          <w:szCs w:val="32"/>
          <w:lang w:val="en-US" w:eastAsia="zh-CN"/>
        </w:rPr>
        <w:t>8564</w:t>
      </w:r>
      <w:r>
        <w:rPr>
          <w:rFonts w:hint="eastAsia" w:ascii="仿宋" w:hAnsi="仿宋" w:eastAsia="仿宋"/>
          <w:sz w:val="32"/>
          <w:szCs w:val="32"/>
        </w:rPr>
        <w:t xml:space="preserve"> 邮箱：</w:t>
      </w:r>
      <w:r>
        <w:rPr>
          <w:rFonts w:hint="eastAsia" w:ascii="仿宋" w:hAnsi="仿宋" w:eastAsia="仿宋"/>
          <w:sz w:val="32"/>
          <w:szCs w:val="32"/>
          <w:lang w:val="en-US" w:eastAsia="zh-CN"/>
        </w:rPr>
        <w:t>mdli</w:t>
      </w:r>
      <w:r>
        <w:rPr>
          <w:rFonts w:ascii="仿宋" w:hAnsi="仿宋" w:eastAsia="仿宋"/>
          <w:sz w:val="32"/>
          <w:szCs w:val="32"/>
        </w:rPr>
        <w:t>@szse.cn</w:t>
      </w:r>
    </w:p>
    <w:p>
      <w:pPr>
        <w:spacing w:line="560" w:lineRule="exact"/>
        <w:rPr>
          <w:rFonts w:ascii="仿宋" w:hAnsi="仿宋" w:eastAsia="仿宋"/>
          <w:sz w:val="32"/>
          <w:szCs w:val="32"/>
        </w:rPr>
      </w:pPr>
    </w:p>
    <w:p>
      <w:pPr>
        <w:keepNext/>
        <w:keepLines/>
        <w:spacing w:line="560" w:lineRule="exact"/>
        <w:outlineLvl w:val="1"/>
        <w:rPr>
          <w:rFonts w:eastAsia="黑体" w:asciiTheme="majorHAnsi" w:hAnsiTheme="majorHAnsi" w:cstheme="majorBidi"/>
          <w:bCs/>
          <w:sz w:val="32"/>
          <w:szCs w:val="32"/>
        </w:rPr>
      </w:pPr>
      <w:bookmarkStart w:id="12" w:name="_Toc54690946"/>
      <w:bookmarkStart w:id="13" w:name="_Toc55930869"/>
      <w:bookmarkStart w:id="14" w:name="_Toc54681471"/>
      <w:r>
        <w:rPr>
          <w:rFonts w:hint="eastAsia" w:eastAsia="黑体" w:asciiTheme="majorHAnsi" w:hAnsiTheme="majorHAnsi" w:cstheme="majorBidi"/>
          <w:bCs/>
          <w:sz w:val="32"/>
          <w:szCs w:val="32"/>
        </w:rPr>
        <w:t>十一、办理地点和时间</w:t>
      </w:r>
      <w:bookmarkEnd w:id="12"/>
      <w:bookmarkEnd w:id="13"/>
      <w:bookmarkEnd w:id="14"/>
    </w:p>
    <w:p>
      <w:pPr>
        <w:keepNext/>
        <w:keepLines/>
        <w:spacing w:line="560" w:lineRule="exact"/>
        <w:outlineLvl w:val="2"/>
        <w:rPr>
          <w:rFonts w:eastAsia="仿宋"/>
          <w:b/>
          <w:bCs/>
          <w:sz w:val="32"/>
          <w:szCs w:val="32"/>
        </w:rPr>
      </w:pPr>
      <w:bookmarkStart w:id="15" w:name="_Toc55896176"/>
      <w:bookmarkStart w:id="16" w:name="_Toc54681472"/>
      <w:bookmarkStart w:id="17" w:name="_Toc54690947"/>
      <w:bookmarkStart w:id="18" w:name="_Toc54708199"/>
      <w:bookmarkStart w:id="19" w:name="_Toc55930870"/>
      <w:r>
        <w:rPr>
          <w:rFonts w:hint="eastAsia" w:eastAsia="仿宋"/>
          <w:b/>
          <w:bCs/>
          <w:sz w:val="32"/>
          <w:szCs w:val="32"/>
        </w:rPr>
        <w:t>（一）办理地</w:t>
      </w:r>
      <w:bookmarkEnd w:id="15"/>
      <w:bookmarkEnd w:id="16"/>
      <w:bookmarkEnd w:id="17"/>
      <w:bookmarkEnd w:id="18"/>
      <w:r>
        <w:rPr>
          <w:rFonts w:hint="eastAsia" w:eastAsia="仿宋"/>
          <w:b/>
          <w:bCs/>
          <w:sz w:val="32"/>
          <w:szCs w:val="32"/>
        </w:rPr>
        <w:t>点</w:t>
      </w:r>
      <w:bookmarkEnd w:id="19"/>
    </w:p>
    <w:p>
      <w:pPr>
        <w:spacing w:line="560" w:lineRule="exact"/>
        <w:rPr>
          <w:rFonts w:ascii="仿宋" w:hAnsi="仿宋" w:eastAsia="仿宋"/>
          <w:sz w:val="32"/>
          <w:szCs w:val="32"/>
        </w:rPr>
      </w:pPr>
      <w:bookmarkStart w:id="20" w:name="_Toc55896177"/>
      <w:bookmarkStart w:id="21" w:name="_Toc54708200"/>
      <w:bookmarkStart w:id="22" w:name="_Toc54681473"/>
      <w:bookmarkStart w:id="23" w:name="_Toc54690948"/>
      <w:r>
        <w:rPr>
          <w:rFonts w:hint="eastAsia" w:ascii="仿宋" w:hAnsi="仿宋" w:eastAsia="仿宋"/>
          <w:sz w:val="32"/>
          <w:szCs w:val="32"/>
        </w:rPr>
        <w:t>1、业务申请通过深交所基金业务专区网上提交</w:t>
      </w:r>
    </w:p>
    <w:p>
      <w:pPr>
        <w:spacing w:line="560" w:lineRule="exact"/>
        <w:rPr>
          <w:rFonts w:ascii="仿宋" w:hAnsi="仿宋" w:eastAsia="仿宋"/>
          <w:sz w:val="32"/>
          <w:szCs w:val="32"/>
        </w:rPr>
      </w:pPr>
      <w:r>
        <w:rPr>
          <w:rFonts w:hint="eastAsia" w:ascii="仿宋" w:hAnsi="仿宋" w:eastAsia="仿宋"/>
          <w:sz w:val="32"/>
          <w:szCs w:val="32"/>
        </w:rPr>
        <w:t>2、办公地址：深圳市福田区深南大道2012号深圳证券交易所19楼1906室</w:t>
      </w:r>
    </w:p>
    <w:p>
      <w:pPr>
        <w:keepNext/>
        <w:keepLines/>
        <w:spacing w:line="560" w:lineRule="exact"/>
        <w:outlineLvl w:val="2"/>
        <w:rPr>
          <w:rFonts w:eastAsia="仿宋"/>
          <w:b/>
          <w:bCs/>
          <w:sz w:val="32"/>
          <w:szCs w:val="32"/>
        </w:rPr>
      </w:pPr>
      <w:bookmarkStart w:id="24" w:name="_Toc55930871"/>
      <w:r>
        <w:rPr>
          <w:rFonts w:hint="eastAsia" w:eastAsia="仿宋"/>
          <w:b/>
          <w:bCs/>
          <w:sz w:val="32"/>
          <w:szCs w:val="32"/>
        </w:rPr>
        <w:t>（二）办理时间</w:t>
      </w:r>
      <w:bookmarkEnd w:id="20"/>
      <w:bookmarkEnd w:id="21"/>
      <w:bookmarkEnd w:id="22"/>
      <w:bookmarkEnd w:id="23"/>
      <w:bookmarkEnd w:id="24"/>
    </w:p>
    <w:p>
      <w:pPr>
        <w:spacing w:line="560" w:lineRule="exact"/>
        <w:rPr>
          <w:rFonts w:ascii="仿宋" w:hAnsi="仿宋" w:eastAsia="仿宋"/>
          <w:sz w:val="32"/>
          <w:szCs w:val="32"/>
        </w:rPr>
      </w:pPr>
      <w:r>
        <w:rPr>
          <w:rFonts w:hint="eastAsia" w:ascii="仿宋" w:hAnsi="仿宋" w:eastAsia="仿宋"/>
          <w:sz w:val="32"/>
          <w:szCs w:val="32"/>
        </w:rPr>
        <w:t>1、深交所基金业务专区系统运营时间为7×24小时</w:t>
      </w:r>
    </w:p>
    <w:p>
      <w:pPr>
        <w:spacing w:line="560" w:lineRule="exact"/>
        <w:rPr>
          <w:rFonts w:ascii="仿宋" w:hAnsi="仿宋" w:eastAsia="仿宋"/>
          <w:sz w:val="32"/>
          <w:szCs w:val="32"/>
        </w:rPr>
      </w:pPr>
      <w:r>
        <w:rPr>
          <w:rFonts w:hint="eastAsia" w:ascii="仿宋" w:hAnsi="仿宋" w:eastAsia="仿宋"/>
          <w:sz w:val="32"/>
          <w:szCs w:val="32"/>
        </w:rPr>
        <w:t>2、办公时间：周一至周五 8:30-11:30；13:30-17:00</w:t>
      </w:r>
    </w:p>
    <w:p>
      <w:pPr>
        <w:keepNext/>
        <w:keepLines/>
        <w:spacing w:line="560" w:lineRule="exact"/>
        <w:outlineLvl w:val="2"/>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934601"/>
      <w:docPartObj>
        <w:docPartGallery w:val="autotext"/>
      </w:docPartObj>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15A83"/>
    <w:rsid w:val="00084B2C"/>
    <w:rsid w:val="00097373"/>
    <w:rsid w:val="000B0A47"/>
    <w:rsid w:val="000D51B0"/>
    <w:rsid w:val="001240E3"/>
    <w:rsid w:val="001A47E7"/>
    <w:rsid w:val="001F3925"/>
    <w:rsid w:val="0020392E"/>
    <w:rsid w:val="00207932"/>
    <w:rsid w:val="00284D54"/>
    <w:rsid w:val="002B05ED"/>
    <w:rsid w:val="002F5206"/>
    <w:rsid w:val="00356F4C"/>
    <w:rsid w:val="00381146"/>
    <w:rsid w:val="003C4966"/>
    <w:rsid w:val="00411D74"/>
    <w:rsid w:val="004259B5"/>
    <w:rsid w:val="004516F0"/>
    <w:rsid w:val="004524F6"/>
    <w:rsid w:val="004A00D8"/>
    <w:rsid w:val="004B6376"/>
    <w:rsid w:val="0050199B"/>
    <w:rsid w:val="00507718"/>
    <w:rsid w:val="00547761"/>
    <w:rsid w:val="005B0041"/>
    <w:rsid w:val="005B264D"/>
    <w:rsid w:val="00614BEF"/>
    <w:rsid w:val="00617A53"/>
    <w:rsid w:val="00630475"/>
    <w:rsid w:val="0063239D"/>
    <w:rsid w:val="0065746F"/>
    <w:rsid w:val="006575F9"/>
    <w:rsid w:val="00681E03"/>
    <w:rsid w:val="00714090"/>
    <w:rsid w:val="00726026"/>
    <w:rsid w:val="00773A29"/>
    <w:rsid w:val="007A4313"/>
    <w:rsid w:val="007E03DB"/>
    <w:rsid w:val="007E75B0"/>
    <w:rsid w:val="007F4B2F"/>
    <w:rsid w:val="008604C6"/>
    <w:rsid w:val="008A124B"/>
    <w:rsid w:val="008A2870"/>
    <w:rsid w:val="008B7F57"/>
    <w:rsid w:val="008D3581"/>
    <w:rsid w:val="0092367E"/>
    <w:rsid w:val="0096037C"/>
    <w:rsid w:val="00975B90"/>
    <w:rsid w:val="00976ECB"/>
    <w:rsid w:val="00985F50"/>
    <w:rsid w:val="009A238B"/>
    <w:rsid w:val="009A754B"/>
    <w:rsid w:val="009A76F1"/>
    <w:rsid w:val="009B12A9"/>
    <w:rsid w:val="009C2A7B"/>
    <w:rsid w:val="009F5CA5"/>
    <w:rsid w:val="00A16285"/>
    <w:rsid w:val="00A75E43"/>
    <w:rsid w:val="00A80A65"/>
    <w:rsid w:val="00AC2493"/>
    <w:rsid w:val="00AD6478"/>
    <w:rsid w:val="00AF5701"/>
    <w:rsid w:val="00B13AC1"/>
    <w:rsid w:val="00B50259"/>
    <w:rsid w:val="00B70952"/>
    <w:rsid w:val="00B95BEA"/>
    <w:rsid w:val="00BB18B1"/>
    <w:rsid w:val="00BF4E48"/>
    <w:rsid w:val="00C842BA"/>
    <w:rsid w:val="00CA0441"/>
    <w:rsid w:val="00CA77A2"/>
    <w:rsid w:val="00CD147B"/>
    <w:rsid w:val="00CF24AA"/>
    <w:rsid w:val="00D205B4"/>
    <w:rsid w:val="00D479A2"/>
    <w:rsid w:val="00DA37E2"/>
    <w:rsid w:val="00DC1CFF"/>
    <w:rsid w:val="00DC4293"/>
    <w:rsid w:val="00E95350"/>
    <w:rsid w:val="00EB3F38"/>
    <w:rsid w:val="00EC123C"/>
    <w:rsid w:val="00ED28BF"/>
    <w:rsid w:val="00F662D6"/>
    <w:rsid w:val="00F748C5"/>
    <w:rsid w:val="00FB382D"/>
    <w:rsid w:val="05E4043B"/>
    <w:rsid w:val="0CCD4CCD"/>
    <w:rsid w:val="11640FFB"/>
    <w:rsid w:val="249A4E03"/>
    <w:rsid w:val="2BE575AC"/>
    <w:rsid w:val="2EF73124"/>
    <w:rsid w:val="4987736F"/>
    <w:rsid w:val="60D809D4"/>
    <w:rsid w:val="63C6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3"/>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标题 2 Char"/>
    <w:basedOn w:val="14"/>
    <w:link w:val="3"/>
    <w:qFormat/>
    <w:uiPriority w:val="9"/>
    <w:rPr>
      <w:rFonts w:eastAsia="黑体" w:asciiTheme="majorHAnsi" w:hAnsiTheme="majorHAnsi" w:cstheme="majorBidi"/>
      <w:bCs/>
      <w:sz w:val="32"/>
      <w:szCs w:val="32"/>
    </w:rPr>
  </w:style>
  <w:style w:type="character" w:customStyle="1" w:styleId="23">
    <w:name w:val="标题 3 Char"/>
    <w:basedOn w:val="14"/>
    <w:link w:val="4"/>
    <w:qFormat/>
    <w:uiPriority w:val="9"/>
    <w:rPr>
      <w:rFonts w:eastAsia="仿宋"/>
      <w:b/>
      <w:bCs/>
      <w:sz w:val="32"/>
      <w:szCs w:val="32"/>
    </w:rPr>
  </w:style>
  <w:style w:type="character" w:customStyle="1" w:styleId="24">
    <w:name w:val="标题 1 Char"/>
    <w:basedOn w:val="14"/>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61D0-0504-4885-A380-1D4AFEAF2AE5}">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307</Words>
  <Characters>1754</Characters>
  <Lines>14</Lines>
  <Paragraphs>4</Paragraphs>
  <TotalTime>0</TotalTime>
  <ScaleCrop>false</ScaleCrop>
  <LinksUpToDate>false</LinksUpToDate>
  <CharactersWithSpaces>2057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2020-10-15T01:53:00Z</dcterms:created>
  <dc:creator>张畅[zhangchang]</dc:creator>
  <cp:lastModifiedBy>xxfb01</cp:lastModifiedBy>
  <cp:lastPrinted>2020-10-15T08:19:00Z</cp:lastPrinted>
  <dcterms:modified xsi:type="dcterms:W3CDTF">2024-06-19T02:23:47Z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5BB9DD3ACD5B4EB293CDA6541D977FE6</vt:lpwstr>
  </property>
</Properties>
</file>