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spacing w:line="560" w:lineRule="exact"/>
        <w:jc w:val="center"/>
        <w:rPr>
          <w:rFonts w:ascii="Times New Roman" w:hAnsi="Times New Roman" w:eastAsia="方正小标宋简体" w:cs="Times New Roman"/>
          <w:sz w:val="44"/>
          <w:szCs w:val="44"/>
        </w:rPr>
      </w:pPr>
    </w:p>
    <w:p>
      <w:pPr>
        <w:spacing w:line="56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监管服务事项</w:t>
      </w:r>
      <w:r>
        <w:rPr>
          <w:rFonts w:hint="eastAsia" w:ascii="Times New Roman" w:hAnsi="Times New Roman" w:eastAsia="方正小标宋简体" w:cs="Times New Roman"/>
          <w:sz w:val="44"/>
          <w:szCs w:val="44"/>
        </w:rPr>
        <w:t>办事</w:t>
      </w:r>
      <w:r>
        <w:rPr>
          <w:rFonts w:ascii="Times New Roman" w:hAnsi="Times New Roman" w:eastAsia="方正小标宋简体" w:cs="Times New Roman"/>
          <w:sz w:val="44"/>
          <w:szCs w:val="44"/>
        </w:rPr>
        <w:t>指南</w:t>
      </w:r>
    </w:p>
    <w:p>
      <w:pPr>
        <w:spacing w:line="560" w:lineRule="exact"/>
        <w:jc w:val="center"/>
        <w:rPr>
          <w:rFonts w:ascii="Times New Roman" w:hAnsi="Times New Roman" w:eastAsia="仿宋" w:cs="Times New Roman"/>
          <w:b/>
          <w:sz w:val="44"/>
          <w:szCs w:val="44"/>
        </w:rPr>
      </w:pPr>
      <w:r>
        <w:rPr>
          <w:rFonts w:hint="eastAsia" w:ascii="Times New Roman" w:hAnsi="Times New Roman" w:eastAsia="仿宋" w:cs="Times New Roman"/>
          <w:b/>
          <w:sz w:val="44"/>
          <w:szCs w:val="44"/>
          <w:lang w:eastAsia="zh-CN"/>
        </w:rPr>
        <w:t>互联互通全球存托凭证存托人</w:t>
      </w:r>
      <w:r>
        <w:rPr>
          <w:rFonts w:ascii="Times New Roman" w:hAnsi="Times New Roman" w:eastAsia="仿宋" w:cs="Times New Roman"/>
          <w:b/>
          <w:sz w:val="44"/>
          <w:szCs w:val="44"/>
        </w:rPr>
        <w:t>业务办理</w:t>
      </w:r>
    </w:p>
    <w:p>
      <w:pPr>
        <w:spacing w:line="560" w:lineRule="exact"/>
        <w:jc w:val="center"/>
        <w:rPr>
          <w:rFonts w:ascii="Times New Roman" w:hAnsi="Times New Roman" w:eastAsia="黑体" w:cs="Times New Roman"/>
          <w:sz w:val="32"/>
          <w:szCs w:val="32"/>
        </w:rPr>
      </w:pPr>
    </w:p>
    <w:p>
      <w:pPr>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黑体" w:hAnsi="黑体" w:eastAsia="黑体" w:cs="黑体"/>
          <w:sz w:val="32"/>
          <w:szCs w:val="32"/>
        </w:rPr>
      </w:pPr>
      <w:r>
        <w:rPr>
          <w:rFonts w:hint="eastAsia" w:ascii="黑体" w:hAnsi="黑体" w:eastAsia="黑体" w:cs="黑体"/>
          <w:sz w:val="32"/>
          <w:szCs w:val="32"/>
        </w:rPr>
        <w:t>目录</w:t>
      </w:r>
    </w:p>
    <w:p>
      <w:pPr>
        <w:pageBreakBefore w:val="0"/>
        <w:widowControl w:val="0"/>
        <w:kinsoku/>
        <w:wordWrap/>
        <w:overflowPunct/>
        <w:topLinePunct w:val="0"/>
        <w:autoSpaceDE/>
        <w:autoSpaceDN/>
        <w:bidi w:val="0"/>
        <w:adjustRightInd w:val="0"/>
        <w:snapToGrid w:val="0"/>
        <w:spacing w:line="240" w:lineRule="auto"/>
        <w:jc w:val="both"/>
        <w:textAlignment w:val="auto"/>
        <w:rPr>
          <w:rFonts w:hint="eastAsia" w:ascii="仿宋" w:hAnsi="仿宋" w:eastAsia="仿宋" w:cs="仿宋"/>
          <w:sz w:val="28"/>
          <w:szCs w:val="28"/>
        </w:rPr>
      </w:pP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TOC \o "1-3" \h \z \u </w:instrText>
      </w:r>
      <w:r>
        <w:rPr>
          <w:rFonts w:hint="eastAsia" w:ascii="仿宋" w:hAnsi="仿宋" w:eastAsia="仿宋" w:cs="仿宋"/>
          <w:sz w:val="28"/>
          <w:szCs w:val="28"/>
        </w:rPr>
        <w:fldChar w:fldCharType="separate"/>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_Toc27663 </w:instrText>
      </w:r>
      <w:r>
        <w:rPr>
          <w:rFonts w:hint="eastAsia" w:ascii="仿宋" w:hAnsi="仿宋" w:eastAsia="仿宋" w:cs="仿宋"/>
          <w:sz w:val="28"/>
          <w:szCs w:val="28"/>
        </w:rPr>
        <w:fldChar w:fldCharType="separate"/>
      </w:r>
      <w:r>
        <w:rPr>
          <w:rFonts w:hint="eastAsia" w:ascii="仿宋" w:hAnsi="仿宋" w:eastAsia="仿宋" w:cs="仿宋"/>
          <w:sz w:val="28"/>
          <w:szCs w:val="28"/>
        </w:rPr>
        <w:t>一、事项名称</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_Toc27663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_Toc15374 </w:instrText>
      </w:r>
      <w:r>
        <w:rPr>
          <w:rFonts w:hint="eastAsia" w:ascii="仿宋" w:hAnsi="仿宋" w:eastAsia="仿宋" w:cs="仿宋"/>
          <w:sz w:val="28"/>
          <w:szCs w:val="28"/>
        </w:rPr>
        <w:fldChar w:fldCharType="separate"/>
      </w:r>
      <w:r>
        <w:rPr>
          <w:rFonts w:hint="eastAsia" w:ascii="仿宋" w:hAnsi="仿宋" w:eastAsia="仿宋" w:cs="仿宋"/>
          <w:sz w:val="28"/>
          <w:szCs w:val="28"/>
        </w:rPr>
        <w:t>二、规则依据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_Toc15374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_Toc7582 </w:instrText>
      </w:r>
      <w:r>
        <w:rPr>
          <w:rFonts w:hint="eastAsia" w:ascii="仿宋" w:hAnsi="仿宋" w:eastAsia="仿宋" w:cs="仿宋"/>
          <w:sz w:val="28"/>
          <w:szCs w:val="28"/>
        </w:rPr>
        <w:fldChar w:fldCharType="separate"/>
      </w:r>
      <w:r>
        <w:rPr>
          <w:rFonts w:hint="eastAsia" w:ascii="仿宋" w:hAnsi="仿宋" w:eastAsia="仿宋" w:cs="仿宋"/>
          <w:sz w:val="28"/>
          <w:szCs w:val="28"/>
        </w:rPr>
        <w:t>三、受理部门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_Toc7582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_Toc24761 </w:instrText>
      </w:r>
      <w:r>
        <w:rPr>
          <w:rFonts w:hint="eastAsia" w:ascii="仿宋" w:hAnsi="仿宋" w:eastAsia="仿宋" w:cs="仿宋"/>
          <w:sz w:val="28"/>
          <w:szCs w:val="28"/>
        </w:rPr>
        <w:fldChar w:fldCharType="separate"/>
      </w:r>
      <w:r>
        <w:rPr>
          <w:rFonts w:hint="eastAsia" w:ascii="仿宋" w:hAnsi="仿宋" w:eastAsia="仿宋" w:cs="仿宋"/>
          <w:sz w:val="28"/>
          <w:szCs w:val="28"/>
        </w:rPr>
        <w:t>四、办理部门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_Toc24761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_Toc2741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五</w:t>
      </w:r>
      <w:r>
        <w:rPr>
          <w:rFonts w:hint="eastAsia" w:ascii="仿宋" w:hAnsi="仿宋" w:eastAsia="仿宋" w:cs="仿宋"/>
          <w:sz w:val="28"/>
          <w:szCs w:val="28"/>
        </w:rPr>
        <w:t>、办理时限</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_Toc2741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_Toc29379 </w:instrText>
      </w:r>
      <w:r>
        <w:rPr>
          <w:rFonts w:hint="eastAsia" w:ascii="仿宋" w:hAnsi="仿宋" w:eastAsia="仿宋" w:cs="仿宋"/>
          <w:sz w:val="28"/>
          <w:szCs w:val="28"/>
        </w:rPr>
        <w:fldChar w:fldCharType="separate"/>
      </w:r>
      <w:r>
        <w:rPr>
          <w:rFonts w:hint="eastAsia" w:ascii="仿宋" w:hAnsi="仿宋" w:eastAsia="仿宋" w:cs="仿宋"/>
          <w:sz w:val="28"/>
          <w:szCs w:val="28"/>
        </w:rPr>
        <w:t>六、 办理情形和条件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_Toc29379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_Toc2243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 xml:space="preserve">（一） </w:t>
      </w:r>
      <w:r>
        <w:rPr>
          <w:rFonts w:hint="eastAsia" w:ascii="仿宋" w:hAnsi="仿宋" w:eastAsia="仿宋" w:cs="仿宋"/>
          <w:sz w:val="28"/>
          <w:szCs w:val="28"/>
        </w:rPr>
        <w:t>存托人备案</w:t>
      </w:r>
      <w:r>
        <w:rPr>
          <w:rFonts w:hint="eastAsia" w:ascii="仿宋" w:hAnsi="仿宋" w:eastAsia="仿宋" w:cs="仿宋"/>
          <w:sz w:val="28"/>
          <w:szCs w:val="28"/>
          <w:lang w:eastAsia="zh-CN"/>
        </w:rPr>
        <w:t>申请</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_Toc2243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_Toc7097 </w:instrText>
      </w:r>
      <w:r>
        <w:rPr>
          <w:rFonts w:hint="eastAsia" w:ascii="仿宋" w:hAnsi="仿宋" w:eastAsia="仿宋" w:cs="仿宋"/>
          <w:sz w:val="28"/>
          <w:szCs w:val="28"/>
        </w:rPr>
        <w:fldChar w:fldCharType="separate"/>
      </w:r>
      <w:r>
        <w:rPr>
          <w:rFonts w:hint="eastAsia" w:ascii="仿宋" w:hAnsi="仿宋" w:eastAsia="仿宋" w:cs="仿宋"/>
          <w:sz w:val="28"/>
          <w:szCs w:val="28"/>
          <w:lang w:val="en-US" w:eastAsia="zh-CN"/>
        </w:rPr>
        <w:t>（二） 存托人持续管理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_Toc7097 \h </w:instrText>
      </w:r>
      <w:r>
        <w:rPr>
          <w:rFonts w:hint="eastAsia" w:ascii="仿宋" w:hAnsi="仿宋" w:eastAsia="仿宋" w:cs="仿宋"/>
          <w:sz w:val="28"/>
          <w:szCs w:val="28"/>
        </w:rPr>
        <w:fldChar w:fldCharType="separate"/>
      </w:r>
      <w:r>
        <w:rPr>
          <w:rFonts w:hint="eastAsia" w:ascii="仿宋" w:hAnsi="仿宋" w:eastAsia="仿宋" w:cs="仿宋"/>
          <w:sz w:val="28"/>
          <w:szCs w:val="28"/>
        </w:rPr>
        <w:t>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_Toc26024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七、</w:t>
      </w:r>
      <w:r>
        <w:rPr>
          <w:rFonts w:hint="eastAsia" w:ascii="仿宋" w:hAnsi="仿宋" w:eastAsia="仿宋" w:cs="仿宋"/>
          <w:sz w:val="28"/>
          <w:szCs w:val="28"/>
        </w:rPr>
        <w:t>办理材料清单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_Toc26024 \h </w:instrText>
      </w:r>
      <w:r>
        <w:rPr>
          <w:rFonts w:hint="eastAsia" w:ascii="仿宋" w:hAnsi="仿宋" w:eastAsia="仿宋" w:cs="仿宋"/>
          <w:sz w:val="28"/>
          <w:szCs w:val="28"/>
        </w:rPr>
        <w:fldChar w:fldCharType="separate"/>
      </w:r>
      <w:r>
        <w:rPr>
          <w:rFonts w:hint="eastAsia" w:ascii="仿宋" w:hAnsi="仿宋" w:eastAsia="仿宋" w:cs="仿宋"/>
          <w:sz w:val="28"/>
          <w:szCs w:val="28"/>
        </w:rPr>
        <w:t>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_Toc14932 </w:instrText>
      </w:r>
      <w:r>
        <w:rPr>
          <w:rFonts w:hint="eastAsia" w:ascii="仿宋" w:hAnsi="仿宋" w:eastAsia="仿宋" w:cs="仿宋"/>
          <w:sz w:val="28"/>
          <w:szCs w:val="28"/>
        </w:rPr>
        <w:fldChar w:fldCharType="separate"/>
      </w:r>
      <w:r>
        <w:rPr>
          <w:rFonts w:hint="eastAsia" w:ascii="仿宋" w:hAnsi="仿宋" w:eastAsia="仿宋" w:cs="仿宋"/>
          <w:bCs w:val="0"/>
          <w:sz w:val="28"/>
          <w:szCs w:val="28"/>
        </w:rPr>
        <w:t>（一）</w:t>
      </w:r>
      <w:r>
        <w:rPr>
          <w:rFonts w:hint="eastAsia" w:ascii="仿宋" w:hAnsi="仿宋" w:eastAsia="仿宋" w:cs="仿宋"/>
          <w:bCs w:val="0"/>
          <w:sz w:val="28"/>
          <w:szCs w:val="28"/>
          <w:lang w:eastAsia="zh-CN"/>
        </w:rPr>
        <w:t>存托人</w:t>
      </w:r>
      <w:r>
        <w:rPr>
          <w:rFonts w:hint="eastAsia" w:ascii="仿宋" w:hAnsi="仿宋" w:eastAsia="仿宋" w:cs="仿宋"/>
          <w:bCs w:val="0"/>
          <w:sz w:val="28"/>
          <w:szCs w:val="28"/>
        </w:rPr>
        <w:t>备案</w:t>
      </w:r>
      <w:r>
        <w:rPr>
          <w:rFonts w:hint="eastAsia" w:ascii="仿宋" w:hAnsi="仿宋" w:eastAsia="仿宋" w:cs="仿宋"/>
          <w:bCs w:val="0"/>
          <w:sz w:val="28"/>
          <w:szCs w:val="28"/>
          <w:lang w:eastAsia="zh-CN"/>
        </w:rPr>
        <w:t>申请文件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_Toc14932 \h </w:instrText>
      </w:r>
      <w:r>
        <w:rPr>
          <w:rFonts w:hint="eastAsia" w:ascii="仿宋" w:hAnsi="仿宋" w:eastAsia="仿宋" w:cs="仿宋"/>
          <w:sz w:val="28"/>
          <w:szCs w:val="28"/>
        </w:rPr>
        <w:fldChar w:fldCharType="separate"/>
      </w:r>
      <w:r>
        <w:rPr>
          <w:rFonts w:hint="eastAsia" w:ascii="仿宋" w:hAnsi="仿宋" w:eastAsia="仿宋" w:cs="仿宋"/>
          <w:sz w:val="28"/>
          <w:szCs w:val="28"/>
        </w:rPr>
        <w:t>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_Toc13330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（二）</w:t>
      </w:r>
      <w:r>
        <w:rPr>
          <w:rFonts w:hint="eastAsia" w:ascii="仿宋" w:hAnsi="仿宋" w:eastAsia="仿宋" w:cs="仿宋"/>
          <w:sz w:val="28"/>
          <w:szCs w:val="28"/>
          <w:lang w:val="en-US" w:eastAsia="zh-CN"/>
        </w:rPr>
        <w:t>存托人持续管理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_Toc13330 \h </w:instrText>
      </w:r>
      <w:r>
        <w:rPr>
          <w:rFonts w:hint="eastAsia" w:ascii="仿宋" w:hAnsi="仿宋" w:eastAsia="仿宋" w:cs="仿宋"/>
          <w:sz w:val="28"/>
          <w:szCs w:val="28"/>
        </w:rPr>
        <w:fldChar w:fldCharType="separate"/>
      </w:r>
      <w:r>
        <w:rPr>
          <w:rFonts w:hint="eastAsia" w:ascii="仿宋" w:hAnsi="仿宋" w:eastAsia="仿宋" w:cs="仿宋"/>
          <w:sz w:val="28"/>
          <w:szCs w:val="28"/>
        </w:rPr>
        <w:t>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_Toc29187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八</w:t>
      </w:r>
      <w:r>
        <w:rPr>
          <w:rFonts w:hint="eastAsia" w:ascii="仿宋" w:hAnsi="仿宋" w:eastAsia="仿宋" w:cs="仿宋"/>
          <w:sz w:val="28"/>
          <w:szCs w:val="28"/>
        </w:rPr>
        <w:t>、材料接收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_Toc29187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_Toc16227 </w:instrText>
      </w:r>
      <w:r>
        <w:rPr>
          <w:rFonts w:hint="eastAsia" w:ascii="仿宋" w:hAnsi="仿宋" w:eastAsia="仿宋" w:cs="仿宋"/>
          <w:sz w:val="28"/>
          <w:szCs w:val="28"/>
        </w:rPr>
        <w:fldChar w:fldCharType="separate"/>
      </w:r>
      <w:r>
        <w:rPr>
          <w:rFonts w:hint="eastAsia" w:ascii="仿宋" w:hAnsi="仿宋" w:eastAsia="仿宋" w:cs="仿宋"/>
          <w:sz w:val="28"/>
          <w:szCs w:val="28"/>
          <w:lang w:eastAsia="zh-CN"/>
        </w:rPr>
        <w:t>九</w:t>
      </w:r>
      <w:r>
        <w:rPr>
          <w:rFonts w:hint="eastAsia" w:ascii="仿宋" w:hAnsi="仿宋" w:eastAsia="仿宋" w:cs="仿宋"/>
          <w:sz w:val="28"/>
          <w:szCs w:val="28"/>
        </w:rPr>
        <w:t>、办理流</w:t>
      </w:r>
      <w:r>
        <w:rPr>
          <w:rFonts w:hint="eastAsia" w:ascii="仿宋" w:hAnsi="仿宋" w:eastAsia="仿宋" w:cs="仿宋"/>
          <w:sz w:val="28"/>
          <w:szCs w:val="28"/>
          <w:lang w:eastAsia="zh-CN"/>
        </w:rPr>
        <w:t>程</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_Toc16227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_Toc26528 </w:instrText>
      </w:r>
      <w:r>
        <w:rPr>
          <w:rFonts w:hint="eastAsia" w:ascii="仿宋" w:hAnsi="仿宋" w:eastAsia="仿宋" w:cs="仿宋"/>
          <w:sz w:val="28"/>
          <w:szCs w:val="28"/>
        </w:rPr>
        <w:fldChar w:fldCharType="separate"/>
      </w:r>
      <w:r>
        <w:rPr>
          <w:rFonts w:hint="eastAsia" w:ascii="仿宋" w:hAnsi="仿宋" w:eastAsia="仿宋" w:cs="仿宋"/>
          <w:sz w:val="28"/>
          <w:szCs w:val="28"/>
        </w:rPr>
        <w:t>十、办理结果及送达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_Toc26528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_Toc3070 </w:instrText>
      </w:r>
      <w:r>
        <w:rPr>
          <w:rFonts w:hint="eastAsia" w:ascii="仿宋" w:hAnsi="仿宋" w:eastAsia="仿宋" w:cs="仿宋"/>
          <w:sz w:val="28"/>
          <w:szCs w:val="28"/>
        </w:rPr>
        <w:fldChar w:fldCharType="separate"/>
      </w:r>
      <w:r>
        <w:rPr>
          <w:rFonts w:hint="eastAsia" w:ascii="仿宋" w:hAnsi="仿宋" w:eastAsia="仿宋" w:cs="仿宋"/>
          <w:sz w:val="28"/>
          <w:szCs w:val="28"/>
        </w:rPr>
        <w:t>十</w:t>
      </w:r>
      <w:r>
        <w:rPr>
          <w:rFonts w:hint="eastAsia" w:ascii="仿宋" w:hAnsi="仿宋" w:eastAsia="仿宋" w:cs="仿宋"/>
          <w:sz w:val="28"/>
          <w:szCs w:val="28"/>
          <w:lang w:eastAsia="zh-CN"/>
        </w:rPr>
        <w:t>一</w:t>
      </w:r>
      <w:r>
        <w:rPr>
          <w:rFonts w:hint="eastAsia" w:ascii="仿宋" w:hAnsi="仿宋" w:eastAsia="仿宋" w:cs="仿宋"/>
          <w:sz w:val="28"/>
          <w:szCs w:val="28"/>
        </w:rPr>
        <w:t>、咨询途径</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_Toc3070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0" w:leftChars="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_Toc7442 </w:instrText>
      </w:r>
      <w:r>
        <w:rPr>
          <w:rFonts w:hint="eastAsia" w:ascii="仿宋" w:hAnsi="仿宋" w:eastAsia="仿宋" w:cs="仿宋"/>
          <w:sz w:val="28"/>
          <w:szCs w:val="28"/>
        </w:rPr>
        <w:fldChar w:fldCharType="separate"/>
      </w:r>
      <w:r>
        <w:rPr>
          <w:rFonts w:hint="eastAsia" w:ascii="仿宋" w:hAnsi="仿宋" w:eastAsia="仿宋" w:cs="仿宋"/>
          <w:sz w:val="28"/>
          <w:szCs w:val="28"/>
        </w:rPr>
        <w:t>十</w:t>
      </w:r>
      <w:r>
        <w:rPr>
          <w:rFonts w:hint="eastAsia" w:ascii="仿宋" w:hAnsi="仿宋" w:eastAsia="仿宋" w:cs="仿宋"/>
          <w:sz w:val="28"/>
          <w:szCs w:val="28"/>
          <w:lang w:eastAsia="zh-CN"/>
        </w:rPr>
        <w:t>二</w:t>
      </w:r>
      <w:r>
        <w:rPr>
          <w:rFonts w:hint="eastAsia" w:ascii="仿宋" w:hAnsi="仿宋" w:eastAsia="仿宋" w:cs="仿宋"/>
          <w:sz w:val="28"/>
          <w:szCs w:val="28"/>
        </w:rPr>
        <w:t>、办公地址和时间</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_Toc7442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_Toc12033 </w:instrText>
      </w:r>
      <w:r>
        <w:rPr>
          <w:rFonts w:hint="eastAsia" w:ascii="仿宋" w:hAnsi="仿宋" w:eastAsia="仿宋" w:cs="仿宋"/>
          <w:sz w:val="28"/>
          <w:szCs w:val="28"/>
        </w:rPr>
        <w:fldChar w:fldCharType="separate"/>
      </w:r>
      <w:r>
        <w:rPr>
          <w:rFonts w:hint="eastAsia" w:ascii="仿宋" w:hAnsi="仿宋" w:eastAsia="仿宋" w:cs="仿宋"/>
          <w:bCs w:val="0"/>
          <w:sz w:val="28"/>
          <w:szCs w:val="28"/>
        </w:rPr>
        <w:t>（一）办公地址</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_Toc12033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10"/>
        <w:pageBreakBefore w:val="0"/>
        <w:widowControl w:val="0"/>
        <w:tabs>
          <w:tab w:val="right" w:leader="dot" w:pos="8306"/>
        </w:tabs>
        <w:kinsoku/>
        <w:wordWrap/>
        <w:overflowPunct/>
        <w:topLinePunct w:val="0"/>
        <w:autoSpaceDE/>
        <w:autoSpaceDN/>
        <w:bidi w:val="0"/>
        <w:snapToGrid w:val="0"/>
        <w:spacing w:line="400" w:lineRule="exact"/>
        <w:ind w:left="420" w:leftChars="200"/>
        <w:textAlignment w:val="auto"/>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_Toc10912 </w:instrText>
      </w:r>
      <w:r>
        <w:rPr>
          <w:rFonts w:hint="eastAsia" w:ascii="仿宋" w:hAnsi="仿宋" w:eastAsia="仿宋" w:cs="仿宋"/>
          <w:sz w:val="28"/>
          <w:szCs w:val="28"/>
        </w:rPr>
        <w:fldChar w:fldCharType="separate"/>
      </w:r>
      <w:r>
        <w:rPr>
          <w:rFonts w:hint="eastAsia" w:ascii="仿宋" w:hAnsi="仿宋" w:eastAsia="仿宋" w:cs="仿宋"/>
          <w:bCs w:val="0"/>
          <w:sz w:val="28"/>
          <w:szCs w:val="28"/>
        </w:rPr>
        <w:t>（二）办公时间</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_Toc10912 \h </w:instrText>
      </w:r>
      <w:r>
        <w:rPr>
          <w:rFonts w:hint="eastAsia" w:ascii="仿宋" w:hAnsi="仿宋" w:eastAsia="仿宋" w:cs="仿宋"/>
          <w:sz w:val="28"/>
          <w:szCs w:val="28"/>
        </w:rPr>
        <w:fldChar w:fldCharType="separate"/>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
        <w:pageBreakBefore w:val="0"/>
        <w:widowControl w:val="0"/>
        <w:kinsoku/>
        <w:wordWrap/>
        <w:overflowPunct/>
        <w:topLinePunct w:val="0"/>
        <w:autoSpaceDE/>
        <w:autoSpaceDN/>
        <w:bidi w:val="0"/>
        <w:adjustRightInd w:val="0"/>
        <w:snapToGrid w:val="0"/>
        <w:spacing w:line="400" w:lineRule="exact"/>
        <w:ind w:left="0" w:leftChars="0"/>
        <w:textAlignment w:val="auto"/>
        <w:rPr>
          <w:rFonts w:hint="eastAsia" w:ascii="仿宋" w:hAnsi="仿宋" w:eastAsia="仿宋" w:cs="仿宋"/>
          <w:sz w:val="28"/>
          <w:szCs w:val="28"/>
        </w:rPr>
        <w:sectPr>
          <w:footerReference r:id="rId3" w:type="default"/>
          <w:pgSz w:w="11906" w:h="16838"/>
          <w:pgMar w:top="1440" w:right="1800" w:bottom="1440" w:left="1800" w:header="851" w:footer="992" w:gutter="0"/>
          <w:pgNumType w:start="1"/>
          <w:cols w:space="425" w:num="1"/>
          <w:docGrid w:type="lines" w:linePitch="312" w:charSpace="0"/>
        </w:sectPr>
      </w:pPr>
      <w:r>
        <w:rPr>
          <w:rFonts w:hint="eastAsia" w:ascii="仿宋" w:hAnsi="仿宋" w:eastAsia="仿宋" w:cs="仿宋"/>
          <w:sz w:val="28"/>
          <w:szCs w:val="28"/>
        </w:rPr>
        <w:fldChar w:fldCharType="end"/>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0" w:name="_Toc27663"/>
      <w:r>
        <w:rPr>
          <w:rFonts w:ascii="Times New Roman" w:hAnsi="Times New Roman" w:cs="Times New Roman"/>
        </w:rPr>
        <w:t>一、事项名称</w:t>
      </w:r>
      <w:bookmarkEnd w:id="0"/>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互联互通全球存托凭证</w:t>
      </w:r>
      <w:r>
        <w:rPr>
          <w:rFonts w:hint="eastAsia" w:ascii="Times New Roman" w:hAnsi="Times New Roman" w:eastAsia="仿宋" w:cs="Times New Roman"/>
          <w:sz w:val="32"/>
          <w:szCs w:val="32"/>
          <w:lang w:eastAsia="zh-CN"/>
        </w:rPr>
        <w:t>存托人</w:t>
      </w:r>
      <w:r>
        <w:rPr>
          <w:rFonts w:hint="eastAsia" w:ascii="Times New Roman" w:hAnsi="Times New Roman" w:eastAsia="仿宋" w:cs="Times New Roman"/>
          <w:sz w:val="32"/>
          <w:szCs w:val="32"/>
        </w:rPr>
        <w:t>业务办理</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1" w:name="_Toc15374"/>
      <w:r>
        <w:rPr>
          <w:rFonts w:ascii="Times New Roman" w:hAnsi="Times New Roman" w:cs="Times New Roman"/>
        </w:rPr>
        <w:t>二、规则依据</w:t>
      </w:r>
      <w:bookmarkEnd w:id="1"/>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ascii="Times New Roman" w:hAnsi="Times New Roman" w:eastAsia="仿宋" w:cs="Times New Roman"/>
          <w:sz w:val="32"/>
          <w:szCs w:val="32"/>
        </w:rPr>
        <w:t>《</w:t>
      </w:r>
      <w:r>
        <w:rPr>
          <w:rFonts w:hint="eastAsia" w:ascii="Times New Roman" w:hAnsi="Times New Roman" w:eastAsia="仿宋" w:cs="Times New Roman"/>
          <w:sz w:val="32"/>
          <w:szCs w:val="32"/>
        </w:rPr>
        <w:t>深圳证券交易所与境外证券交易所互联互通存托凭证上市交易暂行办法</w:t>
      </w:r>
      <w:r>
        <w:rPr>
          <w:rFonts w:ascii="Times New Roman" w:hAnsi="Times New Roman" w:eastAsia="仿宋" w:cs="Times New Roman"/>
          <w:sz w:val="32"/>
          <w:szCs w:val="32"/>
        </w:rPr>
        <w:t>》</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ascii="Times New Roman" w:hAnsi="Times New Roman" w:eastAsia="仿宋" w:cs="Times New Roman"/>
          <w:sz w:val="32"/>
          <w:szCs w:val="32"/>
        </w:rPr>
        <w:t>《</w:t>
      </w:r>
      <w:r>
        <w:rPr>
          <w:rFonts w:hint="eastAsia" w:ascii="Times New Roman" w:hAnsi="Times New Roman" w:eastAsia="仿宋" w:cs="Times New Roman"/>
          <w:sz w:val="32"/>
          <w:szCs w:val="32"/>
        </w:rPr>
        <w:t>深圳证券交易所互联互通存托凭证业务指引第1号——存托凭证跨境转换</w:t>
      </w:r>
      <w:r>
        <w:rPr>
          <w:rFonts w:ascii="Times New Roman" w:hAnsi="Times New Roman" w:eastAsia="仿宋" w:cs="Times New Roman"/>
          <w:sz w:val="32"/>
          <w:szCs w:val="32"/>
        </w:rPr>
        <w:t>》</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ascii="Times New Roman" w:hAnsi="Times New Roman" w:eastAsia="仿宋" w:cs="Times New Roman"/>
          <w:sz w:val="32"/>
          <w:szCs w:val="32"/>
        </w:rPr>
        <w:t>《</w:t>
      </w:r>
      <w:r>
        <w:rPr>
          <w:rFonts w:hint="eastAsia" w:ascii="Times New Roman" w:hAnsi="Times New Roman" w:eastAsia="仿宋" w:cs="Times New Roman"/>
          <w:sz w:val="32"/>
          <w:szCs w:val="32"/>
        </w:rPr>
        <w:t>深圳证券交易所互联互通存托凭证业务指南第1号——全球存托凭证跨境转换</w:t>
      </w:r>
      <w:r>
        <w:rPr>
          <w:rFonts w:ascii="Times New Roman" w:hAnsi="Times New Roman" w:eastAsia="仿宋" w:cs="Times New Roman"/>
          <w:sz w:val="32"/>
          <w:szCs w:val="32"/>
        </w:rPr>
        <w:t>》</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2" w:name="_Toc7582"/>
      <w:r>
        <w:rPr>
          <w:rFonts w:ascii="Times New Roman" w:hAnsi="Times New Roman" w:cs="Times New Roman"/>
        </w:rPr>
        <w:t>三、受理部门</w:t>
      </w:r>
      <w:bookmarkEnd w:id="2"/>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ascii="Times New Roman" w:hAnsi="Times New Roman" w:eastAsia="仿宋" w:cs="Times New Roman"/>
          <w:sz w:val="32"/>
          <w:szCs w:val="32"/>
        </w:rPr>
        <w:t>深圳证券交易所会员管理部</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3" w:name="_Toc24761"/>
      <w:r>
        <w:rPr>
          <w:rFonts w:ascii="Times New Roman" w:hAnsi="Times New Roman" w:cs="Times New Roman"/>
        </w:rPr>
        <w:t>四、办理部门</w:t>
      </w:r>
      <w:bookmarkEnd w:id="3"/>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ascii="Times New Roman" w:hAnsi="Times New Roman" w:eastAsia="仿宋" w:cs="Times New Roman"/>
          <w:sz w:val="32"/>
          <w:szCs w:val="32"/>
        </w:rPr>
        <w:t>深圳证券交易所会员管理部</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4" w:name="_Toc2741"/>
      <w:r>
        <w:rPr>
          <w:rFonts w:hint="eastAsia" w:ascii="Times New Roman" w:hAnsi="Times New Roman" w:cs="Times New Roman"/>
          <w:lang w:eastAsia="zh-CN"/>
        </w:rPr>
        <w:t>五</w:t>
      </w:r>
      <w:r>
        <w:rPr>
          <w:rFonts w:ascii="Times New Roman" w:hAnsi="Times New Roman" w:cs="Times New Roman"/>
        </w:rPr>
        <w:t>、办理时限</w:t>
      </w:r>
      <w:bookmarkEnd w:id="4"/>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 w:hAnsi="仿宋" w:eastAsia="仿宋" w:cs="Times New Roman"/>
          <w:sz w:val="32"/>
          <w:szCs w:val="32"/>
        </w:rPr>
      </w:pPr>
      <w:r>
        <w:rPr>
          <w:rFonts w:hint="eastAsia" w:ascii="仿宋" w:hAnsi="仿宋" w:eastAsia="仿宋" w:cs="Times New Roman"/>
          <w:sz w:val="32"/>
          <w:szCs w:val="32"/>
          <w:lang w:eastAsia="zh-CN"/>
        </w:rPr>
        <w:t>存托人备案办理时限为自收到完备材料之日起</w:t>
      </w:r>
      <w:r>
        <w:rPr>
          <w:rFonts w:hint="eastAsia" w:ascii="仿宋" w:hAnsi="仿宋" w:eastAsia="仿宋" w:cs="Times New Roman"/>
          <w:sz w:val="32"/>
          <w:szCs w:val="32"/>
          <w:lang w:val="en-US" w:eastAsia="zh-CN"/>
        </w:rPr>
        <w:t>10</w:t>
      </w:r>
      <w:r>
        <w:rPr>
          <w:rFonts w:hint="eastAsia" w:ascii="仿宋" w:hAnsi="仿宋" w:eastAsia="仿宋" w:cs="Times New Roman"/>
          <w:sz w:val="32"/>
          <w:szCs w:val="32"/>
          <w:lang w:eastAsia="zh-CN"/>
        </w:rPr>
        <w:t>个交易日内</w:t>
      </w:r>
      <w:r>
        <w:rPr>
          <w:rFonts w:ascii="仿宋" w:hAnsi="仿宋" w:eastAsia="仿宋" w:cs="Times New Roman"/>
          <w:sz w:val="32"/>
          <w:szCs w:val="32"/>
        </w:rPr>
        <w:t>。</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p>
    <w:p>
      <w:pPr>
        <w:pStyle w:val="3"/>
        <w:pageBreakBefore w:val="0"/>
        <w:widowControl w:val="0"/>
        <w:numPr>
          <w:ilvl w:val="0"/>
          <w:numId w:val="1"/>
        </w:numPr>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5" w:name="_Toc29379"/>
      <w:r>
        <w:rPr>
          <w:rFonts w:ascii="Times New Roman" w:hAnsi="Times New Roman" w:cs="Times New Roman"/>
        </w:rPr>
        <w:t>办理情形和条件</w:t>
      </w:r>
      <w:bookmarkEnd w:id="5"/>
    </w:p>
    <w:p>
      <w:pPr>
        <w:pStyle w:val="3"/>
        <w:pageBreakBefore w:val="0"/>
        <w:widowControl w:val="0"/>
        <w:numPr>
          <w:ilvl w:val="0"/>
          <w:numId w:val="2"/>
        </w:numPr>
        <w:kinsoku/>
        <w:wordWrap/>
        <w:overflowPunct/>
        <w:topLinePunct w:val="0"/>
        <w:autoSpaceDE/>
        <w:autoSpaceDN/>
        <w:bidi w:val="0"/>
        <w:adjustRightInd w:val="0"/>
        <w:snapToGrid w:val="0"/>
        <w:ind w:firstLine="640" w:firstLineChars="200"/>
        <w:textAlignment w:val="auto"/>
        <w:rPr>
          <w:rFonts w:hint="eastAsia" w:ascii="楷体" w:hAnsi="楷体" w:eastAsia="楷体" w:cs="楷体"/>
          <w:lang w:eastAsia="zh-CN"/>
        </w:rPr>
      </w:pPr>
      <w:bookmarkStart w:id="6" w:name="_Toc2243"/>
      <w:r>
        <w:rPr>
          <w:rFonts w:hint="eastAsia" w:ascii="楷体" w:hAnsi="楷体" w:eastAsia="楷体" w:cs="楷体"/>
        </w:rPr>
        <w:t>存托人备案</w:t>
      </w:r>
      <w:r>
        <w:rPr>
          <w:rFonts w:hint="eastAsia" w:ascii="楷体" w:hAnsi="楷体" w:eastAsia="楷体" w:cs="楷体"/>
          <w:lang w:eastAsia="zh-CN"/>
        </w:rPr>
        <w:t>申请</w:t>
      </w:r>
      <w:bookmarkEnd w:id="6"/>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宋体"/>
          <w:sz w:val="32"/>
          <w:szCs w:val="32"/>
          <w:lang w:val="zh-CN" w:eastAsia="zh-CN"/>
        </w:rPr>
      </w:pPr>
      <w:r>
        <w:rPr>
          <w:rFonts w:hint="eastAsia" w:ascii="仿宋" w:hAnsi="仿宋" w:eastAsia="仿宋" w:cs="宋体"/>
          <w:sz w:val="32"/>
          <w:szCs w:val="32"/>
          <w:lang w:val="zh-CN" w:eastAsia="zh-CN"/>
        </w:rPr>
        <w:t>全球存托凭证的存托人开展全球存托凭证生成和兑回业务，涉及本所基础股票的，应当在全球存托凭证上市前，委托本所会员向本所提交备案申请。</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 w:hAnsi="仿宋" w:eastAsia="仿宋" w:cs="宋体"/>
          <w:sz w:val="32"/>
          <w:szCs w:val="32"/>
          <w:lang w:val="zh-CN"/>
        </w:rPr>
      </w:pPr>
      <w:r>
        <w:rPr>
          <w:rFonts w:hint="eastAsia" w:ascii="仿宋" w:hAnsi="仿宋" w:eastAsia="仿宋" w:cs="宋体"/>
          <w:sz w:val="32"/>
          <w:szCs w:val="32"/>
          <w:lang w:val="zh-CN" w:eastAsia="zh-CN"/>
        </w:rPr>
        <w:t>未经备案的，存托人不得开展全球存托凭证生成和兑回业务。</w:t>
      </w:r>
    </w:p>
    <w:p>
      <w:pPr>
        <w:pStyle w:val="3"/>
        <w:pageBreakBefore w:val="0"/>
        <w:widowControl w:val="0"/>
        <w:numPr>
          <w:ilvl w:val="0"/>
          <w:numId w:val="2"/>
        </w:numPr>
        <w:kinsoku/>
        <w:wordWrap/>
        <w:overflowPunct/>
        <w:topLinePunct w:val="0"/>
        <w:autoSpaceDE/>
        <w:autoSpaceDN/>
        <w:bidi w:val="0"/>
        <w:adjustRightInd w:val="0"/>
        <w:snapToGrid w:val="0"/>
        <w:ind w:firstLine="640" w:firstLineChars="200"/>
        <w:textAlignment w:val="auto"/>
        <w:rPr>
          <w:rFonts w:hint="eastAsia" w:ascii="楷体" w:hAnsi="楷体" w:eastAsia="楷体" w:cs="楷体"/>
          <w:lang w:val="en-US" w:eastAsia="zh-CN"/>
        </w:rPr>
      </w:pPr>
      <w:bookmarkStart w:id="7" w:name="_Toc7097"/>
      <w:r>
        <w:rPr>
          <w:rFonts w:hint="eastAsia" w:ascii="楷体" w:hAnsi="楷体" w:eastAsia="楷体" w:cs="楷体"/>
          <w:lang w:val="en-US" w:eastAsia="zh-CN"/>
        </w:rPr>
        <w:t>存托人持续管理</w:t>
      </w:r>
      <w:bookmarkEnd w:id="7"/>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1.存托人在开展存托业务前，应当向本所报备存托业务账户及基础股票信息。</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zh-CN" w:eastAsia="zh-CN"/>
        </w:rPr>
      </w:pPr>
      <w:r>
        <w:rPr>
          <w:rFonts w:hint="eastAsia" w:ascii="仿宋" w:hAnsi="仿宋" w:eastAsia="仿宋" w:cs="Times New Roman"/>
          <w:sz w:val="32"/>
          <w:szCs w:val="32"/>
          <w:lang w:val="en-US" w:eastAsia="zh-CN"/>
        </w:rPr>
        <w:t>2.存托人新增特定全球存托凭证存托业务，应当向本所报备更新后的账户及基础股票信息</w:t>
      </w:r>
      <w:r>
        <w:rPr>
          <w:rFonts w:hint="eastAsia" w:ascii="仿宋" w:hAnsi="仿宋" w:eastAsia="仿宋" w:cs="Times New Roman"/>
          <w:sz w:val="32"/>
          <w:szCs w:val="32"/>
          <w:lang w:val="zh-CN" w:eastAsia="zh-CN"/>
        </w:rPr>
        <w:t>。</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zh-CN" w:eastAsia="zh-CN"/>
        </w:rPr>
      </w:pPr>
      <w:r>
        <w:rPr>
          <w:rFonts w:hint="eastAsia" w:ascii="仿宋" w:hAnsi="仿宋" w:eastAsia="仿宋" w:cs="Times New Roman"/>
          <w:sz w:val="32"/>
          <w:szCs w:val="32"/>
          <w:lang w:val="en-US" w:eastAsia="zh-CN"/>
        </w:rPr>
        <w:t>3.存托人新增或变更存托业务专用证券账户，应当向本所报备更新后的账户及基础股票信息</w:t>
      </w:r>
      <w:r>
        <w:rPr>
          <w:rFonts w:hint="eastAsia" w:ascii="仿宋" w:hAnsi="仿宋" w:eastAsia="仿宋" w:cs="Times New Roman"/>
          <w:sz w:val="32"/>
          <w:szCs w:val="32"/>
          <w:lang w:val="zh-CN" w:eastAsia="zh-CN"/>
        </w:rPr>
        <w:t>。</w:t>
      </w:r>
    </w:p>
    <w:p>
      <w:pPr>
        <w:pStyle w:val="3"/>
        <w:pageBreakBefore w:val="0"/>
        <w:widowControl w:val="0"/>
        <w:numPr>
          <w:ilvl w:val="0"/>
          <w:numId w:val="0"/>
        </w:numPr>
        <w:kinsoku/>
        <w:wordWrap/>
        <w:overflowPunct/>
        <w:topLinePunct w:val="0"/>
        <w:autoSpaceDE/>
        <w:autoSpaceDN/>
        <w:bidi w:val="0"/>
        <w:adjustRightInd w:val="0"/>
        <w:snapToGrid w:val="0"/>
        <w:ind w:firstLine="640" w:firstLineChars="200"/>
        <w:textAlignment w:val="auto"/>
        <w:rPr>
          <w:rFonts w:hint="eastAsia" w:ascii="Times New Roman" w:hAnsi="Times New Roman" w:cs="Times New Roman"/>
          <w:lang w:eastAsia="zh-CN"/>
        </w:rPr>
      </w:pPr>
      <w:bookmarkStart w:id="8" w:name="_Toc26024"/>
    </w:p>
    <w:p>
      <w:pPr>
        <w:pStyle w:val="3"/>
        <w:pageBreakBefore w:val="0"/>
        <w:widowControl w:val="0"/>
        <w:numPr>
          <w:ilvl w:val="0"/>
          <w:numId w:val="0"/>
        </w:numPr>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r>
        <w:rPr>
          <w:rFonts w:hint="eastAsia" w:ascii="Times New Roman" w:hAnsi="Times New Roman" w:cs="Times New Roman"/>
          <w:lang w:eastAsia="zh-CN"/>
        </w:rPr>
        <w:t>七、</w:t>
      </w:r>
      <w:r>
        <w:rPr>
          <w:rFonts w:ascii="Times New Roman" w:hAnsi="Times New Roman" w:cs="Times New Roman"/>
        </w:rPr>
        <w:t>办理材料清单</w:t>
      </w:r>
      <w:bookmarkEnd w:id="8"/>
    </w:p>
    <w:p>
      <w:pPr>
        <w:pStyle w:val="4"/>
        <w:pageBreakBefore w:val="0"/>
        <w:widowControl w:val="0"/>
        <w:kinsoku/>
        <w:wordWrap/>
        <w:overflowPunct/>
        <w:topLinePunct w:val="0"/>
        <w:autoSpaceDE/>
        <w:autoSpaceDN/>
        <w:bidi w:val="0"/>
        <w:adjustRightInd w:val="0"/>
        <w:snapToGrid w:val="0"/>
        <w:ind w:firstLine="640" w:firstLineChars="200"/>
        <w:textAlignment w:val="auto"/>
        <w:rPr>
          <w:rFonts w:hint="eastAsia" w:ascii="楷体" w:hAnsi="楷体" w:eastAsia="楷体" w:cs="楷体"/>
          <w:b w:val="0"/>
          <w:bCs w:val="0"/>
          <w:sz w:val="32"/>
          <w:szCs w:val="32"/>
          <w:lang w:val="en-US" w:eastAsia="zh-CN"/>
        </w:rPr>
      </w:pPr>
      <w:bookmarkStart w:id="9" w:name="_Toc14932"/>
      <w:r>
        <w:rPr>
          <w:rFonts w:hint="eastAsia" w:ascii="楷体" w:hAnsi="楷体" w:eastAsia="楷体" w:cs="楷体"/>
          <w:b w:val="0"/>
          <w:bCs w:val="0"/>
        </w:rPr>
        <w:t>（一）</w:t>
      </w:r>
      <w:r>
        <w:rPr>
          <w:rFonts w:hint="eastAsia" w:ascii="楷体" w:hAnsi="楷体" w:eastAsia="楷体" w:cs="楷体"/>
          <w:b w:val="0"/>
          <w:bCs w:val="0"/>
          <w:lang w:eastAsia="zh-CN"/>
        </w:rPr>
        <w:t>存托人</w:t>
      </w:r>
      <w:r>
        <w:rPr>
          <w:rFonts w:hint="eastAsia" w:ascii="楷体" w:hAnsi="楷体" w:eastAsia="楷体" w:cs="楷体"/>
          <w:b w:val="0"/>
          <w:bCs w:val="0"/>
        </w:rPr>
        <w:t>备案</w:t>
      </w:r>
      <w:r>
        <w:rPr>
          <w:rFonts w:hint="eastAsia" w:ascii="楷体" w:hAnsi="楷体" w:eastAsia="楷体" w:cs="楷体"/>
          <w:b w:val="0"/>
          <w:bCs w:val="0"/>
          <w:lang w:eastAsia="zh-CN"/>
        </w:rPr>
        <w:t>申请文件</w:t>
      </w:r>
      <w:bookmarkEnd w:id="9"/>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1.经授权代表人签署的《互联互通全球存托凭证存托业务信息报备表》（附件1）；</w:t>
      </w:r>
      <w:bookmarkStart w:id="25" w:name="_GoBack"/>
      <w:bookmarkEnd w:id="25"/>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2.所在国家或者地区核发的营业执照复印件；</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3.经授权代表人签署的遵守中国法律法规、部门规章、规范性文件、本所有关规定的承诺书；</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4.本所规定的其他文件。</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除第2项文件外，申请文件语言应为中文（公司名称及人名应为双语）。接受委托的本所会员应当制作申请文件清单，由法定代表人签字。申请文件清单中应当做如下承诺：所提交的申请文件内容真实、准确、完整，如存在虚假记载、误导性陈述和重大遗漏，将承担相应法律责任。</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rPr>
      </w:pPr>
      <w:r>
        <w:rPr>
          <w:rFonts w:hint="eastAsia" w:ascii="仿宋" w:hAnsi="仿宋" w:eastAsia="仿宋" w:cs="Times New Roman"/>
          <w:sz w:val="32"/>
          <w:szCs w:val="32"/>
          <w:highlight w:val="none"/>
          <w:lang w:val="en-US" w:eastAsia="zh-CN"/>
        </w:rPr>
        <w:t>全球存托凭证存托人新增或者变更境内委托会员的，应当重新向本所备案。除已备案的全球存托凭证上市交易所外，存托人拟新增全球存托凭证上市交易所开展存托业务的，应当向本所提交第1项文</w:t>
      </w:r>
      <w:r>
        <w:rPr>
          <w:rFonts w:hint="eastAsia" w:ascii="仿宋" w:hAnsi="仿宋" w:eastAsia="仿宋" w:cs="Times New Roman"/>
          <w:sz w:val="32"/>
          <w:szCs w:val="32"/>
          <w:lang w:val="en-US" w:eastAsia="zh-CN"/>
        </w:rPr>
        <w:t>件。</w:t>
      </w:r>
    </w:p>
    <w:p>
      <w:pPr>
        <w:pStyle w:val="3"/>
        <w:pageBreakBefore w:val="0"/>
        <w:widowControl w:val="0"/>
        <w:numPr>
          <w:ilvl w:val="0"/>
          <w:numId w:val="0"/>
        </w:numPr>
        <w:kinsoku/>
        <w:wordWrap/>
        <w:overflowPunct/>
        <w:topLinePunct w:val="0"/>
        <w:autoSpaceDE/>
        <w:autoSpaceDN/>
        <w:bidi w:val="0"/>
        <w:adjustRightInd w:val="0"/>
        <w:snapToGrid w:val="0"/>
        <w:ind w:firstLine="640" w:firstLineChars="200"/>
        <w:textAlignment w:val="auto"/>
        <w:rPr>
          <w:rFonts w:hint="eastAsia" w:ascii="楷体" w:hAnsi="楷体" w:eastAsia="楷体" w:cs="楷体"/>
          <w:lang w:val="en-US" w:eastAsia="zh-CN"/>
        </w:rPr>
      </w:pPr>
      <w:bookmarkStart w:id="10" w:name="_Toc13330"/>
      <w:r>
        <w:rPr>
          <w:rFonts w:hint="eastAsia" w:ascii="楷体" w:hAnsi="楷体" w:eastAsia="楷体" w:cs="楷体"/>
          <w:lang w:eastAsia="zh-CN"/>
        </w:rPr>
        <w:t>（二）</w:t>
      </w:r>
      <w:r>
        <w:rPr>
          <w:rFonts w:hint="eastAsia" w:ascii="楷体" w:hAnsi="楷体" w:eastAsia="楷体" w:cs="楷体"/>
          <w:lang w:val="en-US" w:eastAsia="zh-CN"/>
        </w:rPr>
        <w:t>存托人持续管理</w:t>
      </w:r>
      <w:bookmarkEnd w:id="10"/>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存托人</w:t>
      </w:r>
      <w:r>
        <w:rPr>
          <w:rFonts w:hint="eastAsia" w:ascii="仿宋" w:hAnsi="仿宋" w:eastAsia="仿宋" w:cs="Times New Roman"/>
          <w:sz w:val="32"/>
          <w:szCs w:val="32"/>
          <w:highlight w:val="none"/>
          <w:lang w:val="en-US" w:eastAsia="zh-CN"/>
        </w:rPr>
        <w:t>在开展存托业务前，应当由接受委托的本所会员通过会员业务专区向本所报备经授权代表人签署的《互联互通全球存托凭证存托业务账户及基础股票</w:t>
      </w:r>
      <w:r>
        <w:rPr>
          <w:rFonts w:hint="eastAsia" w:ascii="仿宋" w:hAnsi="仿宋" w:eastAsia="仿宋" w:cs="Times New Roman"/>
          <w:sz w:val="32"/>
          <w:szCs w:val="32"/>
          <w:lang w:val="en-US" w:eastAsia="zh-CN"/>
        </w:rPr>
        <w:t>信息报备表》（附件2），表中公司名称及人名应当为双语。</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b w:val="0"/>
          <w:bCs w:val="0"/>
          <w:sz w:val="32"/>
          <w:szCs w:val="32"/>
          <w:lang w:val="en-US" w:eastAsia="zh-CN"/>
        </w:rPr>
      </w:pPr>
      <w:r>
        <w:rPr>
          <w:rFonts w:hint="eastAsia" w:ascii="仿宋" w:hAnsi="仿宋" w:eastAsia="仿宋" w:cs="Times New Roman"/>
          <w:b w:val="0"/>
          <w:bCs w:val="0"/>
          <w:sz w:val="32"/>
          <w:szCs w:val="32"/>
          <w:lang w:val="en-US" w:eastAsia="zh-CN"/>
        </w:rPr>
        <w:t>1.新增特定全球存托凭证存托业务。存托人新增特定全球存托凭证存托业务的，应当在2个交易日内，由接受委托的本所会员通过会员业务专区提交更新后经授权代表人签署的《互联互通全球存托凭证存托业务账户及基础股票信息报备表》（附件2）。</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b w:val="0"/>
          <w:bCs w:val="0"/>
          <w:sz w:val="32"/>
          <w:szCs w:val="32"/>
          <w:lang w:val="en-US" w:eastAsia="zh-CN"/>
        </w:rPr>
        <w:t>2.新增或变更存托业务专用证券账户。存托人新增或变更存托业务专用证券账户，应当提前15个交易日，由接受委托的本所会员通过会员业务专</w:t>
      </w:r>
      <w:r>
        <w:rPr>
          <w:rFonts w:hint="eastAsia" w:ascii="仿宋" w:hAnsi="仿宋" w:eastAsia="仿宋" w:cs="Times New Roman"/>
          <w:sz w:val="32"/>
          <w:szCs w:val="32"/>
          <w:lang w:val="en-US" w:eastAsia="zh-CN"/>
        </w:rPr>
        <w:t>区提交更新后经授权代表人签署的《互联互通全球存托凭证存托业务账户及基础股票信息报备表》（附件2），经本所确认后完成变更。</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 w:cs="Times New Roman"/>
          <w:sz w:val="32"/>
          <w:szCs w:val="32"/>
          <w:lang w:eastAsia="zh-CN"/>
        </w:rPr>
      </w:pPr>
      <w:r>
        <w:rPr>
          <w:rFonts w:hint="eastAsia" w:ascii="仿宋" w:hAnsi="仿宋" w:eastAsia="仿宋" w:cs="Times New Roman"/>
          <w:sz w:val="32"/>
          <w:szCs w:val="32"/>
          <w:lang w:val="en-US" w:eastAsia="zh-CN"/>
        </w:rPr>
        <w:t>3.变更其他信息。其他信息变更的，应当在完成变更后2个交易日内，向本所报备。</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hint="eastAsia" w:ascii="Times New Roman" w:hAnsi="Times New Roman" w:cs="Times New Roman"/>
          <w:lang w:eastAsia="zh-CN"/>
        </w:rPr>
      </w:pPr>
      <w:bookmarkStart w:id="11" w:name="_Toc29187"/>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r>
        <w:rPr>
          <w:rFonts w:hint="eastAsia" w:ascii="Times New Roman" w:hAnsi="Times New Roman" w:cs="Times New Roman"/>
          <w:lang w:eastAsia="zh-CN"/>
        </w:rPr>
        <w:t>八</w:t>
      </w:r>
      <w:r>
        <w:rPr>
          <w:rFonts w:ascii="Times New Roman" w:hAnsi="Times New Roman" w:cs="Times New Roman"/>
        </w:rPr>
        <w:t>、材料接收</w:t>
      </w:r>
      <w:bookmarkEnd w:id="11"/>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通过本所官方网站——</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业务专区</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w:t>
      </w:r>
      <w:r>
        <w:rPr>
          <w:rFonts w:hint="eastAsia" w:ascii="Times New Roman" w:hAnsi="Times New Roman" w:eastAsia="仿宋" w:cs="Times New Roman"/>
          <w:sz w:val="32"/>
          <w:szCs w:val="32"/>
          <w:lang w:eastAsia="zh-CN"/>
        </w:rPr>
        <w:t>“会员</w:t>
      </w:r>
      <w:r>
        <w:rPr>
          <w:rFonts w:hint="eastAsia" w:ascii="Times New Roman" w:hAnsi="Times New Roman" w:eastAsia="仿宋" w:cs="Times New Roman"/>
          <w:sz w:val="32"/>
          <w:szCs w:val="32"/>
        </w:rPr>
        <w:t>业务专区</w:t>
      </w:r>
      <w:r>
        <w:rPr>
          <w:rFonts w:hint="eastAsia" w:ascii="Times New Roman" w:hAnsi="Times New Roman" w:eastAsia="仿宋" w:cs="Times New Roman"/>
          <w:sz w:val="32"/>
          <w:szCs w:val="32"/>
          <w:lang w:eastAsia="zh-CN"/>
        </w:rPr>
        <w:t>”——“业务办理”——“全球存托凭证业务”栏目在线</w:t>
      </w:r>
      <w:r>
        <w:rPr>
          <w:rFonts w:hint="eastAsia" w:ascii="Times New Roman" w:hAnsi="Times New Roman" w:eastAsia="仿宋" w:cs="Times New Roman"/>
          <w:sz w:val="32"/>
          <w:szCs w:val="32"/>
        </w:rPr>
        <w:t>填报</w:t>
      </w:r>
      <w:r>
        <w:rPr>
          <w:rFonts w:hint="eastAsia" w:ascii="Times New Roman" w:hAnsi="Times New Roman" w:eastAsia="仿宋" w:cs="Times New Roman"/>
          <w:sz w:val="32"/>
          <w:szCs w:val="32"/>
          <w:lang w:eastAsia="zh-CN"/>
        </w:rPr>
        <w:t>和提交</w:t>
      </w:r>
      <w:r>
        <w:rPr>
          <w:rFonts w:hint="eastAsia" w:ascii="Times New Roman" w:hAnsi="Times New Roman" w:eastAsia="仿宋" w:cs="Times New Roman"/>
          <w:sz w:val="32"/>
          <w:szCs w:val="32"/>
        </w:rPr>
        <w:t>材料。</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hint="eastAsia" w:ascii="Times New Roman" w:hAnsi="Times New Roman" w:cs="Times New Roman"/>
          <w:lang w:eastAsia="zh-CN"/>
        </w:rPr>
      </w:pPr>
      <w:bookmarkStart w:id="12" w:name="_Toc16227"/>
    </w:p>
    <w:p>
      <w:pPr>
        <w:pStyle w:val="3"/>
        <w:pageBreakBefore w:val="0"/>
        <w:widowControl w:val="0"/>
        <w:kinsoku/>
        <w:wordWrap/>
        <w:overflowPunct/>
        <w:topLinePunct w:val="0"/>
        <w:autoSpaceDE/>
        <w:autoSpaceDN/>
        <w:bidi w:val="0"/>
        <w:adjustRightInd w:val="0"/>
        <w:snapToGrid w:val="0"/>
        <w:ind w:firstLine="640" w:firstLineChars="200"/>
        <w:textAlignment w:val="auto"/>
        <w:rPr>
          <w:rFonts w:hint="eastAsia" w:ascii="Times New Roman" w:hAnsi="Times New Roman" w:eastAsia="黑体" w:cs="Times New Roman"/>
          <w:lang w:eastAsia="zh-CN"/>
        </w:rPr>
      </w:pPr>
      <w:r>
        <w:rPr>
          <w:rFonts w:hint="eastAsia" w:ascii="Times New Roman" w:hAnsi="Times New Roman" w:cs="Times New Roman"/>
          <w:lang w:eastAsia="zh-CN"/>
        </w:rPr>
        <w:t>九</w:t>
      </w:r>
      <w:r>
        <w:rPr>
          <w:rFonts w:ascii="Times New Roman" w:hAnsi="Times New Roman" w:cs="Times New Roman"/>
        </w:rPr>
        <w:t>、办理流</w:t>
      </w:r>
      <w:r>
        <w:rPr>
          <w:rFonts w:hint="eastAsia" w:ascii="Times New Roman" w:hAnsi="Times New Roman" w:cs="Times New Roman"/>
          <w:lang w:eastAsia="zh-CN"/>
        </w:rPr>
        <w:t>程</w:t>
      </w:r>
      <w:bookmarkEnd w:id="12"/>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 w:hAnsi="仿宋" w:eastAsia="仿宋" w:cs="Times New Roman"/>
          <w:sz w:val="32"/>
          <w:szCs w:val="32"/>
        </w:rPr>
      </w:pPr>
      <w:r>
        <w:rPr>
          <w:rFonts w:hint="eastAsia" w:ascii="仿宋" w:hAnsi="仿宋" w:eastAsia="仿宋" w:cs="Times New Roman"/>
          <w:sz w:val="32"/>
          <w:szCs w:val="32"/>
          <w:lang w:eastAsia="zh-CN"/>
        </w:rPr>
        <w:t>会员</w:t>
      </w:r>
      <w:r>
        <w:rPr>
          <w:rFonts w:hint="eastAsia" w:ascii="仿宋" w:hAnsi="仿宋" w:eastAsia="仿宋" w:cs="Times New Roman"/>
          <w:sz w:val="32"/>
          <w:szCs w:val="32"/>
        </w:rPr>
        <w:t>在会员业务专区填写相关</w:t>
      </w:r>
      <w:r>
        <w:rPr>
          <w:rFonts w:hint="eastAsia" w:ascii="仿宋" w:hAnsi="仿宋" w:eastAsia="仿宋" w:cs="Times New Roman"/>
          <w:sz w:val="32"/>
          <w:szCs w:val="32"/>
          <w:lang w:eastAsia="zh-CN"/>
        </w:rPr>
        <w:t>业务申请</w:t>
      </w:r>
      <w:r>
        <w:rPr>
          <w:rFonts w:hint="eastAsia" w:ascii="仿宋" w:hAnsi="仿宋" w:eastAsia="仿宋" w:cs="Times New Roman"/>
          <w:sz w:val="32"/>
          <w:szCs w:val="32"/>
        </w:rPr>
        <w:t>信息，并提交相关附件</w:t>
      </w:r>
      <w:r>
        <w:rPr>
          <w:rFonts w:hint="eastAsia" w:ascii="仿宋" w:hAnsi="仿宋" w:eastAsia="仿宋" w:cs="Times New Roman"/>
          <w:sz w:val="32"/>
          <w:szCs w:val="32"/>
          <w:lang w:eastAsia="zh-CN"/>
        </w:rPr>
        <w:t>。会员部对材料齐备性进行形式审核，</w:t>
      </w:r>
      <w:r>
        <w:rPr>
          <w:rFonts w:ascii="仿宋" w:hAnsi="仿宋" w:eastAsia="仿宋" w:cs="Times New Roman"/>
          <w:sz w:val="32"/>
          <w:szCs w:val="32"/>
        </w:rPr>
        <w:t>需要补充相关材料的，向</w:t>
      </w:r>
      <w:r>
        <w:rPr>
          <w:rFonts w:hint="eastAsia" w:ascii="仿宋" w:hAnsi="仿宋" w:eastAsia="仿宋" w:cs="Times New Roman"/>
          <w:sz w:val="32"/>
          <w:szCs w:val="32"/>
          <w:lang w:eastAsia="zh-CN"/>
        </w:rPr>
        <w:t>会员</w:t>
      </w:r>
      <w:r>
        <w:rPr>
          <w:rFonts w:ascii="仿宋" w:hAnsi="仿宋" w:eastAsia="仿宋" w:cs="Times New Roman"/>
          <w:sz w:val="32"/>
          <w:szCs w:val="32"/>
        </w:rPr>
        <w:t>反馈补充材料清单，</w:t>
      </w:r>
      <w:r>
        <w:rPr>
          <w:rFonts w:hint="eastAsia" w:ascii="仿宋" w:hAnsi="仿宋" w:eastAsia="仿宋" w:cs="Times New Roman"/>
          <w:sz w:val="32"/>
          <w:szCs w:val="32"/>
          <w:lang w:eastAsia="zh-CN"/>
        </w:rPr>
        <w:t>会员</w:t>
      </w:r>
      <w:r>
        <w:rPr>
          <w:rFonts w:ascii="仿宋" w:hAnsi="仿宋" w:eastAsia="仿宋" w:cs="Times New Roman"/>
          <w:sz w:val="32"/>
          <w:szCs w:val="32"/>
        </w:rPr>
        <w:t>按要求补充材料后，</w:t>
      </w:r>
      <w:r>
        <w:rPr>
          <w:rFonts w:hint="eastAsia" w:ascii="仿宋" w:hAnsi="仿宋" w:eastAsia="仿宋" w:cs="Times New Roman"/>
          <w:sz w:val="32"/>
          <w:szCs w:val="32"/>
          <w:lang w:eastAsia="zh-CN"/>
        </w:rPr>
        <w:t>会员部</w:t>
      </w:r>
      <w:r>
        <w:rPr>
          <w:rFonts w:ascii="仿宋" w:hAnsi="仿宋" w:eastAsia="仿宋" w:cs="Times New Roman"/>
          <w:sz w:val="32"/>
          <w:szCs w:val="32"/>
        </w:rPr>
        <w:t>再次予以形式核对</w:t>
      </w:r>
      <w:r>
        <w:rPr>
          <w:rFonts w:hint="eastAsia" w:ascii="仿宋" w:hAnsi="仿宋" w:eastAsia="仿宋" w:cs="Times New Roman"/>
          <w:sz w:val="32"/>
          <w:szCs w:val="32"/>
          <w:lang w:eastAsia="zh-CN"/>
        </w:rPr>
        <w:t>，核对通过后完成业务办理。</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13" w:name="_Toc26528"/>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r>
        <w:rPr>
          <w:rFonts w:ascii="Times New Roman" w:hAnsi="Times New Roman" w:cs="Times New Roman"/>
        </w:rPr>
        <w:t>十、办理结果及送达</w:t>
      </w:r>
      <w:bookmarkEnd w:id="13"/>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通过会员业务专区显示办理结果。</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bookmarkStart w:id="14" w:name="_Toc3070"/>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r>
        <w:rPr>
          <w:rFonts w:ascii="Times New Roman" w:hAnsi="Times New Roman" w:cs="Times New Roman"/>
        </w:rPr>
        <w:t>十</w:t>
      </w:r>
      <w:r>
        <w:rPr>
          <w:rFonts w:hint="eastAsia" w:ascii="Times New Roman" w:hAnsi="Times New Roman" w:cs="Times New Roman"/>
          <w:lang w:eastAsia="zh-CN"/>
        </w:rPr>
        <w:t>一</w:t>
      </w:r>
      <w:r>
        <w:rPr>
          <w:rFonts w:ascii="Times New Roman" w:hAnsi="Times New Roman" w:cs="Times New Roman"/>
        </w:rPr>
        <w:t>、咨询途径</w:t>
      </w:r>
      <w:bookmarkEnd w:id="14"/>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仿宋" w:hAnsi="仿宋" w:eastAsia="仿宋" w:cs="Times New Roman"/>
          <w:sz w:val="32"/>
          <w:szCs w:val="32"/>
          <w:lang w:val="en-US" w:eastAsia="zh-CN"/>
        </w:rPr>
      </w:pPr>
      <w:bookmarkStart w:id="15" w:name="_Toc7442"/>
      <w:r>
        <w:rPr>
          <w:rFonts w:hint="eastAsia" w:ascii="仿宋" w:hAnsi="仿宋" w:eastAsia="仿宋" w:cs="Times New Roman"/>
          <w:sz w:val="32"/>
          <w:szCs w:val="32"/>
          <w:lang w:eastAsia="zh-CN"/>
        </w:rPr>
        <w:t>潘</w:t>
      </w:r>
      <w:r>
        <w:rPr>
          <w:rFonts w:hint="eastAsia" w:ascii="仿宋" w:hAnsi="仿宋" w:eastAsia="仿宋" w:cs="Times New Roman"/>
          <w:sz w:val="32"/>
          <w:szCs w:val="32"/>
        </w:rPr>
        <w:t>女士</w:t>
      </w:r>
      <w:r>
        <w:rPr>
          <w:rFonts w:ascii="仿宋" w:hAnsi="仿宋" w:eastAsia="仿宋" w:cs="Times New Roman"/>
          <w:sz w:val="32"/>
          <w:szCs w:val="32"/>
        </w:rPr>
        <w:t xml:space="preserve"> </w:t>
      </w:r>
      <w:r>
        <w:rPr>
          <w:rFonts w:hint="eastAsia" w:ascii="仿宋" w:hAnsi="仿宋" w:eastAsia="仿宋" w:cs="Times New Roman"/>
          <w:sz w:val="32"/>
          <w:szCs w:val="32"/>
        </w:rPr>
        <w:t>电话：</w:t>
      </w:r>
      <w:r>
        <w:rPr>
          <w:rFonts w:ascii="仿宋" w:hAnsi="仿宋" w:eastAsia="仿宋" w:cs="Times New Roman"/>
          <w:sz w:val="32"/>
          <w:szCs w:val="32"/>
        </w:rPr>
        <w:t>0755-8866</w:t>
      </w:r>
      <w:r>
        <w:rPr>
          <w:rFonts w:hint="eastAsia" w:ascii="仿宋" w:hAnsi="仿宋" w:eastAsia="仿宋" w:cs="Times New Roman"/>
          <w:sz w:val="32"/>
          <w:szCs w:val="32"/>
        </w:rPr>
        <w:t xml:space="preserve"> </w:t>
      </w:r>
      <w:r>
        <w:rPr>
          <w:rFonts w:hint="eastAsia" w:ascii="仿宋" w:hAnsi="仿宋" w:eastAsia="仿宋" w:cs="Times New Roman"/>
          <w:sz w:val="32"/>
          <w:szCs w:val="32"/>
          <w:lang w:val="en-US" w:eastAsia="zh-CN"/>
        </w:rPr>
        <w:t>8941</w:t>
      </w:r>
      <w:r>
        <w:rPr>
          <w:rFonts w:ascii="仿宋" w:hAnsi="仿宋" w:eastAsia="仿宋" w:cs="Times New Roman"/>
          <w:sz w:val="32"/>
          <w:szCs w:val="32"/>
        </w:rPr>
        <w:t xml:space="preserve"> </w:t>
      </w:r>
      <w:r>
        <w:rPr>
          <w:rFonts w:hint="eastAsia" w:ascii="仿宋" w:hAnsi="仿宋" w:eastAsia="仿宋" w:cs="Times New Roman"/>
          <w:sz w:val="32"/>
          <w:szCs w:val="32"/>
        </w:rPr>
        <w:t>邮箱：</w:t>
      </w:r>
      <w:r>
        <w:rPr>
          <w:rFonts w:hint="eastAsia" w:ascii="仿宋" w:hAnsi="仿宋" w:eastAsia="仿宋" w:cs="Times New Roman"/>
          <w:sz w:val="32"/>
          <w:szCs w:val="32"/>
          <w:lang w:val="en-US" w:eastAsia="zh-CN"/>
        </w:rPr>
        <w:t>xpan@szse.cn</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Times New Roman"/>
          <w:sz w:val="32"/>
          <w:szCs w:val="32"/>
          <w:lang w:eastAsia="zh-CN"/>
        </w:rPr>
      </w:pPr>
      <w:r>
        <w:rPr>
          <w:rFonts w:hint="eastAsia" w:ascii="仿宋" w:hAnsi="仿宋" w:eastAsia="仿宋" w:cs="Times New Roman"/>
          <w:sz w:val="32"/>
          <w:szCs w:val="32"/>
          <w:lang w:eastAsia="zh-CN"/>
        </w:rPr>
        <w:t>傅先生</w:t>
      </w:r>
      <w:r>
        <w:rPr>
          <w:rFonts w:hint="eastAsia" w:ascii="仿宋" w:hAnsi="仿宋" w:eastAsia="仿宋" w:cs="Times New Roman"/>
          <w:sz w:val="32"/>
          <w:szCs w:val="32"/>
          <w:lang w:val="en-US" w:eastAsia="zh-CN"/>
        </w:rPr>
        <w:t xml:space="preserve"> 电</w:t>
      </w:r>
      <w:r>
        <w:rPr>
          <w:rFonts w:ascii="仿宋" w:hAnsi="仿宋" w:eastAsia="仿宋" w:cs="Times New Roman"/>
          <w:sz w:val="32"/>
          <w:szCs w:val="32"/>
        </w:rPr>
        <w:t>话：0755-8866</w:t>
      </w:r>
      <w:r>
        <w:rPr>
          <w:rFonts w:hint="eastAsia" w:ascii="仿宋" w:hAnsi="仿宋" w:eastAsia="仿宋" w:cs="Times New Roman"/>
          <w:sz w:val="32"/>
          <w:szCs w:val="32"/>
        </w:rPr>
        <w:t xml:space="preserve"> </w:t>
      </w:r>
      <w:r>
        <w:rPr>
          <w:rFonts w:ascii="仿宋" w:hAnsi="仿宋" w:eastAsia="仿宋" w:cs="Times New Roman"/>
          <w:sz w:val="32"/>
          <w:szCs w:val="32"/>
        </w:rPr>
        <w:t>8</w:t>
      </w:r>
      <w:r>
        <w:rPr>
          <w:rFonts w:hint="eastAsia" w:ascii="仿宋" w:hAnsi="仿宋" w:eastAsia="仿宋" w:cs="Times New Roman"/>
          <w:sz w:val="32"/>
          <w:szCs w:val="32"/>
          <w:lang w:val="en-US" w:eastAsia="zh-CN"/>
        </w:rPr>
        <w:t>589</w:t>
      </w:r>
      <w:r>
        <w:rPr>
          <w:rFonts w:ascii="仿宋" w:hAnsi="仿宋" w:eastAsia="仿宋" w:cs="Times New Roman"/>
          <w:sz w:val="32"/>
          <w:szCs w:val="32"/>
        </w:rPr>
        <w:t xml:space="preserve"> 邮箱：</w:t>
      </w:r>
      <w:r>
        <w:rPr>
          <w:rFonts w:hint="eastAsia" w:ascii="仿宋" w:hAnsi="仿宋" w:eastAsia="仿宋" w:cs="Times New Roman"/>
          <w:sz w:val="32"/>
          <w:szCs w:val="32"/>
          <w:lang w:val="en-US" w:eastAsia="zh-CN"/>
        </w:rPr>
        <w:t>qfu</w:t>
      </w:r>
      <w:r>
        <w:rPr>
          <w:rFonts w:ascii="仿宋" w:hAnsi="仿宋" w:eastAsia="仿宋" w:cs="Times New Roman"/>
          <w:sz w:val="32"/>
          <w:szCs w:val="32"/>
        </w:rPr>
        <w:t>@szse.cn</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Times New Roman" w:hAnsi="Times New Roman" w:cs="Times New Roman"/>
        </w:rPr>
      </w:pPr>
      <w:r>
        <w:rPr>
          <w:rFonts w:ascii="Times New Roman" w:hAnsi="Times New Roman" w:cs="Times New Roman"/>
        </w:rPr>
        <w:t>十</w:t>
      </w:r>
      <w:r>
        <w:rPr>
          <w:rFonts w:hint="eastAsia" w:ascii="Times New Roman" w:hAnsi="Times New Roman" w:cs="Times New Roman"/>
          <w:lang w:eastAsia="zh-CN"/>
        </w:rPr>
        <w:t>二</w:t>
      </w:r>
      <w:r>
        <w:rPr>
          <w:rFonts w:ascii="Times New Roman" w:hAnsi="Times New Roman" w:cs="Times New Roman"/>
        </w:rPr>
        <w:t>、办公地址和时间</w:t>
      </w:r>
      <w:bookmarkEnd w:id="15"/>
    </w:p>
    <w:p>
      <w:pPr>
        <w:pStyle w:val="4"/>
        <w:pageBreakBefore w:val="0"/>
        <w:widowControl w:val="0"/>
        <w:kinsoku/>
        <w:wordWrap/>
        <w:overflowPunct/>
        <w:topLinePunct w:val="0"/>
        <w:autoSpaceDE/>
        <w:autoSpaceDN/>
        <w:bidi w:val="0"/>
        <w:adjustRightInd w:val="0"/>
        <w:snapToGrid w:val="0"/>
        <w:ind w:firstLine="640" w:firstLineChars="200"/>
        <w:textAlignment w:val="auto"/>
        <w:rPr>
          <w:rFonts w:hint="eastAsia" w:ascii="楷体" w:hAnsi="楷体" w:eastAsia="楷体" w:cs="楷体"/>
          <w:b w:val="0"/>
          <w:bCs w:val="0"/>
        </w:rPr>
      </w:pPr>
      <w:bookmarkStart w:id="16" w:name="_Toc12033"/>
      <w:r>
        <w:rPr>
          <w:rFonts w:hint="eastAsia" w:ascii="楷体" w:hAnsi="楷体" w:eastAsia="楷体" w:cs="楷体"/>
          <w:b w:val="0"/>
          <w:bCs w:val="0"/>
        </w:rPr>
        <w:t>（一）办公地址</w:t>
      </w:r>
      <w:bookmarkEnd w:id="16"/>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 w:hAnsi="仿宋" w:eastAsia="仿宋" w:cs="Times New Roman"/>
          <w:sz w:val="32"/>
          <w:szCs w:val="32"/>
        </w:rPr>
      </w:pPr>
      <w:r>
        <w:rPr>
          <w:rFonts w:ascii="仿宋" w:hAnsi="仿宋" w:eastAsia="仿宋" w:cs="Times New Roman"/>
          <w:sz w:val="32"/>
          <w:szCs w:val="32"/>
        </w:rPr>
        <w:t>深圳市深南大道2012号深圳证券交易所</w:t>
      </w:r>
      <w:r>
        <w:rPr>
          <w:rFonts w:hint="eastAsia" w:ascii="仿宋" w:hAnsi="仿宋" w:eastAsia="仿宋" w:cs="Times New Roman"/>
          <w:sz w:val="32"/>
          <w:szCs w:val="32"/>
          <w:lang w:val="en-US" w:eastAsia="zh-CN"/>
        </w:rPr>
        <w:t>9</w:t>
      </w:r>
      <w:r>
        <w:rPr>
          <w:rFonts w:ascii="仿宋" w:hAnsi="仿宋" w:eastAsia="仿宋" w:cs="Times New Roman"/>
          <w:sz w:val="32"/>
          <w:szCs w:val="32"/>
        </w:rPr>
        <w:t>楼</w:t>
      </w:r>
      <w:r>
        <w:rPr>
          <w:rFonts w:hint="eastAsia" w:ascii="仿宋" w:hAnsi="仿宋" w:eastAsia="仿宋" w:cs="Times New Roman"/>
          <w:sz w:val="32"/>
          <w:szCs w:val="32"/>
          <w:lang w:val="en-US" w:eastAsia="zh-CN"/>
        </w:rPr>
        <w:t>924</w:t>
      </w:r>
      <w:r>
        <w:rPr>
          <w:rFonts w:ascii="仿宋" w:hAnsi="仿宋" w:eastAsia="仿宋" w:cs="Times New Roman"/>
          <w:sz w:val="32"/>
          <w:szCs w:val="32"/>
        </w:rPr>
        <w:t>室</w:t>
      </w:r>
    </w:p>
    <w:p>
      <w:pPr>
        <w:pStyle w:val="4"/>
        <w:pageBreakBefore w:val="0"/>
        <w:widowControl w:val="0"/>
        <w:kinsoku/>
        <w:wordWrap/>
        <w:overflowPunct/>
        <w:topLinePunct w:val="0"/>
        <w:autoSpaceDE/>
        <w:autoSpaceDN/>
        <w:bidi w:val="0"/>
        <w:adjustRightInd w:val="0"/>
        <w:snapToGrid w:val="0"/>
        <w:ind w:firstLine="640" w:firstLineChars="200"/>
        <w:textAlignment w:val="auto"/>
        <w:rPr>
          <w:rFonts w:hint="eastAsia" w:ascii="楷体" w:hAnsi="楷体" w:eastAsia="楷体" w:cs="楷体"/>
          <w:b w:val="0"/>
          <w:bCs w:val="0"/>
        </w:rPr>
      </w:pPr>
      <w:bookmarkStart w:id="17" w:name="_Toc10912"/>
      <w:r>
        <w:rPr>
          <w:rFonts w:hint="eastAsia" w:ascii="楷体" w:hAnsi="楷体" w:eastAsia="楷体" w:cs="楷体"/>
          <w:b w:val="0"/>
          <w:bCs w:val="0"/>
        </w:rPr>
        <w:t>（二）办公时间</w:t>
      </w:r>
      <w:bookmarkEnd w:id="17"/>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 w:hAnsi="仿宋" w:eastAsia="仿宋" w:cs="Times New Roman"/>
          <w:sz w:val="32"/>
          <w:szCs w:val="32"/>
        </w:rPr>
      </w:pPr>
      <w:r>
        <w:rPr>
          <w:rFonts w:ascii="仿宋" w:hAnsi="仿宋" w:eastAsia="仿宋" w:cs="Times New Roman"/>
          <w:sz w:val="32"/>
          <w:szCs w:val="32"/>
        </w:rPr>
        <w:t>周一至周五 8:30-11:30;13:30-17:00。</w:t>
      </w:r>
    </w:p>
    <w:p>
      <w:pPr>
        <w:pStyle w:val="3"/>
        <w:pageBreakBefore w:val="0"/>
        <w:widowControl w:val="0"/>
        <w:kinsoku/>
        <w:wordWrap/>
        <w:overflowPunct/>
        <w:topLinePunct w:val="0"/>
        <w:autoSpaceDE/>
        <w:autoSpaceDN/>
        <w:bidi w:val="0"/>
        <w:adjustRightInd w:val="0"/>
        <w:snapToGrid w:val="0"/>
        <w:ind w:firstLine="640" w:firstLineChars="200"/>
        <w:textAlignment w:val="auto"/>
        <w:rPr>
          <w:rFonts w:ascii="仿宋" w:hAnsi="仿宋" w:eastAsia="仿宋" w:cs="Times New Roman"/>
        </w:rPr>
      </w:pPr>
      <w:bookmarkStart w:id="18" w:name="_Toc9699"/>
      <w:bookmarkStart w:id="19" w:name="_Toc24747"/>
      <w:bookmarkStart w:id="20" w:name="_Toc16321"/>
    </w:p>
    <w:p>
      <w:pPr>
        <w:pStyle w:val="3"/>
        <w:pageBreakBefore w:val="0"/>
        <w:widowControl w:val="0"/>
        <w:kinsoku/>
        <w:wordWrap/>
        <w:overflowPunct/>
        <w:topLinePunct w:val="0"/>
        <w:autoSpaceDE/>
        <w:autoSpaceDN/>
        <w:bidi w:val="0"/>
        <w:adjustRightInd w:val="0"/>
        <w:snapToGrid w:val="0"/>
        <w:ind w:firstLine="640" w:firstLineChars="200"/>
        <w:textAlignment w:val="auto"/>
        <w:rPr>
          <w:rFonts w:hint="eastAsia" w:ascii="仿宋" w:hAnsi="仿宋" w:eastAsia="仿宋" w:cs="Times New Roman"/>
          <w:lang w:eastAsia="zh-CN"/>
        </w:rPr>
      </w:pPr>
      <w:r>
        <w:rPr>
          <w:rFonts w:ascii="仿宋" w:hAnsi="仿宋" w:eastAsia="仿宋" w:cs="Times New Roman"/>
        </w:rPr>
        <w:t>附件</w:t>
      </w:r>
      <w:bookmarkEnd w:id="18"/>
      <w:bookmarkEnd w:id="19"/>
      <w:bookmarkEnd w:id="20"/>
      <w:r>
        <w:rPr>
          <w:rFonts w:hint="eastAsia" w:ascii="仿宋" w:hAnsi="仿宋" w:eastAsia="仿宋" w:cs="Times New Roman"/>
          <w:lang w:eastAsia="zh-CN"/>
        </w:rPr>
        <w:t>：</w:t>
      </w:r>
    </w:p>
    <w:p>
      <w:pPr>
        <w:pageBreakBefore w:val="0"/>
        <w:widowControl w:val="0"/>
        <w:numPr>
          <w:ilvl w:val="0"/>
          <w:numId w:val="3"/>
        </w:numPr>
        <w:kinsoku/>
        <w:wordWrap/>
        <w:overflowPunct/>
        <w:topLinePunct w:val="0"/>
        <w:autoSpaceDE/>
        <w:autoSpaceDN/>
        <w:bidi w:val="0"/>
        <w:adjustRightInd w:val="0"/>
        <w:snapToGrid w:val="0"/>
        <w:spacing w:line="560" w:lineRule="exact"/>
        <w:ind w:left="0" w:leftChars="0" w:firstLine="640" w:firstLineChars="200"/>
        <w:textAlignment w:val="auto"/>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互联互通全球存托凭证存托业务信息报备表</w:t>
      </w:r>
    </w:p>
    <w:p>
      <w:pPr>
        <w:pageBreakBefore w:val="0"/>
        <w:widowControl w:val="0"/>
        <w:numPr>
          <w:ilvl w:val="0"/>
          <w:numId w:val="3"/>
        </w:numPr>
        <w:kinsoku/>
        <w:wordWrap/>
        <w:overflowPunct/>
        <w:topLinePunct w:val="0"/>
        <w:autoSpaceDE/>
        <w:autoSpaceDN/>
        <w:bidi w:val="0"/>
        <w:adjustRightInd w:val="0"/>
        <w:snapToGrid w:val="0"/>
        <w:spacing w:line="560" w:lineRule="exact"/>
        <w:ind w:left="0" w:leftChars="0" w:firstLine="640" w:firstLineChars="200"/>
        <w:textAlignment w:val="auto"/>
        <w:rPr>
          <w:rFonts w:hint="default" w:ascii="仿宋" w:hAnsi="仿宋" w:eastAsia="仿宋" w:cs="Times New Roman"/>
          <w:sz w:val="32"/>
          <w:szCs w:val="32"/>
          <w:lang w:val="en-US" w:eastAsia="zh-CN"/>
        </w:rPr>
      </w:pPr>
      <w:r>
        <w:rPr>
          <w:rFonts w:hint="default" w:ascii="仿宋" w:hAnsi="仿宋" w:eastAsia="仿宋" w:cs="Times New Roman"/>
          <w:sz w:val="32"/>
          <w:szCs w:val="32"/>
          <w:lang w:val="en-US" w:eastAsia="zh-CN"/>
        </w:rPr>
        <w:t>互联互通全球存托凭证存托业务账户及基础股票信息报备表</w:t>
      </w:r>
    </w:p>
    <w:p>
      <w:pPr>
        <w:spacing w:line="560" w:lineRule="exact"/>
        <w:ind w:firstLine="645"/>
        <w:rPr>
          <w:rFonts w:ascii="仿宋" w:hAnsi="仿宋" w:eastAsia="仿宋" w:cs="Times New Roman"/>
          <w:sz w:val="32"/>
          <w:szCs w:val="32"/>
        </w:rPr>
      </w:pPr>
    </w:p>
    <w:p>
      <w:pPr>
        <w:spacing w:line="560" w:lineRule="exact"/>
        <w:ind w:firstLine="645"/>
        <w:rPr>
          <w:rFonts w:ascii="Times New Roman" w:hAnsi="Times New Roman" w:eastAsia="仿宋" w:cs="Times New Roman"/>
          <w:sz w:val="32"/>
          <w:szCs w:val="32"/>
        </w:rPr>
      </w:pPr>
    </w:p>
    <w:p>
      <w:pPr>
        <w:widowControl/>
        <w:jc w:val="left"/>
        <w:rPr>
          <w:rFonts w:ascii="Times New Roman" w:hAnsi="Times New Roman" w:eastAsia="仿宋" w:cs="Times New Roman"/>
          <w:sz w:val="32"/>
          <w:szCs w:val="32"/>
        </w:rPr>
      </w:pPr>
      <w:r>
        <w:rPr>
          <w:rFonts w:ascii="Times New Roman" w:hAnsi="Times New Roman" w:eastAsia="仿宋" w:cs="Times New Roman"/>
          <w:sz w:val="32"/>
          <w:szCs w:val="32"/>
        </w:rPr>
        <w:br w:type="page"/>
      </w:r>
    </w:p>
    <w:p>
      <w:pPr>
        <w:widowControl/>
        <w:jc w:val="left"/>
        <w:rPr>
          <w:rFonts w:hint="eastAsia" w:ascii="黑体" w:hAnsi="黑体" w:eastAsia="黑体" w:cs="Times New Roman"/>
          <w:bCs/>
          <w:sz w:val="32"/>
          <w:szCs w:val="32"/>
          <w:highlight w:val="none"/>
          <w:lang w:val="en-US" w:eastAsia="zh-CN"/>
        </w:rPr>
      </w:pPr>
      <w:r>
        <w:rPr>
          <w:rFonts w:hint="eastAsia" w:ascii="黑体" w:hAnsi="黑体" w:eastAsia="黑体" w:cs="Times New Roman"/>
          <w:bCs/>
          <w:sz w:val="32"/>
          <w:szCs w:val="32"/>
          <w:highlight w:val="none"/>
        </w:rPr>
        <w:t>附件</w:t>
      </w:r>
      <w:r>
        <w:rPr>
          <w:rFonts w:hint="eastAsia" w:ascii="黑体" w:hAnsi="黑体" w:eastAsia="黑体" w:cs="Times New Roman"/>
          <w:bCs/>
          <w:sz w:val="32"/>
          <w:szCs w:val="32"/>
          <w:highlight w:val="none"/>
          <w:lang w:val="en-US" w:eastAsia="zh-CN"/>
        </w:rPr>
        <w:t>1</w:t>
      </w:r>
    </w:p>
    <w:p>
      <w:pPr>
        <w:widowControl/>
        <w:jc w:val="center"/>
        <w:rPr>
          <w:rFonts w:ascii="黑体" w:hAnsi="黑体" w:eastAsia="黑体" w:cs="Times New Roman"/>
          <w:bCs/>
          <w:sz w:val="32"/>
          <w:szCs w:val="32"/>
        </w:rPr>
      </w:pPr>
      <w:r>
        <w:rPr>
          <w:rFonts w:hint="eastAsia" w:ascii="黑体" w:hAnsi="黑体" w:eastAsia="黑体" w:cs="Times New Roman"/>
          <w:bCs/>
          <w:sz w:val="32"/>
          <w:szCs w:val="32"/>
          <w:highlight w:val="none"/>
        </w:rPr>
        <w:t>互联互通全球</w:t>
      </w:r>
      <w:r>
        <w:rPr>
          <w:rFonts w:hint="eastAsia" w:ascii="黑体" w:hAnsi="黑体" w:eastAsia="黑体" w:cs="Times New Roman"/>
          <w:bCs/>
          <w:sz w:val="32"/>
          <w:szCs w:val="32"/>
        </w:rPr>
        <w:t>存托凭证存托业务信息报备表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5"/>
        <w:gridCol w:w="1560"/>
        <w:gridCol w:w="1984"/>
        <w:gridCol w:w="1536"/>
        <w:gridCol w:w="1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5"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公司名称</w:t>
            </w:r>
          </w:p>
        </w:tc>
        <w:tc>
          <w:tcPr>
            <w:tcW w:w="4105" w:type="pct"/>
            <w:gridSpan w:val="4"/>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5"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全球存托凭证上市的境外证券交易所</w:t>
            </w:r>
          </w:p>
        </w:tc>
        <w:tc>
          <w:tcPr>
            <w:tcW w:w="4105" w:type="pct"/>
            <w:gridSpan w:val="4"/>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restar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存托业务负责人</w:t>
            </w:r>
          </w:p>
        </w:tc>
        <w:tc>
          <w:tcPr>
            <w:tcW w:w="915"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姓名</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部门</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职务</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邮箱</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座机</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宋体"/>
                <w:kern w:val="0"/>
                <w:sz w:val="30"/>
                <w:szCs w:val="30"/>
              </w:rPr>
            </w:pPr>
            <w:r>
              <w:rPr>
                <w:rFonts w:hint="eastAsia" w:ascii="仿宋" w:hAnsi="仿宋" w:eastAsia="仿宋" w:cs="Times New Roman"/>
                <w:sz w:val="30"/>
                <w:szCs w:val="30"/>
              </w:rPr>
              <w:t>手机</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restart"/>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存托业务联系人</w:t>
            </w: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姓名</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部门</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职务</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邮箱</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座机</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手机</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restart"/>
            <w:vAlign w:val="center"/>
          </w:tcPr>
          <w:p>
            <w:pPr>
              <w:spacing w:line="440" w:lineRule="exact"/>
              <w:rPr>
                <w:rFonts w:ascii="仿宋" w:hAnsi="仿宋" w:eastAsia="仿宋" w:cs="宋体"/>
                <w:kern w:val="0"/>
                <w:sz w:val="30"/>
                <w:szCs w:val="30"/>
              </w:rPr>
            </w:pPr>
            <w:r>
              <w:rPr>
                <w:rFonts w:hint="eastAsia" w:ascii="仿宋" w:hAnsi="仿宋" w:eastAsia="仿宋" w:cs="宋体"/>
                <w:kern w:val="0"/>
                <w:sz w:val="30"/>
                <w:szCs w:val="30"/>
              </w:rPr>
              <w:t>境内委托会员联系人</w:t>
            </w: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机构名称</w:t>
            </w:r>
          </w:p>
        </w:tc>
        <w:tc>
          <w:tcPr>
            <w:tcW w:w="3190" w:type="pct"/>
            <w:gridSpan w:val="3"/>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姓名</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部门</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职务</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邮箱</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座机</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手机</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restart"/>
            <w:vAlign w:val="center"/>
          </w:tcPr>
          <w:p>
            <w:pPr>
              <w:widowControl/>
              <w:spacing w:line="440" w:lineRule="exact"/>
              <w:rPr>
                <w:rFonts w:ascii="仿宋" w:hAnsi="仿宋" w:eastAsia="仿宋" w:cs="宋体"/>
                <w:kern w:val="0"/>
                <w:sz w:val="30"/>
                <w:szCs w:val="30"/>
              </w:rPr>
            </w:pPr>
            <w:r>
              <w:rPr>
                <w:rFonts w:hint="eastAsia" w:ascii="仿宋" w:hAnsi="仿宋" w:eastAsia="仿宋" w:cs="宋体"/>
                <w:kern w:val="0"/>
                <w:sz w:val="30"/>
                <w:szCs w:val="30"/>
              </w:rPr>
              <w:t>境内托管人</w:t>
            </w: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机构名称</w:t>
            </w:r>
          </w:p>
        </w:tc>
        <w:tc>
          <w:tcPr>
            <w:tcW w:w="3190" w:type="pct"/>
            <w:gridSpan w:val="3"/>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联系人</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部门</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职务</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邮箱</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5" w:type="pct"/>
            <w:vMerge w:val="continue"/>
            <w:vAlign w:val="center"/>
          </w:tcPr>
          <w:p>
            <w:pPr>
              <w:widowControl/>
              <w:spacing w:line="440" w:lineRule="exact"/>
              <w:rPr>
                <w:rFonts w:ascii="仿宋" w:hAnsi="仿宋" w:eastAsia="仿宋" w:cs="宋体"/>
                <w:kern w:val="0"/>
                <w:sz w:val="30"/>
                <w:szCs w:val="30"/>
              </w:rPr>
            </w:pPr>
          </w:p>
        </w:tc>
        <w:tc>
          <w:tcPr>
            <w:tcW w:w="915"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座机</w:t>
            </w:r>
          </w:p>
        </w:tc>
        <w:tc>
          <w:tcPr>
            <w:tcW w:w="1164" w:type="pct"/>
            <w:shd w:val="clear" w:color="auto" w:fill="auto"/>
            <w:vAlign w:val="center"/>
          </w:tcPr>
          <w:p>
            <w:pPr>
              <w:widowControl/>
              <w:spacing w:line="440" w:lineRule="exact"/>
              <w:rPr>
                <w:rFonts w:ascii="仿宋" w:hAnsi="仿宋" w:eastAsia="仿宋" w:cs="宋体"/>
                <w:kern w:val="0"/>
                <w:sz w:val="30"/>
                <w:szCs w:val="30"/>
              </w:rPr>
            </w:pPr>
          </w:p>
        </w:tc>
        <w:tc>
          <w:tcPr>
            <w:tcW w:w="901" w:type="pct"/>
            <w:shd w:val="clear" w:color="auto" w:fill="auto"/>
            <w:vAlign w:val="center"/>
          </w:tcPr>
          <w:p>
            <w:pPr>
              <w:widowControl/>
              <w:spacing w:line="440" w:lineRule="exact"/>
              <w:rPr>
                <w:rFonts w:ascii="仿宋" w:hAnsi="仿宋" w:eastAsia="仿宋" w:cs="Times New Roman"/>
                <w:sz w:val="30"/>
                <w:szCs w:val="30"/>
              </w:rPr>
            </w:pPr>
            <w:r>
              <w:rPr>
                <w:rFonts w:hint="eastAsia" w:ascii="仿宋" w:hAnsi="仿宋" w:eastAsia="仿宋" w:cs="Times New Roman"/>
                <w:sz w:val="30"/>
                <w:szCs w:val="30"/>
              </w:rPr>
              <w:t>手机</w:t>
            </w:r>
          </w:p>
        </w:tc>
        <w:tc>
          <w:tcPr>
            <w:tcW w:w="1125" w:type="pct"/>
            <w:shd w:val="clear" w:color="auto" w:fill="auto"/>
            <w:vAlign w:val="center"/>
          </w:tcPr>
          <w:p>
            <w:pPr>
              <w:widowControl/>
              <w:spacing w:line="440" w:lineRule="exact"/>
              <w:rPr>
                <w:rFonts w:ascii="仿宋" w:hAnsi="仿宋" w:eastAsia="仿宋" w:cs="宋体"/>
                <w:kern w:val="0"/>
                <w:sz w:val="30"/>
                <w:szCs w:val="30"/>
              </w:rPr>
            </w:pPr>
          </w:p>
        </w:tc>
      </w:tr>
    </w:tbl>
    <w:p>
      <w:pPr>
        <w:spacing w:line="560" w:lineRule="exact"/>
        <w:ind w:firstLine="6600" w:firstLineChars="2200"/>
        <w:rPr>
          <w:rFonts w:ascii="仿宋" w:hAnsi="仿宋" w:eastAsia="仿宋" w:cs="Times New Roman"/>
          <w:sz w:val="30"/>
          <w:szCs w:val="30"/>
        </w:rPr>
      </w:pPr>
      <w:r>
        <w:rPr>
          <w:rFonts w:hint="eastAsia" w:ascii="仿宋" w:hAnsi="仿宋" w:eastAsia="仿宋" w:cs="Times New Roman"/>
          <w:sz w:val="30"/>
          <w:szCs w:val="30"/>
        </w:rPr>
        <w:t>填表日期：</w:t>
      </w:r>
    </w:p>
    <w:p>
      <w:pPr>
        <w:widowControl/>
        <w:spacing w:line="560" w:lineRule="exact"/>
        <w:jc w:val="left"/>
        <w:rPr>
          <w:rFonts w:ascii="Calibri" w:hAnsi="Calibri" w:eastAsia="宋体" w:cs="Times New Roman"/>
          <w:sz w:val="21"/>
          <w:szCs w:val="22"/>
        </w:rPr>
      </w:pPr>
      <w:r>
        <w:rPr>
          <w:rFonts w:ascii="仿宋" w:hAnsi="仿宋" w:eastAsia="仿宋" w:cs="Times New Roman"/>
          <w:sz w:val="30"/>
          <w:szCs w:val="30"/>
        </w:rPr>
        <w:t xml:space="preserve">                                      授权代表人签字：</w:t>
      </w:r>
    </w:p>
    <w:p>
      <w:pPr>
        <w:widowControl/>
        <w:jc w:val="left"/>
        <w:rPr>
          <w:rFonts w:ascii="Calibri" w:hAnsi="Calibri" w:eastAsia="宋体" w:cs="Times New Roman"/>
          <w:sz w:val="21"/>
          <w:szCs w:val="22"/>
        </w:rPr>
      </w:pPr>
      <w:r>
        <w:rPr>
          <w:rFonts w:ascii="Calibri" w:hAnsi="Calibri" w:eastAsia="宋体" w:cs="Times New Roman"/>
          <w:sz w:val="21"/>
          <w:szCs w:val="22"/>
        </w:rPr>
        <w:br w:type="page"/>
      </w:r>
      <w:bookmarkStart w:id="21" w:name="_Toc525657833"/>
      <w:bookmarkStart w:id="22" w:name="_Toc68179162"/>
      <w:bookmarkStart w:id="23" w:name="_Toc100753682"/>
      <w:bookmarkStart w:id="24" w:name="_Toc68179504"/>
    </w:p>
    <w:p>
      <w:pPr>
        <w:widowControl/>
        <w:jc w:val="left"/>
        <w:rPr>
          <w:rFonts w:hint="eastAsia" w:ascii="黑体" w:hAnsi="黑体" w:eastAsia="黑体" w:cs="Times New Roman"/>
          <w:bCs/>
          <w:sz w:val="32"/>
          <w:szCs w:val="32"/>
          <w:highlight w:val="none"/>
          <w:lang w:val="en-US" w:eastAsia="zh-CN"/>
        </w:rPr>
      </w:pPr>
      <w:r>
        <w:rPr>
          <w:rFonts w:hint="eastAsia" w:ascii="黑体" w:hAnsi="黑体" w:eastAsia="黑体" w:cs="Times New Roman"/>
          <w:bCs/>
          <w:sz w:val="32"/>
          <w:szCs w:val="32"/>
          <w:highlight w:val="none"/>
        </w:rPr>
        <w:t>附件</w:t>
      </w:r>
      <w:r>
        <w:rPr>
          <w:rFonts w:hint="eastAsia" w:ascii="黑体" w:hAnsi="黑体" w:eastAsia="黑体" w:cs="Times New Roman"/>
          <w:bCs/>
          <w:sz w:val="32"/>
          <w:szCs w:val="32"/>
          <w:highlight w:val="none"/>
          <w:lang w:val="en-US" w:eastAsia="zh-CN"/>
        </w:rPr>
        <w:t>2</w:t>
      </w:r>
      <w:bookmarkEnd w:id="21"/>
      <w:bookmarkEnd w:id="22"/>
      <w:bookmarkEnd w:id="23"/>
      <w:bookmarkEnd w:id="24"/>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黑体" w:hAnsi="黑体" w:eastAsia="黑体" w:cs="Times New Roman"/>
          <w:bCs/>
          <w:sz w:val="32"/>
          <w:szCs w:val="32"/>
        </w:rPr>
      </w:pPr>
      <w:r>
        <w:rPr>
          <w:rFonts w:hint="eastAsia" w:ascii="黑体" w:hAnsi="黑体" w:eastAsia="黑体" w:cs="Times New Roman"/>
          <w:bCs/>
          <w:sz w:val="32"/>
          <w:szCs w:val="32"/>
          <w:highlight w:val="none"/>
        </w:rPr>
        <w:t>互联互通</w:t>
      </w:r>
      <w:r>
        <w:rPr>
          <w:rFonts w:hint="eastAsia" w:ascii="黑体" w:hAnsi="黑体" w:eastAsia="黑体" w:cs="Times New Roman"/>
          <w:bCs/>
          <w:sz w:val="32"/>
          <w:szCs w:val="32"/>
        </w:rPr>
        <w:t>全球存托凭证存托业务账户及基础股票信息</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ascii="黑体" w:hAnsi="黑体" w:eastAsia="黑体" w:cs="Times New Roman"/>
          <w:bCs/>
          <w:sz w:val="32"/>
          <w:szCs w:val="32"/>
        </w:rPr>
      </w:pPr>
      <w:r>
        <w:rPr>
          <w:rFonts w:hint="eastAsia" w:ascii="黑体" w:hAnsi="黑体" w:eastAsia="黑体" w:cs="Times New Roman"/>
          <w:bCs/>
          <w:sz w:val="32"/>
          <w:szCs w:val="32"/>
        </w:rPr>
        <w:t>报备表</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1"/>
        <w:gridCol w:w="1230"/>
        <w:gridCol w:w="1231"/>
        <w:gridCol w:w="1640"/>
        <w:gridCol w:w="1182"/>
        <w:gridCol w:w="1234"/>
        <w:gridCol w:w="1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64" w:type="dxa"/>
            <w:gridSpan w:val="2"/>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公司名称</w:t>
            </w:r>
          </w:p>
        </w:tc>
        <w:tc>
          <w:tcPr>
            <w:tcW w:w="6769" w:type="dxa"/>
            <w:gridSpan w:val="5"/>
            <w:shd w:val="clear" w:color="auto" w:fill="auto"/>
          </w:tcPr>
          <w:p>
            <w:pPr>
              <w:widowControl/>
              <w:spacing w:line="440" w:lineRule="exact"/>
              <w:jc w:val="left"/>
              <w:rPr>
                <w:rFonts w:ascii="仿宋" w:hAnsi="仿宋" w:eastAsia="仿宋" w:cs="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序号</w:t>
            </w:r>
          </w:p>
        </w:tc>
        <w:tc>
          <w:tcPr>
            <w:tcW w:w="1276"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存托基础股票简称</w:t>
            </w:r>
          </w:p>
        </w:tc>
        <w:tc>
          <w:tcPr>
            <w:tcW w:w="1276"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存托基础股票代码</w:t>
            </w:r>
          </w:p>
        </w:tc>
        <w:tc>
          <w:tcPr>
            <w:tcW w:w="1711"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对应全球存托凭证上市的境外证券交易所</w:t>
            </w:r>
          </w:p>
        </w:tc>
        <w:tc>
          <w:tcPr>
            <w:tcW w:w="1224"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存托基础股票的境内托管人</w:t>
            </w:r>
          </w:p>
        </w:tc>
        <w:tc>
          <w:tcPr>
            <w:tcW w:w="1279"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存托专用证券账户户名</w:t>
            </w:r>
          </w:p>
        </w:tc>
        <w:tc>
          <w:tcPr>
            <w:tcW w:w="1279" w:type="dxa"/>
            <w:shd w:val="clear" w:color="auto" w:fill="auto"/>
          </w:tcPr>
          <w:p>
            <w:pPr>
              <w:widowControl/>
              <w:spacing w:line="440" w:lineRule="exact"/>
              <w:jc w:val="left"/>
              <w:rPr>
                <w:rFonts w:ascii="仿宋" w:hAnsi="仿宋" w:eastAsia="仿宋" w:cs="Times New Roman"/>
                <w:sz w:val="30"/>
                <w:szCs w:val="30"/>
              </w:rPr>
            </w:pPr>
            <w:r>
              <w:rPr>
                <w:rFonts w:hint="eastAsia" w:ascii="仿宋" w:hAnsi="仿宋" w:eastAsia="仿宋" w:cs="Times New Roman"/>
                <w:sz w:val="30"/>
                <w:szCs w:val="30"/>
              </w:rPr>
              <w:t>存托专用证券账户账号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shd w:val="clear" w:color="auto" w:fill="auto"/>
          </w:tcPr>
          <w:p>
            <w:pPr>
              <w:widowControl/>
              <w:spacing w:line="440" w:lineRule="exact"/>
              <w:jc w:val="left"/>
              <w:rPr>
                <w:rFonts w:ascii="仿宋" w:hAnsi="仿宋" w:eastAsia="仿宋" w:cs="Times New Roman"/>
                <w:sz w:val="30"/>
                <w:szCs w:val="30"/>
              </w:rPr>
            </w:pPr>
            <w:r>
              <w:rPr>
                <w:rFonts w:ascii="仿宋" w:hAnsi="仿宋" w:eastAsia="仿宋" w:cs="Times New Roman"/>
                <w:sz w:val="30"/>
                <w:szCs w:val="30"/>
              </w:rPr>
              <w:t>1</w:t>
            </w:r>
          </w:p>
        </w:tc>
        <w:tc>
          <w:tcPr>
            <w:tcW w:w="1276" w:type="dxa"/>
            <w:shd w:val="clear" w:color="auto" w:fill="auto"/>
          </w:tcPr>
          <w:p>
            <w:pPr>
              <w:widowControl/>
              <w:spacing w:line="440" w:lineRule="exact"/>
              <w:jc w:val="left"/>
              <w:rPr>
                <w:rFonts w:ascii="仿宋" w:hAnsi="仿宋" w:eastAsia="仿宋" w:cs="Times New Roman"/>
                <w:sz w:val="30"/>
                <w:szCs w:val="30"/>
              </w:rPr>
            </w:pPr>
          </w:p>
        </w:tc>
        <w:tc>
          <w:tcPr>
            <w:tcW w:w="1276" w:type="dxa"/>
            <w:shd w:val="clear" w:color="auto" w:fill="auto"/>
          </w:tcPr>
          <w:p>
            <w:pPr>
              <w:widowControl/>
              <w:spacing w:line="440" w:lineRule="exact"/>
              <w:jc w:val="left"/>
              <w:rPr>
                <w:rFonts w:ascii="仿宋" w:hAnsi="仿宋" w:eastAsia="仿宋" w:cs="Times New Roman"/>
                <w:sz w:val="30"/>
                <w:szCs w:val="30"/>
              </w:rPr>
            </w:pPr>
          </w:p>
        </w:tc>
        <w:tc>
          <w:tcPr>
            <w:tcW w:w="1711" w:type="dxa"/>
            <w:shd w:val="clear" w:color="auto" w:fill="auto"/>
          </w:tcPr>
          <w:p>
            <w:pPr>
              <w:widowControl/>
              <w:spacing w:line="440" w:lineRule="exact"/>
              <w:jc w:val="left"/>
              <w:rPr>
                <w:rFonts w:ascii="仿宋" w:hAnsi="仿宋" w:eastAsia="仿宋" w:cs="Times New Roman"/>
                <w:sz w:val="30"/>
                <w:szCs w:val="30"/>
              </w:rPr>
            </w:pPr>
          </w:p>
        </w:tc>
        <w:tc>
          <w:tcPr>
            <w:tcW w:w="1224" w:type="dxa"/>
            <w:shd w:val="clear" w:color="auto" w:fill="auto"/>
          </w:tcPr>
          <w:p>
            <w:pPr>
              <w:widowControl/>
              <w:spacing w:line="440" w:lineRule="exact"/>
              <w:jc w:val="left"/>
              <w:rPr>
                <w:rFonts w:ascii="仿宋" w:hAnsi="仿宋" w:eastAsia="仿宋" w:cs="Times New Roman"/>
                <w:sz w:val="30"/>
                <w:szCs w:val="30"/>
              </w:rPr>
            </w:pPr>
          </w:p>
        </w:tc>
        <w:tc>
          <w:tcPr>
            <w:tcW w:w="1279" w:type="dxa"/>
            <w:shd w:val="clear" w:color="auto" w:fill="auto"/>
          </w:tcPr>
          <w:p>
            <w:pPr>
              <w:widowControl/>
              <w:spacing w:line="440" w:lineRule="exact"/>
              <w:jc w:val="left"/>
              <w:rPr>
                <w:rFonts w:ascii="仿宋" w:hAnsi="仿宋" w:eastAsia="仿宋" w:cs="Times New Roman"/>
                <w:sz w:val="30"/>
                <w:szCs w:val="30"/>
              </w:rPr>
            </w:pPr>
          </w:p>
        </w:tc>
        <w:tc>
          <w:tcPr>
            <w:tcW w:w="1279" w:type="dxa"/>
            <w:shd w:val="clear" w:color="auto" w:fill="auto"/>
          </w:tcPr>
          <w:p>
            <w:pPr>
              <w:widowControl/>
              <w:spacing w:line="440" w:lineRule="exact"/>
              <w:jc w:val="left"/>
              <w:rPr>
                <w:rFonts w:ascii="仿宋" w:hAnsi="仿宋" w:eastAsia="仿宋" w:cs="Times New Roman"/>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8" w:type="dxa"/>
            <w:shd w:val="clear" w:color="auto" w:fill="auto"/>
          </w:tcPr>
          <w:p>
            <w:pPr>
              <w:widowControl/>
              <w:spacing w:line="440" w:lineRule="exact"/>
              <w:jc w:val="left"/>
              <w:rPr>
                <w:rFonts w:ascii="仿宋" w:hAnsi="仿宋" w:eastAsia="仿宋" w:cs="Times New Roman"/>
                <w:sz w:val="30"/>
                <w:szCs w:val="30"/>
              </w:rPr>
            </w:pPr>
            <w:r>
              <w:rPr>
                <w:rFonts w:ascii="仿宋" w:hAnsi="仿宋" w:eastAsia="仿宋" w:cs="Times New Roman"/>
                <w:sz w:val="30"/>
                <w:szCs w:val="30"/>
              </w:rPr>
              <w:t>2</w:t>
            </w:r>
          </w:p>
        </w:tc>
        <w:tc>
          <w:tcPr>
            <w:tcW w:w="1276" w:type="dxa"/>
            <w:shd w:val="clear" w:color="auto" w:fill="auto"/>
          </w:tcPr>
          <w:p>
            <w:pPr>
              <w:widowControl/>
              <w:spacing w:line="440" w:lineRule="exact"/>
              <w:jc w:val="left"/>
              <w:rPr>
                <w:rFonts w:ascii="仿宋" w:hAnsi="仿宋" w:eastAsia="仿宋" w:cs="Times New Roman"/>
                <w:sz w:val="30"/>
                <w:szCs w:val="30"/>
              </w:rPr>
            </w:pPr>
          </w:p>
        </w:tc>
        <w:tc>
          <w:tcPr>
            <w:tcW w:w="1276" w:type="dxa"/>
            <w:shd w:val="clear" w:color="auto" w:fill="auto"/>
          </w:tcPr>
          <w:p>
            <w:pPr>
              <w:widowControl/>
              <w:spacing w:line="440" w:lineRule="exact"/>
              <w:jc w:val="left"/>
              <w:rPr>
                <w:rFonts w:ascii="仿宋" w:hAnsi="仿宋" w:eastAsia="仿宋" w:cs="Times New Roman"/>
                <w:sz w:val="30"/>
                <w:szCs w:val="30"/>
              </w:rPr>
            </w:pPr>
          </w:p>
        </w:tc>
        <w:tc>
          <w:tcPr>
            <w:tcW w:w="1711" w:type="dxa"/>
            <w:shd w:val="clear" w:color="auto" w:fill="auto"/>
          </w:tcPr>
          <w:p>
            <w:pPr>
              <w:widowControl/>
              <w:spacing w:line="440" w:lineRule="exact"/>
              <w:jc w:val="left"/>
              <w:rPr>
                <w:rFonts w:ascii="仿宋" w:hAnsi="仿宋" w:eastAsia="仿宋" w:cs="Times New Roman"/>
                <w:sz w:val="30"/>
                <w:szCs w:val="30"/>
              </w:rPr>
            </w:pPr>
          </w:p>
        </w:tc>
        <w:tc>
          <w:tcPr>
            <w:tcW w:w="1224" w:type="dxa"/>
            <w:shd w:val="clear" w:color="auto" w:fill="auto"/>
          </w:tcPr>
          <w:p>
            <w:pPr>
              <w:widowControl/>
              <w:spacing w:line="440" w:lineRule="exact"/>
              <w:jc w:val="left"/>
              <w:rPr>
                <w:rFonts w:ascii="仿宋" w:hAnsi="仿宋" w:eastAsia="仿宋" w:cs="Times New Roman"/>
                <w:sz w:val="30"/>
                <w:szCs w:val="30"/>
              </w:rPr>
            </w:pPr>
          </w:p>
        </w:tc>
        <w:tc>
          <w:tcPr>
            <w:tcW w:w="1279" w:type="dxa"/>
            <w:shd w:val="clear" w:color="auto" w:fill="auto"/>
          </w:tcPr>
          <w:p>
            <w:pPr>
              <w:widowControl/>
              <w:spacing w:line="440" w:lineRule="exact"/>
              <w:jc w:val="left"/>
              <w:rPr>
                <w:rFonts w:ascii="仿宋" w:hAnsi="仿宋" w:eastAsia="仿宋" w:cs="Times New Roman"/>
                <w:sz w:val="30"/>
                <w:szCs w:val="30"/>
              </w:rPr>
            </w:pPr>
          </w:p>
        </w:tc>
        <w:tc>
          <w:tcPr>
            <w:tcW w:w="1279" w:type="dxa"/>
            <w:shd w:val="clear" w:color="auto" w:fill="auto"/>
          </w:tcPr>
          <w:p>
            <w:pPr>
              <w:widowControl/>
              <w:spacing w:line="440" w:lineRule="exact"/>
              <w:jc w:val="left"/>
              <w:rPr>
                <w:rFonts w:ascii="仿宋" w:hAnsi="仿宋" w:eastAsia="仿宋" w:cs="Times New Roman"/>
                <w:sz w:val="30"/>
                <w:szCs w:val="30"/>
              </w:rPr>
            </w:pPr>
          </w:p>
        </w:tc>
      </w:tr>
    </w:tbl>
    <w:p>
      <w:pPr>
        <w:spacing w:line="560" w:lineRule="exact"/>
        <w:ind w:firstLine="6600" w:firstLineChars="2200"/>
        <w:rPr>
          <w:rFonts w:ascii="仿宋" w:hAnsi="仿宋" w:eastAsia="仿宋" w:cs="Times New Roman"/>
          <w:sz w:val="30"/>
          <w:szCs w:val="30"/>
        </w:rPr>
      </w:pPr>
      <w:r>
        <w:rPr>
          <w:rFonts w:hint="eastAsia" w:ascii="仿宋" w:hAnsi="仿宋" w:eastAsia="仿宋" w:cs="Times New Roman"/>
          <w:sz w:val="30"/>
          <w:szCs w:val="30"/>
        </w:rPr>
        <w:t>填表日期：</w:t>
      </w:r>
    </w:p>
    <w:p>
      <w:pPr>
        <w:widowControl/>
        <w:spacing w:line="560" w:lineRule="exact"/>
        <w:jc w:val="left"/>
        <w:rPr>
          <w:rFonts w:ascii="Calibri" w:hAnsi="Calibri" w:eastAsia="宋体" w:cs="Times New Roman"/>
          <w:sz w:val="21"/>
          <w:szCs w:val="22"/>
        </w:rPr>
      </w:pPr>
      <w:r>
        <w:rPr>
          <w:rFonts w:ascii="仿宋" w:hAnsi="仿宋" w:eastAsia="仿宋" w:cs="Times New Roman"/>
          <w:sz w:val="30"/>
          <w:szCs w:val="30"/>
        </w:rPr>
        <w:t xml:space="preserve">                                      授权代表人签字：</w:t>
      </w: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200" w:lineRule="exact"/>
        <w:rPr>
          <w:rFonts w:ascii="仿宋" w:hAnsi="仿宋" w:eastAsia="仿宋" w:cs="Times New Roman"/>
          <w:bCs/>
          <w:sz w:val="32"/>
          <w:szCs w:val="32"/>
        </w:rPr>
      </w:pPr>
    </w:p>
    <w:p>
      <w:pPr>
        <w:spacing w:line="560" w:lineRule="exact"/>
        <w:ind w:left="210" w:leftChars="100" w:right="210" w:rightChars="100"/>
        <w:rPr>
          <w:rFonts w:ascii="仿宋" w:hAnsi="仿宋" w:eastAsia="仿宋" w:cs="Times New Roman"/>
          <w:sz w:val="28"/>
          <w:szCs w:val="28"/>
        </w:rPr>
      </w:pPr>
    </w:p>
    <w:p>
      <w:pPr>
        <w:rPr>
          <w:rFonts w:ascii="Times New Roman" w:hAnsi="Times New Roman" w:eastAsia="仿宋" w:cs="Times New Roman"/>
          <w:sz w:val="32"/>
          <w:szCs w:val="24"/>
        </w:rPr>
      </w:pPr>
    </w:p>
    <w:p/>
    <w:sectPr>
      <w:footerReference r:id="rId5" w:type="first"/>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8807183"/>
      <w:docPartObj>
        <w:docPartGallery w:val="autotext"/>
      </w:docPartObj>
    </w:sdtPr>
    <w:sdtContent>
      <w:p>
        <w:pPr>
          <w:pStyle w:val="8"/>
          <w:tabs>
            <w:tab w:val="left" w:pos="1354"/>
          </w:tabs>
        </w:pPr>
        <w:r>
          <w:tab/>
        </w:r>
        <w:r>
          <w:tab/>
        </w:r>
      </w:p>
    </w:sdtContent>
  </w:sdt>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04650486"/>
      <w:docPartObj>
        <w:docPartGallery w:val="autotext"/>
      </w:docPartObj>
    </w:sdtPr>
    <w:sdtContent>
      <w:p>
        <w:pPr>
          <w:pStyle w:val="8"/>
          <w:jc w:val="center"/>
        </w:pPr>
        <w:r>
          <w:fldChar w:fldCharType="begin"/>
        </w:r>
        <w:r>
          <w:instrText xml:space="preserve">PAGE   \* MERGEFORMAT</w:instrText>
        </w:r>
        <w:r>
          <w:fldChar w:fldCharType="separate"/>
        </w:r>
        <w:r>
          <w:rPr>
            <w:lang w:val="zh-CN"/>
          </w:rPr>
          <w:t>32</w:t>
        </w:r>
        <w:r>
          <w:fldChar w:fldCharType="end"/>
        </w:r>
      </w:p>
    </w:sdtContent>
  </w:sdt>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29895861"/>
      <w:docPartObj>
        <w:docPartGallery w:val="autotext"/>
      </w:docPartObj>
    </w:sdtPr>
    <w:sdtContent>
      <w:p>
        <w:pPr>
          <w:pStyle w:val="8"/>
          <w:jc w:val="center"/>
        </w:pPr>
        <w:r>
          <w:fldChar w:fldCharType="begin"/>
        </w:r>
        <w:r>
          <w:instrText xml:space="preserve">PAGE   \* MERGEFORMAT</w:instrText>
        </w:r>
        <w:r>
          <w:fldChar w:fldCharType="separate"/>
        </w:r>
        <w:r>
          <w:rPr>
            <w:lang w:val="zh-CN"/>
          </w:rPr>
          <w:t>1</w:t>
        </w:r>
        <w:r>
          <w:fldChar w:fldCharType="end"/>
        </w:r>
      </w:p>
    </w:sdtContent>
  </w:sdt>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7FE6D9"/>
    <w:multiLevelType w:val="singleLevel"/>
    <w:tmpl w:val="C57FE6D9"/>
    <w:lvl w:ilvl="0" w:tentative="0">
      <w:start w:val="1"/>
      <w:numFmt w:val="chineseCounting"/>
      <w:suff w:val="nothing"/>
      <w:lvlText w:val="（%1）"/>
      <w:lvlJc w:val="left"/>
      <w:rPr>
        <w:rFonts w:hint="eastAsia"/>
      </w:rPr>
    </w:lvl>
  </w:abstractNum>
  <w:abstractNum w:abstractNumId="1">
    <w:nsid w:val="EDA0A085"/>
    <w:multiLevelType w:val="singleLevel"/>
    <w:tmpl w:val="EDA0A085"/>
    <w:lvl w:ilvl="0" w:tentative="0">
      <w:start w:val="1"/>
      <w:numFmt w:val="decimal"/>
      <w:suff w:val="space"/>
      <w:lvlText w:val="%1."/>
      <w:lvlJc w:val="left"/>
    </w:lvl>
  </w:abstractNum>
  <w:abstractNum w:abstractNumId="2">
    <w:nsid w:val="370631CD"/>
    <w:multiLevelType w:val="singleLevel"/>
    <w:tmpl w:val="370631CD"/>
    <w:lvl w:ilvl="0" w:tentative="0">
      <w:start w:val="6"/>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D3A"/>
    <w:rsid w:val="000E3C7F"/>
    <w:rsid w:val="0020392E"/>
    <w:rsid w:val="002B013A"/>
    <w:rsid w:val="00457909"/>
    <w:rsid w:val="005B4F79"/>
    <w:rsid w:val="00701135"/>
    <w:rsid w:val="00810E5C"/>
    <w:rsid w:val="008F4272"/>
    <w:rsid w:val="009A1AD5"/>
    <w:rsid w:val="009B74A7"/>
    <w:rsid w:val="009D7FF2"/>
    <w:rsid w:val="009F3F80"/>
    <w:rsid w:val="00A65ECD"/>
    <w:rsid w:val="00B506B2"/>
    <w:rsid w:val="00B91B1D"/>
    <w:rsid w:val="00CF24AA"/>
    <w:rsid w:val="00D0011E"/>
    <w:rsid w:val="00D36474"/>
    <w:rsid w:val="00D72D3A"/>
    <w:rsid w:val="00E024A8"/>
    <w:rsid w:val="00EB341D"/>
    <w:rsid w:val="020375D1"/>
    <w:rsid w:val="02601488"/>
    <w:rsid w:val="03D5046D"/>
    <w:rsid w:val="0BF477A6"/>
    <w:rsid w:val="16EC568C"/>
    <w:rsid w:val="1BEF5058"/>
    <w:rsid w:val="1D020F95"/>
    <w:rsid w:val="24951681"/>
    <w:rsid w:val="255B32D7"/>
    <w:rsid w:val="276A23D9"/>
    <w:rsid w:val="39ED7C44"/>
    <w:rsid w:val="4B350BB3"/>
    <w:rsid w:val="532C7EB0"/>
    <w:rsid w:val="590A7690"/>
    <w:rsid w:val="5BDA7F67"/>
    <w:rsid w:val="5BE84759"/>
    <w:rsid w:val="5DB650E1"/>
    <w:rsid w:val="5DE9268A"/>
    <w:rsid w:val="632F7F49"/>
    <w:rsid w:val="6477327D"/>
    <w:rsid w:val="6DCB6833"/>
    <w:rsid w:val="702119A3"/>
    <w:rsid w:val="70D65532"/>
    <w:rsid w:val="73E2367B"/>
    <w:rsid w:val="75571021"/>
    <w:rsid w:val="7A1D7044"/>
    <w:rsid w:val="7BFB296D"/>
    <w:rsid w:val="7C237B30"/>
    <w:rsid w:val="7D9505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9"/>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0"/>
    <w:unhideWhenUsed/>
    <w:qFormat/>
    <w:uiPriority w:val="9"/>
    <w:pPr>
      <w:keepNext/>
      <w:keepLines/>
      <w:spacing w:line="560" w:lineRule="exact"/>
      <w:outlineLvl w:val="1"/>
    </w:pPr>
    <w:rPr>
      <w:rFonts w:eastAsia="黑体" w:asciiTheme="majorHAnsi" w:hAnsiTheme="majorHAnsi" w:cstheme="majorBidi"/>
      <w:bCs/>
      <w:sz w:val="32"/>
      <w:szCs w:val="32"/>
    </w:rPr>
  </w:style>
  <w:style w:type="paragraph" w:styleId="4">
    <w:name w:val="heading 3"/>
    <w:basedOn w:val="1"/>
    <w:next w:val="1"/>
    <w:link w:val="21"/>
    <w:unhideWhenUsed/>
    <w:qFormat/>
    <w:uiPriority w:val="9"/>
    <w:pPr>
      <w:keepNext/>
      <w:keepLines/>
      <w:spacing w:line="560" w:lineRule="exact"/>
      <w:outlineLvl w:val="2"/>
    </w:pPr>
    <w:rPr>
      <w:rFonts w:eastAsia="仿宋"/>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2"/>
    <w:semiHidden/>
    <w:unhideWhenUsed/>
    <w:qFormat/>
    <w:uiPriority w:val="99"/>
    <w:pPr>
      <w:jc w:val="left"/>
    </w:pPr>
  </w:style>
  <w:style w:type="paragraph" w:styleId="6">
    <w:name w:val="toc 3"/>
    <w:basedOn w:val="1"/>
    <w:next w:val="1"/>
    <w:unhideWhenUsed/>
    <w:qFormat/>
    <w:uiPriority w:val="39"/>
    <w:pPr>
      <w:ind w:left="840" w:leftChars="400"/>
    </w:pPr>
  </w:style>
  <w:style w:type="paragraph" w:styleId="7">
    <w:name w:val="Balloon Text"/>
    <w:basedOn w:val="1"/>
    <w:link w:val="23"/>
    <w:semiHidden/>
    <w:unhideWhenUsed/>
    <w:qFormat/>
    <w:uiPriority w:val="99"/>
    <w:rPr>
      <w:sz w:val="18"/>
      <w:szCs w:val="18"/>
    </w:rPr>
  </w:style>
  <w:style w:type="paragraph" w:styleId="8">
    <w:name w:val="footer"/>
    <w:basedOn w:val="1"/>
    <w:link w:val="18"/>
    <w:unhideWhenUsed/>
    <w:qFormat/>
    <w:uiPriority w:val="99"/>
    <w:pPr>
      <w:tabs>
        <w:tab w:val="center" w:pos="4153"/>
        <w:tab w:val="right" w:pos="8306"/>
      </w:tabs>
      <w:snapToGrid w:val="0"/>
      <w:jc w:val="left"/>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2"/>
    <w:basedOn w:val="1"/>
    <w:next w:val="1"/>
    <w:unhideWhenUsed/>
    <w:qFormat/>
    <w:uiPriority w:val="39"/>
    <w:pPr>
      <w:ind w:left="420" w:leftChars="200"/>
    </w:pPr>
  </w:style>
  <w:style w:type="paragraph" w:styleId="11">
    <w:name w:val="annotation subject"/>
    <w:basedOn w:val="5"/>
    <w:next w:val="5"/>
    <w:link w:val="24"/>
    <w:semiHidden/>
    <w:unhideWhenUsed/>
    <w:qFormat/>
    <w:uiPriority w:val="99"/>
    <w:rPr>
      <w:b/>
      <w:bCs/>
    </w:rPr>
  </w:style>
  <w:style w:type="table" w:styleId="13">
    <w:name w:val="Table Grid"/>
    <w:basedOn w:val="12"/>
    <w:qFormat/>
    <w:uiPriority w:val="5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unhideWhenUsed/>
    <w:qFormat/>
    <w:uiPriority w:val="99"/>
    <w:rPr>
      <w:color w:val="0000FF" w:themeColor="hyperlink"/>
      <w:u w:val="single"/>
      <w14:textFill>
        <w14:solidFill>
          <w14:schemeClr w14:val="hlink"/>
        </w14:solidFill>
      </w14:textFill>
    </w:rPr>
  </w:style>
  <w:style w:type="character" w:styleId="16">
    <w:name w:val="annotation reference"/>
    <w:basedOn w:val="14"/>
    <w:semiHidden/>
    <w:unhideWhenUsed/>
    <w:qFormat/>
    <w:uiPriority w:val="99"/>
    <w:rPr>
      <w:sz w:val="21"/>
      <w:szCs w:val="21"/>
    </w:rPr>
  </w:style>
  <w:style w:type="character" w:customStyle="1" w:styleId="17">
    <w:name w:val="页眉 Char"/>
    <w:basedOn w:val="14"/>
    <w:link w:val="9"/>
    <w:qFormat/>
    <w:uiPriority w:val="99"/>
    <w:rPr>
      <w:sz w:val="18"/>
      <w:szCs w:val="18"/>
    </w:rPr>
  </w:style>
  <w:style w:type="character" w:customStyle="1" w:styleId="18">
    <w:name w:val="页脚 Char"/>
    <w:basedOn w:val="14"/>
    <w:link w:val="8"/>
    <w:qFormat/>
    <w:uiPriority w:val="99"/>
    <w:rPr>
      <w:sz w:val="18"/>
      <w:szCs w:val="18"/>
    </w:rPr>
  </w:style>
  <w:style w:type="character" w:customStyle="1" w:styleId="19">
    <w:name w:val="标题 1 Char"/>
    <w:basedOn w:val="14"/>
    <w:link w:val="2"/>
    <w:qFormat/>
    <w:uiPriority w:val="9"/>
    <w:rPr>
      <w:b/>
      <w:bCs/>
      <w:kern w:val="44"/>
      <w:sz w:val="44"/>
      <w:szCs w:val="44"/>
    </w:rPr>
  </w:style>
  <w:style w:type="character" w:customStyle="1" w:styleId="20">
    <w:name w:val="标题 2 Char"/>
    <w:basedOn w:val="14"/>
    <w:link w:val="3"/>
    <w:qFormat/>
    <w:uiPriority w:val="9"/>
    <w:rPr>
      <w:rFonts w:eastAsia="黑体" w:asciiTheme="majorHAnsi" w:hAnsiTheme="majorHAnsi" w:cstheme="majorBidi"/>
      <w:bCs/>
      <w:sz w:val="32"/>
      <w:szCs w:val="32"/>
    </w:rPr>
  </w:style>
  <w:style w:type="character" w:customStyle="1" w:styleId="21">
    <w:name w:val="标题 3 Char"/>
    <w:basedOn w:val="14"/>
    <w:link w:val="4"/>
    <w:qFormat/>
    <w:uiPriority w:val="9"/>
    <w:rPr>
      <w:rFonts w:eastAsia="仿宋"/>
      <w:b/>
      <w:bCs/>
      <w:sz w:val="32"/>
      <w:szCs w:val="32"/>
    </w:rPr>
  </w:style>
  <w:style w:type="character" w:customStyle="1" w:styleId="22">
    <w:name w:val="批注文字 Char"/>
    <w:basedOn w:val="14"/>
    <w:link w:val="5"/>
    <w:semiHidden/>
    <w:qFormat/>
    <w:uiPriority w:val="99"/>
  </w:style>
  <w:style w:type="character" w:customStyle="1" w:styleId="23">
    <w:name w:val="批注框文本 Char"/>
    <w:basedOn w:val="14"/>
    <w:link w:val="7"/>
    <w:semiHidden/>
    <w:qFormat/>
    <w:uiPriority w:val="99"/>
    <w:rPr>
      <w:sz w:val="18"/>
      <w:szCs w:val="18"/>
    </w:rPr>
  </w:style>
  <w:style w:type="character" w:customStyle="1" w:styleId="24">
    <w:name w:val="批注主题 Char"/>
    <w:basedOn w:val="22"/>
    <w:link w:val="11"/>
    <w:semiHidden/>
    <w:qFormat/>
    <w:uiPriority w:val="99"/>
    <w:rPr>
      <w:b/>
      <w:bCs/>
    </w:rPr>
  </w:style>
  <w:style w:type="paragraph" w:styleId="25">
    <w:name w:val="List Paragraph"/>
    <w:basedOn w:val="1"/>
    <w:qFormat/>
    <w:uiPriority w:val="34"/>
    <w:pPr>
      <w:ind w:firstLine="420" w:firstLineChars="200"/>
    </w:pPr>
    <w:rPr>
      <w:rFonts w:ascii="Times New Roman" w:hAnsi="Times New Roman"/>
      <w:szCs w:val="24"/>
      <w:lang w:val="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DE1F73-3FDB-431E-A75E-591693F3739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2720</Words>
  <Characters>15508</Characters>
  <Lines>129</Lines>
  <Paragraphs>36</Paragraphs>
  <TotalTime>0</TotalTime>
  <ScaleCrop>false</ScaleCrop>
  <LinksUpToDate>false</LinksUpToDate>
  <CharactersWithSpaces>18192</CharactersWithSpaces>
  <Application>WPS Office_11.8.2.12080_F1E327BC-269C-435d-A152-05C5408002CA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2021-10-15T10:51:00Z</dcterms:created>
  <dc:creator>NTKO</dc:creator>
  <cp:lastModifiedBy>xxb19</cp:lastModifiedBy>
  <dcterms:modified xsi:type="dcterms:W3CDTF">2023-09-09T03:19:44Z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2052-11.8.2.12080</vt:lpwstr>
  </property>
  <property fmtid="{D5CDD505-2E9C-101B-9397-08002B2CF9AE}" pid="3" name="ICV">
    <vt:lpwstr>DFC048D7C7584C14959D114CE7D032E8</vt:lpwstr>
  </property>
</Properties>
</file>