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监管服务事项</w:t>
      </w:r>
      <w:r>
        <w:rPr>
          <w:rFonts w:hint="eastAsia" w:ascii="Times New Roman" w:hAnsi="Times New Roman" w:eastAsia="方正小标宋简体" w:cs="Times New Roman"/>
          <w:sz w:val="44"/>
          <w:szCs w:val="44"/>
        </w:rPr>
        <w:t>办事</w:t>
      </w:r>
      <w:r>
        <w:rPr>
          <w:rFonts w:ascii="Times New Roman" w:hAnsi="Times New Roman" w:eastAsia="方正小标宋简体" w:cs="Times New Roman"/>
          <w:sz w:val="44"/>
          <w:szCs w:val="44"/>
        </w:rPr>
        <w:t>指南</w:t>
      </w:r>
    </w:p>
    <w:p>
      <w:pPr>
        <w:spacing w:line="560" w:lineRule="exact"/>
        <w:jc w:val="center"/>
        <w:rPr>
          <w:rFonts w:ascii="Times New Roman" w:hAnsi="Times New Roman" w:eastAsia="仿宋" w:cs="Times New Roman"/>
          <w:b/>
          <w:sz w:val="44"/>
          <w:szCs w:val="44"/>
        </w:rPr>
      </w:pPr>
      <w:r>
        <w:rPr>
          <w:rFonts w:hint="eastAsia" w:ascii="Times New Roman" w:hAnsi="Times New Roman" w:eastAsia="仿宋" w:cs="Times New Roman"/>
          <w:b/>
          <w:sz w:val="44"/>
          <w:szCs w:val="44"/>
        </w:rPr>
        <w:t>期权做市商</w:t>
      </w:r>
      <w:r>
        <w:rPr>
          <w:rFonts w:ascii="Times New Roman" w:hAnsi="Times New Roman" w:eastAsia="仿宋" w:cs="Times New Roman"/>
          <w:b/>
          <w:sz w:val="44"/>
          <w:szCs w:val="44"/>
        </w:rPr>
        <w:t>业务办理</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目录</w:t>
      </w:r>
    </w:p>
    <w:p>
      <w:pPr>
        <w:spacing w:line="560" w:lineRule="exact"/>
        <w:jc w:val="center"/>
        <w:rPr>
          <w:rFonts w:ascii="Times New Roman" w:hAnsi="Times New Roman" w:eastAsia="黑体" w:cs="Times New Roman"/>
          <w:sz w:val="32"/>
          <w:szCs w:val="32"/>
        </w:rPr>
      </w:pPr>
    </w:p>
    <w:p>
      <w:pPr>
        <w:pStyle w:val="11"/>
        <w:tabs>
          <w:tab w:val="right" w:leader="dot" w:pos="8306"/>
        </w:tabs>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"_Toc28577"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_Toc28577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"_Toc7581"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_Toc7581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"_Toc19487"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_Toc19487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"_Toc5036"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_Toc5036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"_Toc3708" </w:instrText>
      </w:r>
      <w:r>
        <w:fldChar w:fldCharType="separate"/>
      </w:r>
      <w:r>
        <w:rPr>
          <w:rFonts w:hint="eastAsia" w:ascii="仿宋" w:hAnsi="仿宋" w:eastAsia="仿宋" w:cs="仿宋"/>
          <w:sz w:val="28"/>
          <w:szCs w:val="28"/>
        </w:rPr>
        <w:t>五、办理时限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_Toc3708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"_Toc2454" </w:instrText>
      </w:r>
      <w:r>
        <w:fldChar w:fldCharType="separate"/>
      </w:r>
      <w:r>
        <w:rPr>
          <w:rFonts w:hint="eastAsia" w:ascii="仿宋" w:hAnsi="仿宋" w:eastAsia="仿宋" w:cs="仿宋"/>
          <w:sz w:val="28"/>
          <w:szCs w:val="28"/>
        </w:rPr>
        <w:t>六、申请条件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"_Toc30168" </w:instrText>
      </w:r>
      <w:r>
        <w:fldChar w:fldCharType="separate"/>
      </w:r>
      <w:r>
        <w:rPr>
          <w:rFonts w:hint="eastAsia" w:ascii="仿宋" w:hAnsi="仿宋" w:eastAsia="仿宋" w:cs="仿宋"/>
          <w:sz w:val="28"/>
          <w:szCs w:val="28"/>
        </w:rPr>
        <w:t>七、申请材料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_Toc30168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"_Toc30672" </w:instrText>
      </w:r>
      <w:r>
        <w:fldChar w:fldCharType="separate"/>
      </w:r>
      <w:r>
        <w:rPr>
          <w:rFonts w:hint="eastAsia" w:ascii="仿宋" w:hAnsi="仿宋" w:eastAsia="仿宋" w:cs="仿宋"/>
          <w:sz w:val="28"/>
          <w:szCs w:val="28"/>
        </w:rPr>
        <w:t>八、材料接收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_Toc30672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"_Toc16224" </w:instrText>
      </w:r>
      <w:r>
        <w:fldChar w:fldCharType="separate"/>
      </w:r>
      <w:r>
        <w:rPr>
          <w:rFonts w:hint="eastAsia" w:ascii="仿宋" w:hAnsi="仿宋" w:eastAsia="仿宋" w:cs="仿宋"/>
          <w:sz w:val="28"/>
          <w:szCs w:val="28"/>
        </w:rPr>
        <w:t>九、办理流程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_Toc16224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"_Toc23347" </w:instrText>
      </w:r>
      <w:r>
        <w:fldChar w:fldCharType="separate"/>
      </w:r>
      <w:r>
        <w:rPr>
          <w:rFonts w:hint="eastAsia" w:ascii="仿宋" w:hAnsi="仿宋" w:eastAsia="仿宋" w:cs="仿宋"/>
          <w:sz w:val="28"/>
          <w:szCs w:val="28"/>
        </w:rPr>
        <w:t>十、办理结果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_Toc23347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"_Toc24420" </w:instrText>
      </w:r>
      <w:r>
        <w:fldChar w:fldCharType="separate"/>
      </w:r>
      <w:r>
        <w:rPr>
          <w:rFonts w:hint="eastAsia" w:ascii="仿宋" w:hAnsi="仿宋" w:eastAsia="仿宋" w:cs="仿宋"/>
          <w:sz w:val="28"/>
          <w:szCs w:val="28"/>
        </w:rPr>
        <w:t>十一、咨询途径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_Toc24420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"_Toc32322" </w:instrText>
      </w:r>
      <w:r>
        <w:fldChar w:fldCharType="separate"/>
      </w:r>
      <w:r>
        <w:rPr>
          <w:rFonts w:hint="eastAsia" w:ascii="仿宋" w:hAnsi="仿宋" w:eastAsia="仿宋" w:cs="仿宋"/>
          <w:sz w:val="28"/>
          <w:szCs w:val="28"/>
        </w:rPr>
        <w:t>十二、办理地点和时间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_Toc32322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"_Toc21039" </w:instrText>
      </w:r>
      <w:r>
        <w:fldChar w:fldCharType="separate"/>
      </w:r>
      <w:r>
        <w:rPr>
          <w:rFonts w:hint="eastAsia" w:ascii="仿宋" w:hAnsi="仿宋" w:eastAsia="仿宋" w:cs="仿宋"/>
          <w:sz w:val="28"/>
          <w:szCs w:val="28"/>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_Toc21039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spacing w:line="400" w:lineRule="exact"/>
        <w:rPr>
          <w:rFonts w:ascii="仿宋" w:hAnsi="仿宋" w:eastAsia="仿宋" w:cs="仿宋"/>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p>
      <w:pPr>
        <w:pStyle w:val="3"/>
        <w:ind w:firstLine="640" w:firstLineChars="200"/>
        <w:rPr>
          <w:rFonts w:ascii="Times New Roman" w:hAnsi="Times New Roman" w:cs="Times New Roman"/>
        </w:rPr>
      </w:pPr>
      <w:bookmarkStart w:id="0" w:name="_Toc28577"/>
      <w:r>
        <w:rPr>
          <w:rFonts w:ascii="Times New Roman" w:hAnsi="Times New Roman" w:cs="Times New Roman"/>
        </w:rPr>
        <w:t>一、事项名称</w:t>
      </w:r>
      <w:bookmarkEnd w:id="0"/>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期权做市商</w:t>
      </w:r>
      <w:r>
        <w:rPr>
          <w:rFonts w:ascii="Times New Roman" w:hAnsi="Times New Roman" w:eastAsia="仿宋" w:cs="Times New Roman"/>
          <w:sz w:val="32"/>
          <w:szCs w:val="32"/>
        </w:rPr>
        <w:t>业务办理</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1" w:name="_Toc7581"/>
      <w:r>
        <w:rPr>
          <w:rFonts w:ascii="Times New Roman" w:hAnsi="Times New Roman" w:cs="Times New Roman"/>
        </w:rPr>
        <w:t>二、规则依据</w:t>
      </w:r>
      <w:bookmarkEnd w:id="1"/>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《股票期权交易试点管理办法》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《证券期货经营机构参与股票期权交易试点指引》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《深圳证券交易所股票期权试点交易规则》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《深圳证券交易所股票期权试点做市商业务指引》</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 w:name="_Toc19487"/>
      <w:r>
        <w:rPr>
          <w:rFonts w:ascii="Times New Roman" w:hAnsi="Times New Roman" w:cs="Times New Roman"/>
        </w:rPr>
        <w:t>三、受理部门</w:t>
      </w:r>
      <w:bookmarkEnd w:id="2"/>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衍生品</w:t>
      </w:r>
      <w:r>
        <w:rPr>
          <w:rFonts w:ascii="Times New Roman" w:hAnsi="Times New Roman" w:eastAsia="仿宋" w:cs="Times New Roman"/>
          <w:sz w:val="32"/>
          <w:szCs w:val="32"/>
        </w:rPr>
        <w:t>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3" w:name="_Toc5036"/>
      <w:r>
        <w:rPr>
          <w:rFonts w:ascii="Times New Roman" w:hAnsi="Times New Roman" w:cs="Times New Roman"/>
        </w:rPr>
        <w:t>四、办理部门</w:t>
      </w:r>
      <w:bookmarkEnd w:id="3"/>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衍生品</w:t>
      </w:r>
      <w:r>
        <w:rPr>
          <w:rFonts w:ascii="Times New Roman" w:hAnsi="Times New Roman" w:eastAsia="仿宋" w:cs="Times New Roman"/>
          <w:sz w:val="32"/>
          <w:szCs w:val="32"/>
        </w:rPr>
        <w:t>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4" w:name="_Toc3708"/>
      <w:r>
        <w:rPr>
          <w:rFonts w:ascii="Times New Roman" w:hAnsi="Times New Roman" w:cs="Times New Roman"/>
        </w:rPr>
        <w:t>五、办理时限</w:t>
      </w:r>
      <w:bookmarkEnd w:id="4"/>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收到完备申请材料之日</w:t>
      </w:r>
      <w:r>
        <w:rPr>
          <w:rFonts w:hint="eastAsia" w:ascii="仿宋" w:hAnsi="仿宋" w:eastAsia="仿宋" w:cs="Times New Roman"/>
          <w:sz w:val="32"/>
          <w:szCs w:val="32"/>
          <w:lang w:eastAsia="zh-CN"/>
        </w:rPr>
        <w:t>起</w:t>
      </w:r>
      <w:bookmarkStart w:id="43" w:name="_GoBack"/>
      <w:bookmarkEnd w:id="43"/>
      <w:r>
        <w:rPr>
          <w:rFonts w:hint="eastAsia" w:ascii="仿宋" w:hAnsi="仿宋" w:eastAsia="仿宋" w:cs="Times New Roman"/>
          <w:sz w:val="32"/>
          <w:szCs w:val="32"/>
        </w:rPr>
        <w:t>15个交易日内。补充材料期间不计入本所办理期限内。</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5" w:name="_Toc55928022"/>
      <w:bookmarkStart w:id="6" w:name="_Toc2454"/>
      <w:r>
        <w:rPr>
          <w:rFonts w:hint="eastAsia"/>
        </w:rPr>
        <w:t>六、申请</w:t>
      </w:r>
      <w:bookmarkEnd w:id="5"/>
      <w:r>
        <w:rPr>
          <w:rFonts w:hint="eastAsia"/>
        </w:rPr>
        <w:t>条件</w:t>
      </w:r>
      <w:bookmarkEnd w:id="6"/>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参与本所期权模拟交易做市业务超过3个月，并且在本所要求的模拟交易期间做市表现符合本所相关做市指标要求；</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通过本所组织的做市业务专项测试；</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通过本所组织的专项检查；</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 以自有资金参与期权做市业务；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 制定完备的做市业务实施方案、风险控制制度及有关内部管理制度；</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 具备开展做市所需的专业人员、技术系统；</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 过去1年内未因做市业务的违法违规行为被采取监管措施、纪律处分或者行政处罚；</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 中国证监会及本所规定的其他条件。</w:t>
      </w:r>
    </w:p>
    <w:p>
      <w:pPr>
        <w:spacing w:line="560" w:lineRule="exact"/>
        <w:ind w:firstLine="640" w:firstLineChars="200"/>
        <w:rPr>
          <w:rFonts w:ascii="仿宋" w:hAnsi="仿宋" w:eastAsia="仿宋" w:cs="Times New Roman"/>
          <w:sz w:val="32"/>
          <w:szCs w:val="32"/>
        </w:rPr>
      </w:pPr>
    </w:p>
    <w:p>
      <w:pPr>
        <w:pStyle w:val="3"/>
        <w:ind w:firstLine="640" w:firstLineChars="200"/>
      </w:pPr>
      <w:bookmarkStart w:id="7" w:name="_Toc30168"/>
      <w:r>
        <w:rPr>
          <w:rFonts w:hint="eastAsia"/>
        </w:rPr>
        <w:t>七、申请材料</w:t>
      </w:r>
      <w:bookmarkEnd w:id="7"/>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首次申请为期权合约品种提供做市服务的，应向本所提交下列材料：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经法定代表人签字并加盖单位公章的做市商业务申请书，须包含用于做市业务的资金规模，如有后续变更应及时向本所报备；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加盖单位公章的营业执照副本复印件；</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合约品种做市业务申请表（见附件1）；</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 做市业务实施方案、做市业务风险控制制度及有关内部管理制度（必备参考要点见附件2）；</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 负责做市业务的部门、岗位设置、人员情况说明（做市业务人员情况表请见附件3），若负责做市业务的负责人和联络人出现调整，应及时向本所报备；</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 开展做市的技术系统准备情况；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 中国证监会或本所规定的其他材料。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其中，第1至3项需加盖公章后以书面形式报送本所。申请机构的法定代表人和经营管理的主要负责人应在业务申请书上签字，并做出如下承诺：申请人提交的申请材料内容真实、准确、完整，如存在虚假记载、误导性陈述和重大遗漏，将承担相关法律责任。</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做市商申请为其他合约品种提供做市服务的，仅需填写《合约品种做市业务申请表》（附件1）并加盖单位公章后，以书面方式提交至本所。若用于做市的资金规模有变化的，应在再次申请时提交变化情况说明。</w:t>
      </w:r>
    </w:p>
    <w:p>
      <w:pPr>
        <w:spacing w:line="560" w:lineRule="exact"/>
        <w:ind w:firstLine="640" w:firstLineChars="200"/>
        <w:rPr>
          <w:rFonts w:ascii="仿宋" w:hAnsi="仿宋" w:eastAsia="仿宋" w:cs="Times New Roman"/>
          <w:sz w:val="32"/>
          <w:szCs w:val="32"/>
        </w:rPr>
      </w:pPr>
    </w:p>
    <w:p>
      <w:pPr>
        <w:pStyle w:val="3"/>
        <w:ind w:firstLine="640" w:firstLineChars="200"/>
      </w:pPr>
      <w:bookmarkStart w:id="8" w:name="_Toc30672"/>
      <w:r>
        <w:rPr>
          <w:rFonts w:hint="eastAsia"/>
        </w:rPr>
        <w:t>八、材料接收</w:t>
      </w:r>
      <w:bookmarkEnd w:id="8"/>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本所期权业务专区线上办理或邮寄办理。线上办理的书面材料需为PDF文件。</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9" w:name="_Toc16224"/>
      <w:r>
        <w:rPr>
          <w:rFonts w:hint="eastAsia"/>
        </w:rPr>
        <w:t>九、办理流程</w:t>
      </w:r>
      <w:bookmarkEnd w:id="9"/>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 申请人通过本所期权业务专区线上或邮寄提交申请材料。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 本所在收到申请后，按照《</w:t>
      </w:r>
      <w:r>
        <w:rPr>
          <w:rFonts w:hint="eastAsia" w:ascii="Times New Roman" w:hAnsi="Times New Roman" w:eastAsia="仿宋" w:cs="Times New Roman"/>
          <w:sz w:val="32"/>
          <w:szCs w:val="32"/>
        </w:rPr>
        <w:t>深圳证券交易所股票期权试点做市商业务指引</w:t>
      </w:r>
      <w:r>
        <w:rPr>
          <w:rFonts w:hint="eastAsia" w:ascii="仿宋" w:hAnsi="仿宋" w:eastAsia="仿宋" w:cs="Times New Roman"/>
          <w:sz w:val="32"/>
          <w:szCs w:val="32"/>
        </w:rPr>
        <w:t>》的规定办理业务。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 申请人未按要求提交文件的，应当补充材料。补充材料期间不计入本所办理期限内。</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 本所将办理结果反馈申请人，如申请通过的，与申请人签署《深圳证券交易所股票期权做市协议》。</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 完成做市协议签署后，本所向市场公告做市商名单。</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10" w:name="_Toc23347"/>
      <w:r>
        <w:rPr>
          <w:rFonts w:hint="eastAsia"/>
        </w:rPr>
        <w:t>十、办理结果</w:t>
      </w:r>
      <w:bookmarkEnd w:id="10"/>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申请人可通过本所期权业务专区查看办理结果。</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11" w:name="_Toc55928026"/>
      <w:bookmarkStart w:id="12" w:name="_Toc24420"/>
      <w:bookmarkStart w:id="13" w:name="_Toc54690943"/>
      <w:bookmarkStart w:id="14" w:name="_Toc54681468"/>
      <w:r>
        <w:rPr>
          <w:rFonts w:hint="eastAsia"/>
        </w:rPr>
        <w:t>十一、咨询途径</w:t>
      </w:r>
      <w:bookmarkEnd w:id="11"/>
      <w:bookmarkEnd w:id="12"/>
      <w:bookmarkEnd w:id="13"/>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季女士 </w:t>
      </w:r>
      <w:r>
        <w:rPr>
          <w:rFonts w:ascii="仿宋" w:hAnsi="仿宋" w:eastAsia="仿宋"/>
          <w:sz w:val="32"/>
          <w:szCs w:val="32"/>
        </w:rPr>
        <w:t>电话：0755-8866</w:t>
      </w:r>
      <w:r>
        <w:rPr>
          <w:rFonts w:hint="eastAsia" w:ascii="仿宋" w:hAnsi="仿宋" w:eastAsia="仿宋"/>
          <w:sz w:val="32"/>
          <w:szCs w:val="32"/>
        </w:rPr>
        <w:t xml:space="preserve"> 8082</w:t>
      </w:r>
      <w:r>
        <w:rPr>
          <w:rFonts w:ascii="仿宋" w:hAnsi="仿宋" w:eastAsia="仿宋"/>
          <w:sz w:val="32"/>
          <w:szCs w:val="32"/>
        </w:rPr>
        <w:t xml:space="preserve"> 邮箱：</w:t>
      </w:r>
      <w:r>
        <w:fldChar w:fldCharType="begin"/>
      </w:r>
      <w:r>
        <w:instrText xml:space="preserve"> HYPERLINK "mailto:jzhan.oth@szse.cn" </w:instrText>
      </w:r>
      <w:r>
        <w:fldChar w:fldCharType="separate"/>
      </w:r>
      <w:r>
        <w:rPr>
          <w:rFonts w:hint="eastAsia" w:ascii="仿宋" w:hAnsi="仿宋" w:eastAsia="仿宋"/>
          <w:sz w:val="32"/>
          <w:szCs w:val="32"/>
        </w:rPr>
        <w:t>jji</w:t>
      </w:r>
      <w:r>
        <w:rPr>
          <w:rFonts w:ascii="仿宋" w:hAnsi="仿宋" w:eastAsia="仿宋"/>
          <w:sz w:val="32"/>
          <w:szCs w:val="32"/>
        </w:rPr>
        <w:t>@szse.cn</w:t>
      </w:r>
      <w:r>
        <w:rPr>
          <w:rFonts w:ascii="仿宋" w:hAnsi="仿宋" w:eastAsia="仿宋"/>
          <w:sz w:val="32"/>
          <w:szCs w:val="32"/>
        </w:rPr>
        <w:fldChar w:fldCharType="end"/>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王女士 </w:t>
      </w:r>
      <w:r>
        <w:rPr>
          <w:rFonts w:ascii="仿宋" w:hAnsi="仿宋" w:eastAsia="仿宋"/>
          <w:sz w:val="32"/>
          <w:szCs w:val="32"/>
        </w:rPr>
        <w:t>电话：0755-8866</w:t>
      </w:r>
      <w:r>
        <w:rPr>
          <w:rFonts w:hint="eastAsia" w:ascii="仿宋" w:hAnsi="仿宋" w:eastAsia="仿宋"/>
          <w:sz w:val="32"/>
          <w:szCs w:val="32"/>
        </w:rPr>
        <w:t xml:space="preserve"> 8570 </w:t>
      </w:r>
      <w:r>
        <w:rPr>
          <w:rFonts w:ascii="仿宋" w:hAnsi="仿宋" w:eastAsia="仿宋"/>
          <w:sz w:val="32"/>
          <w:szCs w:val="32"/>
        </w:rPr>
        <w:t>邮箱：</w:t>
      </w:r>
      <w:r>
        <w:rPr>
          <w:rFonts w:hint="eastAsia" w:ascii="仿宋" w:hAnsi="仿宋" w:eastAsia="仿宋"/>
          <w:sz w:val="32"/>
          <w:szCs w:val="32"/>
        </w:rPr>
        <w:t>zywang</w:t>
      </w:r>
      <w:r>
        <w:rPr>
          <w:rFonts w:ascii="仿宋" w:hAnsi="仿宋" w:eastAsia="仿宋"/>
          <w:sz w:val="32"/>
          <w:szCs w:val="32"/>
        </w:rPr>
        <w:t>@szse.cn</w:t>
      </w:r>
    </w:p>
    <w:p>
      <w:pPr>
        <w:spacing w:line="560" w:lineRule="exact"/>
        <w:ind w:firstLine="640" w:firstLineChars="200"/>
        <w:rPr>
          <w:rFonts w:ascii="仿宋" w:hAnsi="仿宋" w:eastAsia="仿宋"/>
          <w:sz w:val="32"/>
          <w:szCs w:val="32"/>
        </w:rPr>
      </w:pPr>
    </w:p>
    <w:p>
      <w:pPr>
        <w:pStyle w:val="3"/>
        <w:ind w:firstLine="640" w:firstLineChars="200"/>
      </w:pPr>
      <w:bookmarkStart w:id="15" w:name="_Toc54681471"/>
      <w:bookmarkStart w:id="16" w:name="_Toc55928027"/>
      <w:bookmarkStart w:id="17" w:name="_Toc54690946"/>
      <w:bookmarkStart w:id="18" w:name="_Toc32322"/>
      <w:r>
        <w:rPr>
          <w:rFonts w:hint="eastAsia"/>
        </w:rPr>
        <w:t>十二、办理地点和时间</w:t>
      </w:r>
      <w:bookmarkEnd w:id="15"/>
      <w:bookmarkEnd w:id="16"/>
      <w:bookmarkEnd w:id="17"/>
      <w:bookmarkEnd w:id="18"/>
    </w:p>
    <w:p>
      <w:pPr>
        <w:keepNext/>
        <w:keepLines/>
        <w:spacing w:line="560" w:lineRule="exact"/>
        <w:ind w:firstLine="643" w:firstLineChars="200"/>
        <w:outlineLvl w:val="2"/>
        <w:rPr>
          <w:rFonts w:eastAsia="仿宋"/>
          <w:b/>
          <w:bCs/>
          <w:sz w:val="32"/>
          <w:szCs w:val="32"/>
        </w:rPr>
      </w:pPr>
      <w:bookmarkStart w:id="19" w:name="_Toc54690947"/>
      <w:bookmarkStart w:id="20" w:name="_Toc54708199"/>
      <w:bookmarkStart w:id="21" w:name="_Toc55896176"/>
      <w:bookmarkStart w:id="22" w:name="_Toc54681472"/>
      <w:bookmarkStart w:id="23" w:name="_Toc55928028"/>
      <w:bookmarkStart w:id="24" w:name="_Toc19211"/>
      <w:bookmarkStart w:id="25" w:name="_Toc18433"/>
      <w:r>
        <w:rPr>
          <w:rFonts w:hint="eastAsia" w:eastAsia="仿宋"/>
          <w:b/>
          <w:bCs/>
          <w:sz w:val="32"/>
          <w:szCs w:val="32"/>
        </w:rPr>
        <w:t>（一）办理地</w:t>
      </w:r>
      <w:bookmarkEnd w:id="19"/>
      <w:bookmarkEnd w:id="20"/>
      <w:bookmarkEnd w:id="21"/>
      <w:bookmarkEnd w:id="22"/>
      <w:r>
        <w:rPr>
          <w:rFonts w:hint="eastAsia" w:eastAsia="仿宋"/>
          <w:b/>
          <w:bCs/>
          <w:sz w:val="32"/>
          <w:szCs w:val="32"/>
        </w:rPr>
        <w:t>点</w:t>
      </w:r>
      <w:bookmarkEnd w:id="23"/>
      <w:bookmarkEnd w:id="24"/>
      <w:bookmarkEnd w:id="25"/>
    </w:p>
    <w:p>
      <w:pPr>
        <w:spacing w:line="560" w:lineRule="exact"/>
        <w:ind w:firstLine="640" w:firstLineChars="200"/>
        <w:rPr>
          <w:rFonts w:ascii="仿宋" w:hAnsi="仿宋" w:eastAsia="仿宋"/>
          <w:sz w:val="32"/>
          <w:szCs w:val="32"/>
        </w:rPr>
      </w:pPr>
      <w:bookmarkStart w:id="26" w:name="_Toc54681473"/>
      <w:bookmarkStart w:id="27" w:name="_Toc54708200"/>
      <w:bookmarkStart w:id="28" w:name="_Toc54690948"/>
      <w:bookmarkStart w:id="29" w:name="_Toc55896177"/>
      <w:r>
        <w:rPr>
          <w:rFonts w:hint="eastAsia" w:ascii="仿宋" w:hAnsi="仿宋" w:eastAsia="仿宋"/>
          <w:sz w:val="32"/>
          <w:szCs w:val="32"/>
        </w:rPr>
        <w:t>1</w:t>
      </w:r>
      <w:r>
        <w:rPr>
          <w:rFonts w:hint="eastAsia" w:ascii="仿宋" w:hAnsi="仿宋" w:eastAsia="仿宋" w:cs="Times New Roman"/>
          <w:sz w:val="32"/>
          <w:szCs w:val="32"/>
        </w:rPr>
        <w:t xml:space="preserve">. </w:t>
      </w:r>
      <w:r>
        <w:rPr>
          <w:rFonts w:hint="eastAsia" w:ascii="仿宋" w:hAnsi="仿宋" w:eastAsia="仿宋"/>
          <w:sz w:val="32"/>
          <w:szCs w:val="32"/>
        </w:rPr>
        <w:t>业务申请通过深交所期权业务专区网上提交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Times New Roman"/>
          <w:sz w:val="32"/>
          <w:szCs w:val="32"/>
        </w:rPr>
        <w:t xml:space="preserve">. </w:t>
      </w:r>
      <w:r>
        <w:rPr>
          <w:rFonts w:hint="eastAsia" w:ascii="仿宋" w:hAnsi="仿宋" w:eastAsia="仿宋"/>
          <w:sz w:val="32"/>
          <w:szCs w:val="32"/>
        </w:rPr>
        <w:t>办公地址：深圳市福田区深南大道2012号深圳证券交易所19楼1904室</w:t>
      </w:r>
    </w:p>
    <w:p>
      <w:pPr>
        <w:keepNext/>
        <w:keepLines/>
        <w:spacing w:line="560" w:lineRule="exact"/>
        <w:ind w:firstLine="643" w:firstLineChars="200"/>
        <w:outlineLvl w:val="2"/>
        <w:rPr>
          <w:rFonts w:eastAsia="仿宋"/>
          <w:b/>
          <w:bCs/>
          <w:sz w:val="32"/>
          <w:szCs w:val="32"/>
        </w:rPr>
      </w:pPr>
      <w:bookmarkStart w:id="30" w:name="_Toc15786"/>
      <w:bookmarkStart w:id="31" w:name="_Toc55928029"/>
      <w:bookmarkStart w:id="32" w:name="_Toc9000"/>
      <w:r>
        <w:rPr>
          <w:rFonts w:hint="eastAsia" w:eastAsia="仿宋"/>
          <w:b/>
          <w:bCs/>
          <w:sz w:val="32"/>
          <w:szCs w:val="32"/>
        </w:rPr>
        <w:t>（二）办理时间</w:t>
      </w:r>
      <w:bookmarkEnd w:id="26"/>
      <w:bookmarkEnd w:id="27"/>
      <w:bookmarkEnd w:id="28"/>
      <w:bookmarkEnd w:id="29"/>
      <w:bookmarkEnd w:id="30"/>
      <w:bookmarkEnd w:id="31"/>
      <w:bookmarkEnd w:id="32"/>
    </w:p>
    <w:p>
      <w:pPr>
        <w:spacing w:line="560" w:lineRule="exact"/>
        <w:ind w:firstLine="640" w:firstLineChars="200"/>
        <w:rPr>
          <w:rFonts w:ascii="仿宋" w:hAnsi="仿宋" w:eastAsia="仿宋"/>
          <w:sz w:val="32"/>
          <w:szCs w:val="32"/>
        </w:rPr>
      </w:pPr>
      <w:r>
        <w:rPr>
          <w:rFonts w:hint="eastAsia" w:ascii="仿宋" w:hAnsi="仿宋" w:eastAsia="仿宋"/>
          <w:sz w:val="32"/>
          <w:szCs w:val="32"/>
        </w:rPr>
        <w:t>1</w:t>
      </w:r>
      <w:r>
        <w:rPr>
          <w:rFonts w:hint="eastAsia" w:ascii="仿宋" w:hAnsi="仿宋" w:eastAsia="仿宋" w:cs="Times New Roman"/>
          <w:sz w:val="32"/>
          <w:szCs w:val="32"/>
        </w:rPr>
        <w:t xml:space="preserve">. </w:t>
      </w:r>
      <w:r>
        <w:rPr>
          <w:rFonts w:hint="eastAsia" w:ascii="仿宋" w:hAnsi="仿宋" w:eastAsia="仿宋"/>
          <w:sz w:val="32"/>
          <w:szCs w:val="32"/>
        </w:rPr>
        <w:t>深交所期权业务专区系统运营时间为7×24小时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w:t>
      </w:r>
      <w:r>
        <w:rPr>
          <w:rFonts w:hint="eastAsia" w:ascii="仿宋" w:hAnsi="仿宋" w:eastAsia="仿宋" w:cs="Times New Roman"/>
          <w:sz w:val="32"/>
          <w:szCs w:val="32"/>
        </w:rPr>
        <w:t xml:space="preserve">. </w:t>
      </w:r>
      <w:r>
        <w:rPr>
          <w:rFonts w:hint="eastAsia" w:ascii="仿宋" w:hAnsi="仿宋" w:eastAsia="仿宋"/>
          <w:sz w:val="32"/>
          <w:szCs w:val="32"/>
        </w:rPr>
        <w:t>办公时间：周一至周五 8:30-11:30；13:30-17:00</w:t>
      </w:r>
    </w:p>
    <w:p>
      <w:pPr>
        <w:spacing w:line="560" w:lineRule="exact"/>
        <w:ind w:firstLine="640" w:firstLineChars="200"/>
        <w:rPr>
          <w:rFonts w:ascii="仿宋" w:hAnsi="仿宋" w:eastAsia="仿宋"/>
          <w:sz w:val="32"/>
          <w:szCs w:val="32"/>
        </w:rPr>
      </w:pPr>
    </w:p>
    <w:p>
      <w:pPr>
        <w:pStyle w:val="3"/>
        <w:ind w:firstLine="640" w:firstLineChars="200"/>
        <w:rPr>
          <w:rFonts w:ascii="仿宋" w:hAnsi="仿宋" w:eastAsia="仿宋" w:cs="仿宋"/>
        </w:rPr>
      </w:pPr>
      <w:bookmarkStart w:id="33" w:name="_Toc21039"/>
      <w:r>
        <w:rPr>
          <w:rFonts w:hint="eastAsia" w:ascii="仿宋" w:hAnsi="仿宋" w:eastAsia="仿宋" w:cs="仿宋"/>
        </w:rPr>
        <w:t>附件</w:t>
      </w:r>
      <w:bookmarkEnd w:id="33"/>
      <w:r>
        <w:rPr>
          <w:rFonts w:hint="eastAsia" w:ascii="仿宋" w:hAnsi="仿宋" w:eastAsia="仿宋" w:cs="仿宋"/>
        </w:rPr>
        <w:t>：</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合约品种做市业务申请表</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做市业务实施方案与管理制度必备参考要点</w:t>
      </w:r>
    </w:p>
    <w:p>
      <w:pPr>
        <w:numPr>
          <w:ilvl w:val="0"/>
          <w:numId w:val="1"/>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做市业务人员情况表</w:t>
      </w:r>
    </w:p>
    <w:p/>
    <w:p>
      <w:pPr>
        <w:rPr>
          <w:rFonts w:ascii="仿宋" w:hAnsi="仿宋" w:eastAsia="仿宋"/>
          <w:sz w:val="32"/>
          <w:szCs w:val="32"/>
        </w:rPr>
      </w:pPr>
      <w:r>
        <w:rPr>
          <w:rFonts w:hint="eastAsia" w:ascii="仿宋" w:hAnsi="仿宋" w:eastAsia="仿宋"/>
          <w:sz w:val="32"/>
          <w:szCs w:val="32"/>
        </w:rPr>
        <w:br w:type="page"/>
      </w:r>
    </w:p>
    <w:p>
      <w:pPr>
        <w:pStyle w:val="26"/>
        <w:adjustRightInd w:val="0"/>
        <w:snapToGrid w:val="0"/>
        <w:spacing w:after="156" w:afterLines="50"/>
        <w:ind w:firstLine="0" w:firstLineChars="0"/>
        <w:outlineLvl w:val="0"/>
        <w:rPr>
          <w:rFonts w:ascii="黑体" w:hAnsi="黑体" w:eastAsia="黑体" w:cs="黑体"/>
          <w:sz w:val="32"/>
          <w:szCs w:val="32"/>
        </w:rPr>
      </w:pPr>
      <w:bookmarkStart w:id="34" w:name="_Toc10645"/>
      <w:bookmarkStart w:id="35" w:name="_Toc2097"/>
      <w:bookmarkStart w:id="36" w:name="_Toc25772174"/>
      <w:r>
        <w:rPr>
          <w:rFonts w:hint="eastAsia" w:ascii="黑体" w:hAnsi="黑体" w:eastAsia="黑体" w:cs="黑体"/>
          <w:sz w:val="32"/>
          <w:szCs w:val="32"/>
        </w:rPr>
        <w:t>附件1</w:t>
      </w:r>
    </w:p>
    <w:p>
      <w:pPr>
        <w:pStyle w:val="26"/>
        <w:adjustRightInd w:val="0"/>
        <w:snapToGrid w:val="0"/>
        <w:spacing w:after="156" w:afterLines="50"/>
        <w:ind w:firstLine="0" w:firstLineChars="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合约品种做市业务申请表</w:t>
      </w:r>
      <w:bookmarkEnd w:id="34"/>
      <w:bookmarkEnd w:id="35"/>
      <w:bookmarkEnd w:id="36"/>
    </w:p>
    <w:tbl>
      <w:tblPr>
        <w:tblStyle w:val="1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7"/>
        <w:gridCol w:w="1390"/>
        <w:gridCol w:w="1701"/>
        <w:gridCol w:w="709"/>
        <w:gridCol w:w="1054"/>
        <w:gridCol w:w="121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做市商简称</w:t>
            </w:r>
          </w:p>
        </w:tc>
        <w:tc>
          <w:tcPr>
            <w:tcW w:w="3091"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小标宋简体"/>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做市商代码</w:t>
            </w:r>
          </w:p>
        </w:tc>
        <w:tc>
          <w:tcPr>
            <w:tcW w:w="362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做市交易单元</w:t>
            </w:r>
          </w:p>
        </w:tc>
        <w:tc>
          <w:tcPr>
            <w:tcW w:w="3091"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小标宋简体"/>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ascii="Times New Roman" w:hAnsi="Times New Roman" w:eastAsia="方正小标宋简体"/>
                <w:szCs w:val="21"/>
              </w:rPr>
              <w:t>A</w:t>
            </w:r>
            <w:r>
              <w:rPr>
                <w:rFonts w:hint="eastAsia" w:ascii="Times New Roman" w:hAnsi="Times New Roman" w:eastAsia="方正小标宋简体"/>
                <w:szCs w:val="21"/>
              </w:rPr>
              <w:t>股证券</w:t>
            </w:r>
            <w:r>
              <w:rPr>
                <w:rFonts w:hint="eastAsia" w:ascii="Times New Roman" w:hAnsi="Times New Roman" w:eastAsia="方正小标宋简体" w:cs="方正小标宋简体"/>
                <w:szCs w:val="21"/>
              </w:rPr>
              <w:t>账号</w:t>
            </w:r>
          </w:p>
        </w:tc>
        <w:tc>
          <w:tcPr>
            <w:tcW w:w="3624"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做市资金规模</w:t>
            </w:r>
          </w:p>
        </w:tc>
        <w:tc>
          <w:tcPr>
            <w:tcW w:w="3091" w:type="dxa"/>
            <w:gridSpan w:val="2"/>
            <w:tcBorders>
              <w:top w:val="single" w:color="auto" w:sz="4" w:space="0"/>
              <w:left w:val="single" w:color="auto" w:sz="4" w:space="0"/>
              <w:bottom w:val="single" w:color="auto" w:sz="4" w:space="0"/>
              <w:right w:val="single" w:color="auto" w:sz="4" w:space="0"/>
            </w:tcBorders>
          </w:tcPr>
          <w:p>
            <w:pPr>
              <w:spacing w:line="560" w:lineRule="exact"/>
              <w:jc w:val="center"/>
              <w:rPr>
                <w:rFonts w:ascii="Times New Roman" w:hAnsi="Times New Roman" w:eastAsia="方正小标宋简体"/>
                <w:szCs w:val="21"/>
              </w:rPr>
            </w:pPr>
          </w:p>
        </w:tc>
        <w:tc>
          <w:tcPr>
            <w:tcW w:w="1763"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生效日期</w:t>
            </w:r>
          </w:p>
        </w:tc>
        <w:tc>
          <w:tcPr>
            <w:tcW w:w="3624" w:type="dxa"/>
            <w:gridSpan w:val="2"/>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方正小标宋简体"/>
                <w:i/>
                <w:szCs w:val="21"/>
              </w:rPr>
            </w:pPr>
            <w:r>
              <w:rPr>
                <w:rFonts w:hint="eastAsia" w:ascii="Times New Roman" w:hAnsi="Times New Roman" w:eastAsia="方正小标宋简体"/>
                <w:i/>
                <w:szCs w:val="21"/>
              </w:rPr>
              <w:t>格式</w:t>
            </w:r>
            <w:r>
              <w:rPr>
                <w:rFonts w:ascii="Times New Roman" w:hAnsi="Times New Roman" w:eastAsia="方正小标宋简体"/>
                <w:i/>
                <w:szCs w:val="21"/>
              </w:rPr>
              <w:t>YYYY-MM-DD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065" w:type="dxa"/>
            <w:gridSpan w:val="7"/>
            <w:tcBorders>
              <w:top w:val="single" w:color="auto" w:sz="4" w:space="0"/>
              <w:left w:val="single" w:color="auto" w:sz="4" w:space="0"/>
              <w:bottom w:val="single" w:color="auto" w:sz="4" w:space="0"/>
              <w:right w:val="single" w:color="auto" w:sz="4" w:space="0"/>
            </w:tcBorders>
            <w:shd w:val="clear" w:color="auto" w:fill="EEECE1" w:themeFill="background2"/>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申请品种做市业务信息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标的证券</w:t>
            </w: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做市类别</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权利仓持仓限额（张）</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总持仓限额（张）</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单日买入开仓限额（张）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简称（代码）</w:t>
            </w: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c>
          <w:tcPr>
            <w:tcW w:w="2410"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c>
          <w:tcPr>
            <w:tcW w:w="2268"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87"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做市业务</w:t>
            </w:r>
          </w:p>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联络人</w:t>
            </w: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姓名</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部门</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电话号码</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c>
          <w:tcPr>
            <w:tcW w:w="139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邮箱</w:t>
            </w:r>
          </w:p>
        </w:tc>
        <w:tc>
          <w:tcPr>
            <w:tcW w:w="7088"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158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负责人声明</w:t>
            </w:r>
          </w:p>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及签字</w:t>
            </w:r>
          </w:p>
          <w:p>
            <w:pPr>
              <w:spacing w:line="560" w:lineRule="exact"/>
              <w:jc w:val="center"/>
              <w:rPr>
                <w:rFonts w:ascii="Times New Roman" w:hAnsi="Times New Roman" w:eastAsia="方正小标宋简体"/>
                <w:szCs w:val="21"/>
              </w:rPr>
            </w:pPr>
            <w:r>
              <w:rPr>
                <w:rFonts w:hint="eastAsia" w:ascii="Times New Roman" w:hAnsi="Times New Roman" w:eastAsia="方正小标宋简体"/>
                <w:szCs w:val="21"/>
              </w:rPr>
              <w:t>（需加盖公章）</w:t>
            </w:r>
          </w:p>
        </w:tc>
        <w:tc>
          <w:tcPr>
            <w:tcW w:w="8478" w:type="dxa"/>
            <w:gridSpan w:val="6"/>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p>
        </w:tc>
      </w:tr>
    </w:tbl>
    <w:p>
      <w:pPr>
        <w:spacing w:line="560" w:lineRule="exact"/>
        <w:jc w:val="center"/>
        <w:rPr>
          <w:rFonts w:ascii="Times New Roman" w:hAnsi="Times New Roman" w:eastAsia="方正小标宋简体"/>
          <w:szCs w:val="21"/>
        </w:rPr>
      </w:pPr>
    </w:p>
    <w:p>
      <w:pPr>
        <w:spacing w:line="560" w:lineRule="exact"/>
        <w:jc w:val="center"/>
        <w:rPr>
          <w:rFonts w:ascii="Times New Roman" w:hAnsi="Times New Roman" w:eastAsia="方正小标宋简体"/>
          <w:szCs w:val="21"/>
        </w:rPr>
      </w:pPr>
      <w:r>
        <w:rPr>
          <w:rFonts w:ascii="Times New Roman" w:hAnsi="Times New Roman" w:eastAsia="方正小标宋简体"/>
          <w:szCs w:val="21"/>
        </w:rPr>
        <w:br w:type="page"/>
      </w:r>
    </w:p>
    <w:p>
      <w:pPr>
        <w:pStyle w:val="26"/>
        <w:adjustRightInd w:val="0"/>
        <w:snapToGrid w:val="0"/>
        <w:spacing w:after="156" w:afterLines="50"/>
        <w:ind w:firstLine="0" w:firstLineChars="0"/>
        <w:outlineLvl w:val="0"/>
        <w:rPr>
          <w:rFonts w:ascii="黑体" w:hAnsi="黑体" w:eastAsia="黑体" w:cs="黑体"/>
          <w:sz w:val="32"/>
          <w:szCs w:val="32"/>
        </w:rPr>
      </w:pPr>
      <w:bookmarkStart w:id="37" w:name="_Toc27373"/>
      <w:bookmarkStart w:id="38" w:name="_Toc25772175"/>
      <w:bookmarkStart w:id="39" w:name="_Toc17460"/>
      <w:r>
        <w:rPr>
          <w:rFonts w:hint="eastAsia" w:ascii="黑体" w:hAnsi="黑体" w:eastAsia="黑体" w:cs="黑体"/>
          <w:sz w:val="32"/>
          <w:szCs w:val="32"/>
        </w:rPr>
        <w:t>附件2</w:t>
      </w:r>
    </w:p>
    <w:p>
      <w:pPr>
        <w:pStyle w:val="26"/>
        <w:adjustRightInd w:val="0"/>
        <w:snapToGrid w:val="0"/>
        <w:spacing w:after="156" w:afterLines="50"/>
        <w:ind w:firstLine="0" w:firstLineChars="0"/>
        <w:jc w:val="center"/>
        <w:outlineLvl w:val="0"/>
        <w:rPr>
          <w:rFonts w:ascii="仿宋" w:hAnsi="仿宋" w:eastAsia="仿宋"/>
          <w:sz w:val="32"/>
          <w:szCs w:val="32"/>
        </w:rPr>
      </w:pPr>
      <w:r>
        <w:rPr>
          <w:rFonts w:hint="eastAsia" w:ascii="方正小标宋简体" w:hAnsi="方正小标宋简体" w:eastAsia="方正小标宋简体" w:cs="方正小标宋简体"/>
          <w:sz w:val="36"/>
          <w:szCs w:val="36"/>
        </w:rPr>
        <w:t>做市业务实施方案与管理制度必备参考要点</w:t>
      </w:r>
      <w:bookmarkEnd w:id="37"/>
      <w:bookmarkEnd w:id="38"/>
      <w:bookmarkEnd w:id="39"/>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3120"/>
        <w:gridCol w:w="4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tcPr>
          <w:p>
            <w:pPr>
              <w:spacing w:line="520" w:lineRule="exact"/>
              <w:jc w:val="center"/>
              <w:rPr>
                <w:rFonts w:ascii="Times New Roman" w:hAnsi="Times New Roman"/>
                <w:szCs w:val="21"/>
              </w:rPr>
            </w:pPr>
          </w:p>
        </w:tc>
        <w:tc>
          <w:tcPr>
            <w:tcW w:w="3120" w:type="dxa"/>
          </w:tcPr>
          <w:p>
            <w:pPr>
              <w:spacing w:line="520" w:lineRule="exact"/>
              <w:jc w:val="center"/>
              <w:rPr>
                <w:rFonts w:ascii="Times New Roman" w:hAnsi="Times New Roman"/>
                <w:b/>
                <w:szCs w:val="21"/>
              </w:rPr>
            </w:pPr>
            <w:r>
              <w:rPr>
                <w:rFonts w:hint="eastAsia" w:ascii="Times New Roman" w:hAnsi="Times New Roman"/>
                <w:b/>
                <w:szCs w:val="21"/>
              </w:rPr>
              <w:t>必备章节</w:t>
            </w:r>
          </w:p>
        </w:tc>
        <w:tc>
          <w:tcPr>
            <w:tcW w:w="4586" w:type="dxa"/>
          </w:tcPr>
          <w:p>
            <w:pPr>
              <w:spacing w:line="520" w:lineRule="exact"/>
              <w:jc w:val="center"/>
              <w:rPr>
                <w:rFonts w:ascii="Times New Roman" w:hAnsi="Times New Roman"/>
                <w:b/>
                <w:szCs w:val="21"/>
              </w:rPr>
            </w:pPr>
            <w:r>
              <w:rPr>
                <w:rFonts w:hint="eastAsia" w:ascii="Times New Roman" w:hAnsi="Times New Roman"/>
                <w:b/>
                <w:szCs w:val="21"/>
              </w:rPr>
              <w:t>必备内容参考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jc w:val="center"/>
              <w:rPr>
                <w:rFonts w:ascii="Times New Roman" w:hAnsi="Times New Roman"/>
                <w:b/>
                <w:szCs w:val="21"/>
              </w:rPr>
            </w:pPr>
            <w:r>
              <w:rPr>
                <w:rFonts w:hint="eastAsia" w:ascii="Times New Roman" w:hAnsi="Times New Roman"/>
                <w:b/>
                <w:szCs w:val="21"/>
              </w:rPr>
              <w:t>股票期权做市业务实施方案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1</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做市业务总体设想</w:t>
            </w:r>
          </w:p>
        </w:tc>
        <w:tc>
          <w:tcPr>
            <w:tcW w:w="4586" w:type="dxa"/>
          </w:tcPr>
          <w:p>
            <w:pPr>
              <w:spacing w:line="520" w:lineRule="exact"/>
              <w:rPr>
                <w:rFonts w:ascii="Times New Roman" w:hAnsi="Times New Roman"/>
                <w:szCs w:val="21"/>
              </w:rPr>
            </w:pPr>
            <w:r>
              <w:rPr>
                <w:rFonts w:hint="eastAsia" w:ascii="Times New Roman" w:hAnsi="Times New Roman"/>
                <w:szCs w:val="21"/>
              </w:rPr>
              <w:t>涵盖投入股票期权做市业务的资金规模及用途、投入人员及详细情况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2</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做市策略</w:t>
            </w:r>
          </w:p>
        </w:tc>
        <w:tc>
          <w:tcPr>
            <w:tcW w:w="4586" w:type="dxa"/>
          </w:tcPr>
          <w:p>
            <w:pPr>
              <w:spacing w:line="520" w:lineRule="exact"/>
              <w:rPr>
                <w:rFonts w:ascii="Times New Roman" w:hAnsi="Times New Roman"/>
                <w:szCs w:val="21"/>
              </w:rPr>
            </w:pPr>
            <w:r>
              <w:rPr>
                <w:rFonts w:hint="eastAsia" w:ascii="Times New Roman" w:hAnsi="Times New Roman"/>
                <w:szCs w:val="21"/>
              </w:rPr>
              <w:t>涵盖定价模型、不同情况下的报价策略、对冲策略、存货管理策略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3</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做市系统的基本功能</w:t>
            </w:r>
          </w:p>
        </w:tc>
        <w:tc>
          <w:tcPr>
            <w:tcW w:w="4586" w:type="dxa"/>
          </w:tcPr>
          <w:p>
            <w:pPr>
              <w:spacing w:line="520" w:lineRule="exact"/>
              <w:rPr>
                <w:rFonts w:ascii="Times New Roman" w:hAnsi="Times New Roman"/>
                <w:szCs w:val="21"/>
              </w:rPr>
            </w:pPr>
            <w:r>
              <w:rPr>
                <w:rFonts w:hint="eastAsia" w:ascii="Times New Roman" w:hAnsi="Times New Roman"/>
                <w:szCs w:val="21"/>
              </w:rPr>
              <w:t>涵盖做市策略交易、合约管理、订单管理、报价参数管理、报价模型管理、批量撤单、前端控制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4</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做市报价价差与参与率管理</w:t>
            </w:r>
          </w:p>
        </w:tc>
        <w:tc>
          <w:tcPr>
            <w:tcW w:w="4586" w:type="dxa"/>
          </w:tcPr>
          <w:p>
            <w:pPr>
              <w:spacing w:line="520" w:lineRule="exact"/>
              <w:rPr>
                <w:rFonts w:ascii="Times New Roman" w:hAnsi="Times New Roman"/>
                <w:szCs w:val="21"/>
              </w:rPr>
            </w:pPr>
            <w:r>
              <w:rPr>
                <w:rFonts w:hint="eastAsia" w:ascii="Times New Roman" w:hAnsi="Times New Roman"/>
                <w:szCs w:val="21"/>
              </w:rPr>
              <w:t>涵盖报价差、报价数量、合约覆盖情况，连续竞价、开盘、收盘、盘中熔断、涨跌停情况下的参与情况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5</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数据管理</w:t>
            </w:r>
          </w:p>
        </w:tc>
        <w:tc>
          <w:tcPr>
            <w:tcW w:w="4586" w:type="dxa"/>
          </w:tcPr>
          <w:p>
            <w:pPr>
              <w:spacing w:line="520" w:lineRule="exact"/>
              <w:rPr>
                <w:rFonts w:ascii="Times New Roman" w:hAnsi="Times New Roman"/>
                <w:szCs w:val="21"/>
              </w:rPr>
            </w:pPr>
            <w:r>
              <w:rPr>
                <w:rFonts w:hint="eastAsia" w:ascii="Times New Roman" w:hAnsi="Times New Roman"/>
                <w:szCs w:val="21"/>
              </w:rPr>
              <w:t>涵盖做市数据库所包括的数据内容、访问权限管理等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6</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做市策略预期评价结果及盈亏测算</w:t>
            </w:r>
          </w:p>
        </w:tc>
        <w:tc>
          <w:tcPr>
            <w:tcW w:w="4586" w:type="dxa"/>
          </w:tcPr>
          <w:p>
            <w:pPr>
              <w:spacing w:line="520" w:lineRule="exact"/>
              <w:rPr>
                <w:rFonts w:ascii="Times New Roman" w:hAnsi="Times New Roman"/>
                <w:szCs w:val="21"/>
              </w:rPr>
            </w:pPr>
            <w:r>
              <w:rPr>
                <w:rFonts w:hint="eastAsia" w:ascii="Times New Roman" w:hAnsi="Times New Roman"/>
                <w:szCs w:val="21"/>
              </w:rPr>
              <w:t>涵盖每日按合约、按标的测算做市评价预期结果等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jc w:val="center"/>
              <w:rPr>
                <w:rFonts w:ascii="Times New Roman" w:hAnsi="Times New Roman"/>
                <w:b/>
                <w:szCs w:val="21"/>
              </w:rPr>
            </w:pPr>
            <w:r>
              <w:rPr>
                <w:rFonts w:hint="eastAsia" w:ascii="Times New Roman" w:hAnsi="Times New Roman"/>
                <w:b/>
                <w:szCs w:val="21"/>
              </w:rPr>
              <w:t>内部管理制度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1</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业务运行管理</w:t>
            </w:r>
          </w:p>
        </w:tc>
        <w:tc>
          <w:tcPr>
            <w:tcW w:w="4586" w:type="dxa"/>
          </w:tcPr>
          <w:p>
            <w:pPr>
              <w:spacing w:line="520" w:lineRule="exact"/>
              <w:rPr>
                <w:rFonts w:ascii="Times New Roman" w:hAnsi="Times New Roman"/>
                <w:szCs w:val="21"/>
              </w:rPr>
            </w:pPr>
            <w:r>
              <w:rPr>
                <w:rFonts w:hint="eastAsia" w:ascii="Times New Roman" w:hAnsi="Times New Roman"/>
                <w:szCs w:val="21"/>
              </w:rPr>
              <w:t>涵盖做市业务运行管理各要素等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2</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合规与内部控制</w:t>
            </w:r>
          </w:p>
        </w:tc>
        <w:tc>
          <w:tcPr>
            <w:tcW w:w="4586" w:type="dxa"/>
          </w:tcPr>
          <w:p>
            <w:pPr>
              <w:spacing w:line="520" w:lineRule="exact"/>
              <w:rPr>
                <w:rFonts w:ascii="Times New Roman" w:hAnsi="Times New Roman"/>
                <w:szCs w:val="21"/>
              </w:rPr>
            </w:pPr>
            <w:r>
              <w:rPr>
                <w:rFonts w:hint="eastAsia" w:ascii="Times New Roman" w:hAnsi="Times New Roman"/>
                <w:szCs w:val="21"/>
              </w:rPr>
              <w:t>涵盖授权管理机制、投资决策流程和业务隔离机制等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3</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公司对做市业务的监督管理</w:t>
            </w:r>
          </w:p>
        </w:tc>
        <w:tc>
          <w:tcPr>
            <w:tcW w:w="4586" w:type="dxa"/>
          </w:tcPr>
          <w:p>
            <w:pPr>
              <w:spacing w:line="520" w:lineRule="exact"/>
              <w:rPr>
                <w:rFonts w:ascii="Times New Roman" w:hAnsi="Times New Roman"/>
                <w:szCs w:val="21"/>
              </w:rPr>
            </w:pPr>
            <w:r>
              <w:rPr>
                <w:rFonts w:hint="eastAsia" w:ascii="Times New Roman" w:hAnsi="Times New Roman"/>
                <w:szCs w:val="21"/>
              </w:rPr>
              <w:t>涵盖公司层面对做市业务的监管措施等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4</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额度管理</w:t>
            </w:r>
          </w:p>
        </w:tc>
        <w:tc>
          <w:tcPr>
            <w:tcW w:w="4586" w:type="dxa"/>
          </w:tcPr>
          <w:p>
            <w:pPr>
              <w:spacing w:line="520" w:lineRule="exact"/>
              <w:rPr>
                <w:rFonts w:ascii="Times New Roman" w:hAnsi="Times New Roman"/>
                <w:szCs w:val="21"/>
              </w:rPr>
            </w:pPr>
            <w:r>
              <w:rPr>
                <w:rFonts w:hint="eastAsia" w:ascii="Times New Roman" w:hAnsi="Times New Roman"/>
                <w:szCs w:val="21"/>
              </w:rPr>
              <w:t>涵盖公司内部对做市持仓限额申请流程等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5</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责任人及其职责管理</w:t>
            </w:r>
          </w:p>
        </w:tc>
        <w:tc>
          <w:tcPr>
            <w:tcW w:w="4586" w:type="dxa"/>
          </w:tcPr>
          <w:p>
            <w:pPr>
              <w:spacing w:line="520" w:lineRule="exact"/>
              <w:rPr>
                <w:rFonts w:ascii="Times New Roman" w:hAnsi="Times New Roman"/>
                <w:szCs w:val="21"/>
              </w:rPr>
            </w:pPr>
            <w:r>
              <w:rPr>
                <w:rFonts w:hint="eastAsia" w:ascii="Times New Roman" w:hAnsi="Times New Roman"/>
                <w:szCs w:val="21"/>
              </w:rPr>
              <w:t>涵盖做市业务相关部门、岗位人员及其职责管理等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jc w:val="center"/>
              <w:rPr>
                <w:rFonts w:ascii="Times New Roman" w:hAnsi="Times New Roman"/>
                <w:b/>
                <w:szCs w:val="21"/>
              </w:rPr>
            </w:pPr>
            <w:r>
              <w:rPr>
                <w:rFonts w:hint="eastAsia" w:ascii="Times New Roman" w:hAnsi="Times New Roman"/>
                <w:b/>
                <w:szCs w:val="21"/>
              </w:rPr>
              <w:t>风险控制制度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1</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公司层面与部门层面风控的独立性</w:t>
            </w:r>
          </w:p>
        </w:tc>
        <w:tc>
          <w:tcPr>
            <w:tcW w:w="4586" w:type="dxa"/>
          </w:tcPr>
          <w:p>
            <w:pPr>
              <w:spacing w:line="520" w:lineRule="exact"/>
              <w:rPr>
                <w:rFonts w:ascii="Times New Roman" w:hAnsi="Times New Roman"/>
                <w:szCs w:val="21"/>
              </w:rPr>
            </w:pPr>
            <w:r>
              <w:rPr>
                <w:rFonts w:hint="eastAsia" w:ascii="Times New Roman" w:hAnsi="Times New Roman"/>
                <w:szCs w:val="21"/>
              </w:rPr>
              <w:t>公司层面的风控措施和部门层面的风控措施</w:t>
            </w:r>
            <w:r>
              <w:rPr>
                <w:rFonts w:ascii="Times New Roman" w:hAnsi="Times New Roman"/>
                <w:szCs w:val="21"/>
              </w:rPr>
              <w:t>，</w:t>
            </w:r>
            <w:r>
              <w:rPr>
                <w:rFonts w:hint="eastAsia" w:ascii="Times New Roman" w:hAnsi="Times New Roman"/>
                <w:szCs w:val="21"/>
              </w:rPr>
              <w:t>两者每日定期核对机制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2</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保证金管理</w:t>
            </w:r>
          </w:p>
        </w:tc>
        <w:tc>
          <w:tcPr>
            <w:tcW w:w="4586" w:type="dxa"/>
          </w:tcPr>
          <w:p>
            <w:pPr>
              <w:spacing w:line="520" w:lineRule="exact"/>
              <w:rPr>
                <w:rFonts w:ascii="Times New Roman" w:hAnsi="Times New Roman"/>
                <w:szCs w:val="21"/>
              </w:rPr>
            </w:pPr>
            <w:r>
              <w:rPr>
                <w:rFonts w:hint="eastAsia" w:ascii="Times New Roman" w:hAnsi="Times New Roman"/>
                <w:szCs w:val="21"/>
              </w:rPr>
              <w:t>涵盖保证金监控、强行平仓管理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3</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市场风险管理</w:t>
            </w:r>
          </w:p>
        </w:tc>
        <w:tc>
          <w:tcPr>
            <w:tcW w:w="4586" w:type="dxa"/>
          </w:tcPr>
          <w:p>
            <w:pPr>
              <w:spacing w:line="520" w:lineRule="exact"/>
              <w:rPr>
                <w:rFonts w:ascii="Times New Roman" w:hAnsi="Times New Roman"/>
                <w:szCs w:val="21"/>
              </w:rPr>
            </w:pPr>
            <w:r>
              <w:rPr>
                <w:rFonts w:hint="eastAsia" w:ascii="Times New Roman" w:hAnsi="Times New Roman"/>
                <w:szCs w:val="21"/>
              </w:rPr>
              <w:t>涵盖希腊值管理，波动率曲线（面），隔夜风险管理，市场大幅波动的管理等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4</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合约到期及行权风险管理</w:t>
            </w:r>
          </w:p>
        </w:tc>
        <w:tc>
          <w:tcPr>
            <w:tcW w:w="4586" w:type="dxa"/>
          </w:tcPr>
          <w:p>
            <w:pPr>
              <w:spacing w:line="520" w:lineRule="exact"/>
              <w:rPr>
                <w:rFonts w:ascii="Times New Roman" w:hAnsi="Times New Roman"/>
                <w:szCs w:val="21"/>
              </w:rPr>
            </w:pPr>
            <w:r>
              <w:rPr>
                <w:rFonts w:hint="eastAsia" w:ascii="Times New Roman" w:hAnsi="Times New Roman"/>
                <w:szCs w:val="21"/>
              </w:rPr>
              <w:t>涵盖快到期头寸管理，大头针风险管理，行权违约风险管理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5</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操作风险管理</w:t>
            </w:r>
          </w:p>
        </w:tc>
        <w:tc>
          <w:tcPr>
            <w:tcW w:w="4586" w:type="dxa"/>
          </w:tcPr>
          <w:p>
            <w:pPr>
              <w:spacing w:line="520" w:lineRule="exact"/>
              <w:rPr>
                <w:rFonts w:ascii="Times New Roman" w:hAnsi="Times New Roman"/>
                <w:szCs w:val="21"/>
              </w:rPr>
            </w:pPr>
            <w:r>
              <w:rPr>
                <w:rFonts w:hint="eastAsia" w:ascii="Times New Roman" w:hAnsi="Times New Roman"/>
                <w:szCs w:val="21"/>
              </w:rPr>
              <w:t>涵盖持仓、交易和风险敞口的限额，合理性检查，前端控制，授权，可投资标的等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6</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模型风险管理</w:t>
            </w:r>
          </w:p>
        </w:tc>
        <w:tc>
          <w:tcPr>
            <w:tcW w:w="4586" w:type="dxa"/>
          </w:tcPr>
          <w:p>
            <w:pPr>
              <w:spacing w:line="520" w:lineRule="exact"/>
              <w:rPr>
                <w:rFonts w:ascii="Times New Roman" w:hAnsi="Times New Roman"/>
                <w:szCs w:val="21"/>
              </w:rPr>
            </w:pPr>
            <w:r>
              <w:rPr>
                <w:rFonts w:hint="eastAsia" w:ascii="Times New Roman" w:hAnsi="Times New Roman"/>
                <w:szCs w:val="21"/>
              </w:rPr>
              <w:t>涵盖模型失效下的应对等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7</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流动性风险管理</w:t>
            </w:r>
          </w:p>
        </w:tc>
        <w:tc>
          <w:tcPr>
            <w:tcW w:w="4586" w:type="dxa"/>
          </w:tcPr>
          <w:p>
            <w:pPr>
              <w:spacing w:line="520" w:lineRule="exact"/>
              <w:rPr>
                <w:rFonts w:ascii="Times New Roman" w:hAnsi="Times New Roman"/>
                <w:szCs w:val="21"/>
              </w:rPr>
            </w:pPr>
            <w:r>
              <w:rPr>
                <w:rFonts w:hint="eastAsia" w:ascii="Times New Roman" w:hAnsi="Times New Roman"/>
                <w:szCs w:val="21"/>
              </w:rPr>
              <w:t>涵盖流动性风险的应对方式等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8</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预警设置</w:t>
            </w:r>
          </w:p>
        </w:tc>
        <w:tc>
          <w:tcPr>
            <w:tcW w:w="4586" w:type="dxa"/>
          </w:tcPr>
          <w:p>
            <w:pPr>
              <w:spacing w:line="520" w:lineRule="exact"/>
              <w:rPr>
                <w:rFonts w:ascii="Times New Roman" w:hAnsi="Times New Roman"/>
                <w:szCs w:val="21"/>
              </w:rPr>
            </w:pPr>
            <w:r>
              <w:rPr>
                <w:rFonts w:hint="eastAsia" w:ascii="Times New Roman" w:hAnsi="Times New Roman"/>
                <w:szCs w:val="21"/>
              </w:rPr>
              <w:t>涵盖持仓限额、每秒申报单数等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9</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盈亏管理</w:t>
            </w:r>
          </w:p>
        </w:tc>
        <w:tc>
          <w:tcPr>
            <w:tcW w:w="4586" w:type="dxa"/>
          </w:tcPr>
          <w:p>
            <w:pPr>
              <w:spacing w:line="520" w:lineRule="exact"/>
              <w:rPr>
                <w:rFonts w:ascii="Times New Roman" w:hAnsi="Times New Roman"/>
                <w:szCs w:val="21"/>
              </w:rPr>
            </w:pPr>
            <w:r>
              <w:rPr>
                <w:rFonts w:hint="eastAsia" w:ascii="Times New Roman" w:hAnsi="Times New Roman"/>
                <w:szCs w:val="21"/>
              </w:rPr>
              <w:t>涵盖日间与日终的盈亏计算等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10</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技术风险管理</w:t>
            </w:r>
          </w:p>
        </w:tc>
        <w:tc>
          <w:tcPr>
            <w:tcW w:w="4586" w:type="dxa"/>
          </w:tcPr>
          <w:p>
            <w:pPr>
              <w:spacing w:line="520" w:lineRule="exact"/>
              <w:rPr>
                <w:rFonts w:ascii="Times New Roman" w:hAnsi="Times New Roman"/>
                <w:szCs w:val="21"/>
              </w:rPr>
            </w:pPr>
            <w:r>
              <w:rPr>
                <w:rFonts w:hint="eastAsia" w:ascii="Times New Roman" w:hAnsi="Times New Roman"/>
                <w:szCs w:val="21"/>
              </w:rPr>
              <w:t>涵盖技术系统风险种类、处理方式等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11</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压力测试及报告</w:t>
            </w:r>
          </w:p>
        </w:tc>
        <w:tc>
          <w:tcPr>
            <w:tcW w:w="4586" w:type="dxa"/>
          </w:tcPr>
          <w:p>
            <w:pPr>
              <w:spacing w:line="520" w:lineRule="exact"/>
              <w:rPr>
                <w:rFonts w:ascii="Times New Roman" w:hAnsi="Times New Roman"/>
                <w:szCs w:val="21"/>
              </w:rPr>
            </w:pPr>
            <w:r>
              <w:rPr>
                <w:rFonts w:hint="eastAsia" w:ascii="Times New Roman" w:hAnsi="Times New Roman"/>
                <w:szCs w:val="21"/>
              </w:rPr>
              <w:t>在不同场景下的保证金、收益及报价情况的压力测试，含极端市场情况，极端场景须详述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Pr>
          <w:p>
            <w:pPr>
              <w:spacing w:line="520" w:lineRule="exact"/>
              <w:jc w:val="center"/>
              <w:rPr>
                <w:rFonts w:ascii="Times New Roman" w:hAnsi="Times New Roman"/>
                <w:b/>
                <w:szCs w:val="21"/>
              </w:rPr>
            </w:pPr>
            <w:r>
              <w:rPr>
                <w:rFonts w:hint="eastAsia" w:ascii="Times New Roman" w:hAnsi="Times New Roman"/>
                <w:b/>
                <w:szCs w:val="21"/>
              </w:rPr>
              <w:t>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1</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突发事件情形与分类</w:t>
            </w:r>
          </w:p>
        </w:tc>
        <w:tc>
          <w:tcPr>
            <w:tcW w:w="4586" w:type="dxa"/>
          </w:tcPr>
          <w:p>
            <w:pPr>
              <w:spacing w:line="520" w:lineRule="exact"/>
              <w:rPr>
                <w:rFonts w:ascii="Times New Roman" w:hAnsi="Times New Roman"/>
                <w:szCs w:val="21"/>
              </w:rPr>
            </w:pPr>
            <w:r>
              <w:rPr>
                <w:rFonts w:hint="eastAsia" w:ascii="Times New Roman" w:hAnsi="Times New Roman"/>
                <w:szCs w:val="21"/>
              </w:rPr>
              <w:t>涵盖突发事件的情形、分类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2</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预警及响应机制</w:t>
            </w:r>
          </w:p>
        </w:tc>
        <w:tc>
          <w:tcPr>
            <w:tcW w:w="4586" w:type="dxa"/>
          </w:tcPr>
          <w:p>
            <w:pPr>
              <w:spacing w:line="520" w:lineRule="exact"/>
              <w:rPr>
                <w:rFonts w:ascii="Times New Roman" w:hAnsi="Times New Roman"/>
                <w:szCs w:val="21"/>
              </w:rPr>
            </w:pPr>
            <w:r>
              <w:rPr>
                <w:rFonts w:hint="eastAsia" w:ascii="Times New Roman" w:hAnsi="Times New Roman"/>
                <w:szCs w:val="21"/>
              </w:rPr>
              <w:t>涵盖预警机制、响应机制及流程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pacing w:line="520" w:lineRule="exact"/>
              <w:jc w:val="center"/>
              <w:rPr>
                <w:rFonts w:ascii="Times New Roman" w:hAnsi="Times New Roman"/>
                <w:szCs w:val="21"/>
              </w:rPr>
            </w:pPr>
            <w:r>
              <w:rPr>
                <w:rFonts w:ascii="Times New Roman" w:hAnsi="Times New Roman"/>
                <w:szCs w:val="21"/>
              </w:rPr>
              <w:t>3</w:t>
            </w:r>
          </w:p>
        </w:tc>
        <w:tc>
          <w:tcPr>
            <w:tcW w:w="3120" w:type="dxa"/>
            <w:vAlign w:val="center"/>
          </w:tcPr>
          <w:p>
            <w:pPr>
              <w:spacing w:line="520" w:lineRule="exact"/>
              <w:rPr>
                <w:rFonts w:ascii="Times New Roman" w:hAnsi="Times New Roman"/>
                <w:szCs w:val="21"/>
              </w:rPr>
            </w:pPr>
            <w:r>
              <w:rPr>
                <w:rFonts w:hint="eastAsia" w:ascii="Times New Roman" w:hAnsi="Times New Roman"/>
                <w:szCs w:val="21"/>
              </w:rPr>
              <w:t>应急处理方式</w:t>
            </w:r>
          </w:p>
        </w:tc>
        <w:tc>
          <w:tcPr>
            <w:tcW w:w="4586" w:type="dxa"/>
          </w:tcPr>
          <w:p>
            <w:pPr>
              <w:spacing w:line="520" w:lineRule="exact"/>
              <w:rPr>
                <w:rFonts w:ascii="Times New Roman" w:hAnsi="Times New Roman"/>
                <w:szCs w:val="21"/>
              </w:rPr>
            </w:pPr>
            <w:r>
              <w:rPr>
                <w:rFonts w:hint="eastAsia" w:ascii="Times New Roman" w:hAnsi="Times New Roman"/>
                <w:szCs w:val="21"/>
              </w:rPr>
              <w:t>涵盖各类应急处理方式及流程</w:t>
            </w:r>
          </w:p>
        </w:tc>
      </w:tr>
    </w:tbl>
    <w:p>
      <w:pPr>
        <w:spacing w:line="560" w:lineRule="exact"/>
        <w:rPr>
          <w:rFonts w:ascii="方正仿宋简体" w:hAnsi="Times New Roman" w:eastAsia="方正仿宋简体"/>
          <w:sz w:val="24"/>
          <w:szCs w:val="24"/>
        </w:rPr>
      </w:pPr>
      <w:r>
        <w:rPr>
          <w:rFonts w:hint="eastAsia" w:ascii="方正仿宋简体" w:hAnsi="Times New Roman" w:eastAsia="方正仿宋简体"/>
          <w:sz w:val="24"/>
          <w:szCs w:val="24"/>
        </w:rPr>
        <w:t>备注：除上述必备章节和内容外，做市商还应根据做市业务实际需要，制定、明确其他相关制度或预案。</w:t>
      </w:r>
      <w:r>
        <w:rPr>
          <w:rFonts w:ascii="Times New Roman" w:hAnsi="Times New Roman"/>
        </w:rPr>
        <w:br w:type="page"/>
      </w:r>
    </w:p>
    <w:p>
      <w:pPr>
        <w:pStyle w:val="26"/>
        <w:adjustRightInd w:val="0"/>
        <w:snapToGrid w:val="0"/>
        <w:spacing w:after="156" w:afterLines="50"/>
        <w:ind w:firstLine="0" w:firstLineChars="0"/>
        <w:outlineLvl w:val="0"/>
        <w:rPr>
          <w:rFonts w:ascii="黑体" w:hAnsi="黑体" w:eastAsia="黑体" w:cs="黑体"/>
          <w:sz w:val="32"/>
          <w:szCs w:val="32"/>
        </w:rPr>
      </w:pPr>
      <w:bookmarkStart w:id="40" w:name="_Toc13005"/>
      <w:bookmarkStart w:id="41" w:name="_Toc25772176"/>
      <w:bookmarkStart w:id="42" w:name="_Toc2637"/>
      <w:r>
        <w:rPr>
          <w:rFonts w:hint="eastAsia" w:ascii="黑体" w:hAnsi="黑体" w:eastAsia="黑体" w:cs="黑体"/>
          <w:sz w:val="32"/>
          <w:szCs w:val="32"/>
        </w:rPr>
        <w:t>附件3</w:t>
      </w:r>
    </w:p>
    <w:p>
      <w:pPr>
        <w:pStyle w:val="26"/>
        <w:adjustRightInd w:val="0"/>
        <w:snapToGrid w:val="0"/>
        <w:spacing w:after="156" w:afterLines="50"/>
        <w:ind w:firstLine="0" w:firstLineChars="0"/>
        <w:jc w:val="center"/>
        <w:outlineLvl w:val="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做市业务人员情况表</w:t>
      </w:r>
      <w:bookmarkEnd w:id="40"/>
      <w:bookmarkEnd w:id="41"/>
      <w:bookmarkEnd w:id="42"/>
    </w:p>
    <w:tbl>
      <w:tblPr>
        <w:tblStyle w:val="1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9"/>
        <w:gridCol w:w="1183"/>
        <w:gridCol w:w="1275"/>
        <w:gridCol w:w="284"/>
        <w:gridCol w:w="422"/>
        <w:gridCol w:w="1279"/>
        <w:gridCol w:w="138"/>
        <w:gridCol w:w="2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公司信息</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公司名称</w:t>
            </w:r>
          </w:p>
        </w:tc>
        <w:tc>
          <w:tcPr>
            <w:tcW w:w="4443"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做市资格类型</w:t>
            </w:r>
          </w:p>
        </w:tc>
        <w:tc>
          <w:tcPr>
            <w:tcW w:w="4443" w:type="dxa"/>
            <w:gridSpan w:val="5"/>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做市业务</w:t>
            </w:r>
          </w:p>
          <w:p>
            <w:pPr>
              <w:spacing w:line="480" w:lineRule="exact"/>
              <w:jc w:val="center"/>
              <w:rPr>
                <w:rFonts w:ascii="Times New Roman" w:hAnsi="Times New Roman"/>
                <w:szCs w:val="21"/>
              </w:rPr>
            </w:pPr>
            <w:r>
              <w:rPr>
                <w:rFonts w:hint="eastAsia" w:ascii="Times New Roman" w:hAnsi="Times New Roman"/>
                <w:szCs w:val="21"/>
              </w:rPr>
              <w:t>负责人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姓名</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部门</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做市业务</w:t>
            </w:r>
          </w:p>
          <w:p>
            <w:pPr>
              <w:spacing w:line="480" w:lineRule="exact"/>
              <w:jc w:val="center"/>
              <w:rPr>
                <w:rFonts w:ascii="Times New Roman" w:hAnsi="Times New Roman"/>
                <w:szCs w:val="21"/>
              </w:rPr>
            </w:pPr>
            <w:r>
              <w:rPr>
                <w:rFonts w:hint="eastAsia" w:ascii="Times New Roman" w:hAnsi="Times New Roman"/>
                <w:szCs w:val="21"/>
              </w:rPr>
              <w:t>联络人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姓名</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部门</w:t>
            </w:r>
          </w:p>
        </w:tc>
        <w:tc>
          <w:tcPr>
            <w:tcW w:w="5718" w:type="dxa"/>
            <w:gridSpan w:val="6"/>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电话</w:t>
            </w:r>
          </w:p>
        </w:tc>
        <w:tc>
          <w:tcPr>
            <w:tcW w:w="1981" w:type="dxa"/>
            <w:gridSpan w:val="3"/>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邮件地址</w:t>
            </w:r>
          </w:p>
        </w:tc>
        <w:tc>
          <w:tcPr>
            <w:tcW w:w="2320"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shd w:val="clear" w:color="auto" w:fill="F2F2F2"/>
            <w:vAlign w:val="center"/>
          </w:tcPr>
          <w:p>
            <w:pPr>
              <w:spacing w:line="480" w:lineRule="exact"/>
              <w:jc w:val="center"/>
              <w:rPr>
                <w:rFonts w:ascii="Times New Roman" w:hAnsi="Times New Roman"/>
                <w:b/>
                <w:szCs w:val="21"/>
              </w:rPr>
            </w:pPr>
            <w:r>
              <w:rPr>
                <w:rFonts w:hint="eastAsia" w:ascii="Times New Roman" w:hAnsi="Times New Roman"/>
                <w:b/>
                <w:szCs w:val="21"/>
              </w:rPr>
              <w:t>部门与岗位设置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（部门名称</w:t>
            </w:r>
            <w:r>
              <w:rPr>
                <w:rFonts w:ascii="Times New Roman" w:hAnsi="Times New Roman"/>
                <w:szCs w:val="21"/>
              </w:rPr>
              <w:t>1</w:t>
            </w:r>
            <w:r>
              <w:rPr>
                <w:rFonts w:hint="eastAsia" w:ascii="Times New Roman" w:hAnsi="Times New Roman"/>
                <w:szCs w:val="21"/>
              </w:rPr>
              <w:t>）工作职责包括：</w:t>
            </w:r>
          </w:p>
          <w:p>
            <w:pPr>
              <w:spacing w:line="480" w:lineRule="exact"/>
              <w:rPr>
                <w:rFonts w:ascii="Times New Roman" w:hAnsi="Times New Roman"/>
                <w:szCs w:val="21"/>
              </w:rPr>
            </w:pP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（负责人）</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（座机）</w:t>
            </w:r>
          </w:p>
          <w:p>
            <w:pPr>
              <w:spacing w:line="480" w:lineRule="exact"/>
              <w:rPr>
                <w:rFonts w:ascii="Times New Roman" w:hAnsi="Times New Roman"/>
                <w:szCs w:val="21"/>
              </w:rPr>
            </w:pPr>
            <w:r>
              <w:rPr>
                <w:rFonts w:hint="eastAsia" w:ascii="Times New Roman" w:hAnsi="Times New Roman"/>
                <w:szCs w:val="21"/>
              </w:rPr>
              <w:t>（手机）</w:t>
            </w:r>
          </w:p>
          <w:p>
            <w:pPr>
              <w:spacing w:line="480" w:lineRule="exact"/>
              <w:rPr>
                <w:rFonts w:ascii="Times New Roman" w:hAnsi="Times New Roman"/>
                <w:szCs w:val="21"/>
              </w:rPr>
            </w:pPr>
            <w:r>
              <w:rPr>
                <w:rFonts w:hint="eastAsia" w:ascii="Times New Roman" w:hAnsi="Times New Roman"/>
                <w:szCs w:val="21"/>
              </w:rPr>
              <w:t>（邮件）</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（年份</w:t>
            </w:r>
            <w:r>
              <w:rPr>
                <w:rFonts w:ascii="Times New Roman" w:hAnsi="Times New Roman"/>
                <w:szCs w:val="21"/>
              </w:rPr>
              <w:t>-</w:t>
            </w:r>
            <w:r>
              <w:rPr>
                <w:rFonts w:hint="eastAsia" w:ascii="Times New Roman" w:hAnsi="Times New Roman"/>
                <w:szCs w:val="21"/>
              </w:rPr>
              <w:t>单位</w:t>
            </w:r>
            <w:r>
              <w:rPr>
                <w:rFonts w:ascii="Times New Roman" w:hAnsi="Times New Roman"/>
                <w:szCs w:val="21"/>
              </w:rPr>
              <w:t>-</w:t>
            </w:r>
            <w:r>
              <w:rPr>
                <w:rFonts w:hint="eastAsia" w:ascii="Times New Roman" w:hAnsi="Times New Roman"/>
                <w:szCs w:val="21"/>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（部门名称</w:t>
            </w:r>
            <w:r>
              <w:rPr>
                <w:rFonts w:ascii="Times New Roman" w:hAnsi="Times New Roman"/>
                <w:szCs w:val="21"/>
              </w:rPr>
              <w:t>2</w:t>
            </w:r>
            <w:r>
              <w:rPr>
                <w:rFonts w:hint="eastAsia" w:ascii="Times New Roman" w:hAnsi="Times New Roman"/>
                <w:szCs w:val="21"/>
              </w:rPr>
              <w:t>）工作职责包括：</w:t>
            </w:r>
          </w:p>
          <w:p>
            <w:pPr>
              <w:spacing w:line="480" w:lineRule="exac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520" w:type="dxa"/>
            <w:gridSpan w:val="8"/>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r>
              <w:rPr>
                <w:rFonts w:hint="eastAsia" w:ascii="Times New Roman" w:hAnsi="Times New Roman"/>
                <w:szCs w:val="21"/>
              </w:rPr>
              <w:t>（部门名称</w:t>
            </w:r>
            <w:r>
              <w:rPr>
                <w:rFonts w:ascii="Times New Roman" w:hAnsi="Times New Roman"/>
                <w:szCs w:val="21"/>
              </w:rPr>
              <w:t>3</w:t>
            </w:r>
            <w:r>
              <w:rPr>
                <w:rFonts w:hint="eastAsia" w:ascii="Times New Roman" w:hAnsi="Times New Roman"/>
                <w:szCs w:val="21"/>
              </w:rPr>
              <w:t>）工作职责包括：</w:t>
            </w:r>
          </w:p>
          <w:p>
            <w:pPr>
              <w:spacing w:line="480" w:lineRule="exact"/>
              <w:rPr>
                <w:rFonts w:ascii="Times New Roman" w:hAnsi="Times New Roman"/>
                <w:szCs w:val="21"/>
              </w:rPr>
            </w:pPr>
            <w:r>
              <w:rPr>
                <w:rFonts w:hint="eastAsia" w:ascii="Times New Roman" w:hAnsi="Times New Roman"/>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岗位</w:t>
            </w: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人员姓名</w:t>
            </w: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职责描述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联系方式</w:t>
            </w: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jc w:val="center"/>
              <w:rPr>
                <w:rFonts w:ascii="Times New Roman" w:hAnsi="Times New Roman"/>
                <w:szCs w:val="21"/>
              </w:rPr>
            </w:pPr>
            <w:r>
              <w:rPr>
                <w:rFonts w:hint="eastAsia" w:ascii="Times New Roman" w:hAnsi="Times New Roman"/>
                <w:szCs w:val="21"/>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619"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183" w:type="dxa"/>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c>
          <w:tcPr>
            <w:tcW w:w="2458" w:type="dxa"/>
            <w:gridSpan w:val="2"/>
            <w:tcBorders>
              <w:top w:val="single" w:color="auto" w:sz="4" w:space="0"/>
              <w:left w:val="single" w:color="auto" w:sz="4" w:space="0"/>
              <w:bottom w:val="single" w:color="auto" w:sz="4" w:space="0"/>
              <w:right w:val="single" w:color="auto" w:sz="4" w:space="0"/>
            </w:tcBorders>
            <w:vAlign w:val="center"/>
          </w:tcPr>
          <w:p>
            <w:pPr>
              <w:spacing w:line="480" w:lineRule="exact"/>
              <w:rPr>
                <w:rFonts w:ascii="Times New Roman" w:hAnsi="Times New Roman"/>
                <w:szCs w:val="21"/>
              </w:rPr>
            </w:pPr>
          </w:p>
        </w:tc>
      </w:tr>
    </w:tbl>
    <w:p>
      <w:pPr>
        <w:spacing w:line="560" w:lineRule="exact"/>
        <w:rPr>
          <w:rFonts w:ascii="仿宋" w:hAnsi="仿宋" w:eastAsia="仿宋" w:cs="Times New Roman"/>
          <w:sz w:val="32"/>
          <w:szCs w:val="32"/>
        </w:rPr>
      </w:pPr>
      <w:r>
        <w:rPr>
          <w:rFonts w:hint="eastAsia" w:ascii="方正仿宋简体" w:hAnsi="Times New Roman" w:eastAsia="方正仿宋简体"/>
          <w:sz w:val="24"/>
          <w:szCs w:val="24"/>
        </w:rPr>
        <w:t>备注：做市部门负责人、交易岗、风险控制岗必须详细填写工作履历。</w:t>
      </w: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8"/>
          <w:tabs>
            <w:tab w:val="left" w:pos="1354"/>
          </w:tabs>
        </w:pPr>
        <w:r>
          <w:tab/>
        </w:r>
        <w:r>
          <w:tab/>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A0A085"/>
    <w:multiLevelType w:val="singleLevel"/>
    <w:tmpl w:val="EDA0A085"/>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392E"/>
    <w:rsid w:val="002B013A"/>
    <w:rsid w:val="00457909"/>
    <w:rsid w:val="004A5FFA"/>
    <w:rsid w:val="005B4F79"/>
    <w:rsid w:val="00701135"/>
    <w:rsid w:val="00810E5C"/>
    <w:rsid w:val="008F4272"/>
    <w:rsid w:val="009A1AD5"/>
    <w:rsid w:val="009B74A7"/>
    <w:rsid w:val="009D7FF2"/>
    <w:rsid w:val="009F3F80"/>
    <w:rsid w:val="00A65ECD"/>
    <w:rsid w:val="00B506B2"/>
    <w:rsid w:val="00B6625C"/>
    <w:rsid w:val="00B91B1D"/>
    <w:rsid w:val="00CF24AA"/>
    <w:rsid w:val="00D0011E"/>
    <w:rsid w:val="00D36474"/>
    <w:rsid w:val="00D72D3A"/>
    <w:rsid w:val="00E024A8"/>
    <w:rsid w:val="05AE747D"/>
    <w:rsid w:val="06520BB4"/>
    <w:rsid w:val="072B7316"/>
    <w:rsid w:val="087B730E"/>
    <w:rsid w:val="0E443E66"/>
    <w:rsid w:val="0FFD37AA"/>
    <w:rsid w:val="102E6E56"/>
    <w:rsid w:val="11EB4C83"/>
    <w:rsid w:val="12F53BFF"/>
    <w:rsid w:val="151E5674"/>
    <w:rsid w:val="16096A3B"/>
    <w:rsid w:val="1AF5410B"/>
    <w:rsid w:val="1BD66D78"/>
    <w:rsid w:val="1F4709CA"/>
    <w:rsid w:val="1F6A2136"/>
    <w:rsid w:val="224F3637"/>
    <w:rsid w:val="225A3177"/>
    <w:rsid w:val="23555A36"/>
    <w:rsid w:val="24951681"/>
    <w:rsid w:val="255B32D7"/>
    <w:rsid w:val="25CB4D13"/>
    <w:rsid w:val="27B51256"/>
    <w:rsid w:val="28C2098B"/>
    <w:rsid w:val="2A535958"/>
    <w:rsid w:val="2E3323AB"/>
    <w:rsid w:val="32426B25"/>
    <w:rsid w:val="33155292"/>
    <w:rsid w:val="3672208E"/>
    <w:rsid w:val="36E3749E"/>
    <w:rsid w:val="37AF7115"/>
    <w:rsid w:val="37D960BB"/>
    <w:rsid w:val="39817E51"/>
    <w:rsid w:val="3B9F14EA"/>
    <w:rsid w:val="40BF4940"/>
    <w:rsid w:val="417A34EA"/>
    <w:rsid w:val="4344494D"/>
    <w:rsid w:val="44484EB1"/>
    <w:rsid w:val="44F8398B"/>
    <w:rsid w:val="46437349"/>
    <w:rsid w:val="486B5A48"/>
    <w:rsid w:val="499D39B8"/>
    <w:rsid w:val="4FD56D0B"/>
    <w:rsid w:val="50FA3724"/>
    <w:rsid w:val="532C7EB0"/>
    <w:rsid w:val="56A1647F"/>
    <w:rsid w:val="5A32093B"/>
    <w:rsid w:val="5AF740BF"/>
    <w:rsid w:val="5B806AF5"/>
    <w:rsid w:val="5D855FC2"/>
    <w:rsid w:val="600C76F2"/>
    <w:rsid w:val="674D5CDE"/>
    <w:rsid w:val="6B236608"/>
    <w:rsid w:val="6C2B2233"/>
    <w:rsid w:val="6E9E5827"/>
    <w:rsid w:val="719F5F73"/>
    <w:rsid w:val="71F5325C"/>
    <w:rsid w:val="72D41C3E"/>
    <w:rsid w:val="735F3A9E"/>
    <w:rsid w:val="73CA4626"/>
    <w:rsid w:val="78D65968"/>
    <w:rsid w:val="7C65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2"/>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2"/>
    <w:qFormat/>
    <w:uiPriority w:val="9"/>
    <w:rPr>
      <w:b/>
      <w:bCs/>
      <w:kern w:val="44"/>
      <w:sz w:val="44"/>
      <w:szCs w:val="44"/>
    </w:rPr>
  </w:style>
  <w:style w:type="character" w:customStyle="1" w:styleId="21">
    <w:name w:val="标题 2 Char"/>
    <w:basedOn w:val="15"/>
    <w:link w:val="3"/>
    <w:qFormat/>
    <w:uiPriority w:val="9"/>
    <w:rPr>
      <w:rFonts w:eastAsia="黑体" w:asciiTheme="majorHAnsi" w:hAnsiTheme="majorHAnsi" w:cstheme="majorBidi"/>
      <w:bCs/>
      <w:sz w:val="32"/>
      <w:szCs w:val="32"/>
    </w:rPr>
  </w:style>
  <w:style w:type="character" w:customStyle="1" w:styleId="22">
    <w:name w:val="标题 3 Char"/>
    <w:basedOn w:val="15"/>
    <w:link w:val="4"/>
    <w:qFormat/>
    <w:uiPriority w:val="9"/>
    <w:rPr>
      <w:rFonts w:eastAsia="仿宋"/>
      <w:b/>
      <w:bCs/>
      <w:sz w:val="32"/>
      <w:szCs w:val="32"/>
    </w:rPr>
  </w:style>
  <w:style w:type="character" w:customStyle="1" w:styleId="23">
    <w:name w:val="批注文字 Char"/>
    <w:basedOn w:val="15"/>
    <w:link w:val="5"/>
    <w:semiHidden/>
    <w:qFormat/>
    <w:uiPriority w:val="99"/>
  </w:style>
  <w:style w:type="character" w:customStyle="1" w:styleId="24">
    <w:name w:val="批注框文本 Char"/>
    <w:basedOn w:val="15"/>
    <w:link w:val="7"/>
    <w:semiHidden/>
    <w:qFormat/>
    <w:uiPriority w:val="99"/>
    <w:rPr>
      <w:sz w:val="18"/>
      <w:szCs w:val="18"/>
    </w:rPr>
  </w:style>
  <w:style w:type="character" w:customStyle="1" w:styleId="25">
    <w:name w:val="批注主题 Char"/>
    <w:basedOn w:val="23"/>
    <w:link w:val="12"/>
    <w:semiHidden/>
    <w:qFormat/>
    <w:uiPriority w:val="99"/>
    <w:rPr>
      <w:b/>
      <w:bCs/>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E949D-F95D-4407-8A2A-3D83E3204810}">
  <ds:schemaRefs/>
</ds:datastoreItem>
</file>

<file path=docProps/app.xml><?xml version="1.0" encoding="utf-8"?>
<Properties xmlns="http://schemas.openxmlformats.org/officeDocument/2006/extended-properties" xmlns:vt="http://schemas.openxmlformats.org/officeDocument/2006/docPropsVTypes">
  <Template>Normal</Template>
  <Pages>9</Pages>
  <Words>584</Words>
  <Characters>3332</Characters>
  <Lines>27</Lines>
  <Paragraphs>7</Paragraphs>
  <TotalTime>0</TotalTime>
  <ScaleCrop>false</ScaleCrop>
  <LinksUpToDate>false</LinksUpToDate>
  <CharactersWithSpaces>3909</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姚一凡</cp:lastModifiedBy>
  <dcterms:modified xsi:type="dcterms:W3CDTF">2023-09-06T11:23:14Z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DFC048D7C7584C14959D114CE7D032E8</vt:lpwstr>
  </property>
</Properties>
</file>