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spacing w:line="560" w:lineRule="exact"/>
        <w:jc w:val="both"/>
        <w:rPr>
          <w:rFonts w:hint="eastAsia" w:ascii="黑体" w:hAnsi="黑体" w:eastAsia="黑体" w:cs="黑体"/>
          <w:sz w:val="32"/>
          <w:szCs w:val="32"/>
        </w:rPr>
      </w:pPr>
    </w:p>
    <w:p>
      <w:pPr>
        <w:widowControl/>
        <w:snapToGrid w:val="0"/>
        <w:jc w:val="center"/>
        <w:rPr>
          <w:rFonts w:ascii="方正小标宋简体" w:eastAsia="方正小标宋简体"/>
          <w:sz w:val="44"/>
          <w:szCs w:val="44"/>
        </w:rPr>
      </w:pPr>
      <w:r>
        <w:rPr>
          <w:rFonts w:hint="eastAsia" w:ascii="方正小标宋简体" w:eastAsia="方正小标宋简体"/>
          <w:bCs/>
          <w:sz w:val="44"/>
          <w:szCs w:val="44"/>
        </w:rPr>
        <w:t>深圳证券交易所创</w:t>
      </w:r>
      <w:bookmarkStart w:id="179" w:name="_GoBack"/>
      <w:bookmarkEnd w:id="179"/>
      <w:r>
        <w:rPr>
          <w:rFonts w:hint="eastAsia" w:ascii="方正小标宋简体" w:eastAsia="方正小标宋简体"/>
          <w:bCs/>
          <w:sz w:val="44"/>
          <w:szCs w:val="44"/>
        </w:rPr>
        <w:t>业板上市公司自律监管指南第2号——公告格式</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w:t>
      </w:r>
      <w:r>
        <w:rPr>
          <w:rFonts w:hint="eastAsia" w:ascii="方正小标宋简体" w:eastAsia="方正小标宋简体"/>
          <w:sz w:val="44"/>
          <w:szCs w:val="44"/>
          <w:highlight w:val="none"/>
          <w:lang w:val="en-US" w:eastAsia="zh-CN"/>
        </w:rPr>
        <w:t>7月</w:t>
      </w:r>
      <w:r>
        <w:rPr>
          <w:rFonts w:hint="eastAsia" w:ascii="方正小标宋简体" w:eastAsia="方正小标宋简体"/>
          <w:sz w:val="44"/>
          <w:szCs w:val="44"/>
        </w:rPr>
        <w:t>修订）</w:t>
      </w:r>
    </w:p>
    <w:p>
      <w:pPr>
        <w:tabs>
          <w:tab w:val="left" w:pos="360"/>
        </w:tabs>
        <w:spacing w:line="360" w:lineRule="auto"/>
        <w:rPr>
          <w:rFonts w:ascii="仿宋" w:hAnsi="仿宋" w:eastAsia="仿宋"/>
          <w:sz w:val="24"/>
        </w:rPr>
      </w:pP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为了规范深圳证券交易所（以下简称本所）创业板上市公司和相关信息披露义务人的信息披露行为，提高上市公司信息披露质量，根据《中华人民共和国公司法》（以下简称《公司法》）、《中华人民共和国证券法》（以下简称《证券法》）等法律、行政法规、部门规章、规范性文件（以下统称法律法规）以及《深圳证券交易所创业板股票上市规则》（以下简称《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上市规则》）等有关规定，制定本指南。</w:t>
      </w: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上市公司和相关信息披露义务人应当按照本指南规定的公告格式编制公告。公告不属于公告格式范围的，应当按照相关法律法规以及本所《创业板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上市规则》等有关规定的要求编制，必要时可参考相关公告格式的要求。</w:t>
      </w: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和相关信息披露义务人应当在其编制的公告中声明：保证本公告内容不存在任何虚假记载、误导性陈述或者重大遗漏，并依法对其内容的真实性、准确性和完整性承担相应责任。如相关人员对公告内容的真实性、准确性和完整性无法保证或存在异议的，公司应当在公告中作特别提示。</w:t>
      </w:r>
    </w:p>
    <w:p>
      <w:pPr>
        <w:tabs>
          <w:tab w:val="left" w:pos="527"/>
          <w:tab w:val="center" w:pos="4153"/>
        </w:tabs>
        <w:spacing w:line="560" w:lineRule="exact"/>
        <w:ind w:firstLine="640" w:firstLineChars="200"/>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br w:type="page"/>
      </w:r>
    </w:p>
    <w:p>
      <w:pPr>
        <w:pStyle w:val="11"/>
        <w:tabs>
          <w:tab w:val="right" w:leader="dot" w:pos="8296"/>
        </w:tabs>
        <w:jc w:val="center"/>
        <w:rPr>
          <w:rFonts w:ascii="仿宋" w:hAnsi="仿宋" w:eastAsia="仿宋"/>
          <w:b/>
          <w:bCs/>
          <w:i w:val="0"/>
          <w:iCs w:val="0"/>
          <w:sz w:val="32"/>
          <w:szCs w:val="32"/>
        </w:rPr>
      </w:pPr>
      <w:r>
        <w:rPr>
          <w:rFonts w:hint="eastAsia" w:ascii="仿宋" w:hAnsi="仿宋" w:eastAsia="仿宋"/>
          <w:b/>
          <w:bCs/>
          <w:i w:val="0"/>
          <w:iCs w:val="0"/>
          <w:sz w:val="32"/>
          <w:szCs w:val="32"/>
        </w:rPr>
        <w:t>目  录</w:t>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TOC \o "1-3" \h \z \u </w:instrText>
      </w:r>
      <w:r>
        <w:rPr>
          <w:rFonts w:hint="eastAsia" w:ascii="仿宋" w:hAnsi="仿宋" w:eastAsia="仿宋" w:cs="仿宋"/>
          <w:bCs/>
          <w:i w:val="0"/>
          <w:iCs w:val="0"/>
          <w:sz w:val="32"/>
          <w:szCs w:val="32"/>
        </w:rPr>
        <w:fldChar w:fldCharType="separate"/>
      </w: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_Toc22819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第1号 上市公司购买、出售资产公告格式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_Toc22819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_Toc12699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第2号 上市公司关联交易公告格式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_Toc12699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_Toc7214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第3号 上市公司分红派息、转增股本实施公告格式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_Toc7214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_Toc18098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第4号 上市公司召开股东会通知公告格式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_Toc18098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_Toc30176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第5号 上市公司股东会决议公告格式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_Toc30176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41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_Toc21464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第6号 上市公司对外（含委托）投资公告格式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_Toc21464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46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_Toc20570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第7号 上市公司提供担保公告格式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_Toc20570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_Toc19651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第8号 上市公司</w:t>
      </w:r>
      <w:r>
        <w:rPr>
          <w:rFonts w:hint="eastAsia" w:ascii="仿宋" w:hAnsi="仿宋" w:eastAsia="仿宋" w:cs="仿宋"/>
          <w:i w:val="0"/>
          <w:iCs w:val="0"/>
          <w:kern w:val="44"/>
          <w:sz w:val="32"/>
          <w:szCs w:val="32"/>
          <w:lang w:eastAsia="zh-CN"/>
        </w:rPr>
        <w:t>改变募集资金</w:t>
      </w:r>
      <w:r>
        <w:rPr>
          <w:rFonts w:hint="eastAsia" w:ascii="仿宋" w:hAnsi="仿宋" w:eastAsia="仿宋" w:cs="仿宋"/>
          <w:i w:val="0"/>
          <w:iCs w:val="0"/>
          <w:kern w:val="44"/>
          <w:sz w:val="32"/>
          <w:szCs w:val="32"/>
        </w:rPr>
        <w:t>用途公告格式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_Toc19651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_Toc8752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第9号 上市公司股票交易异常波动/严重异常波动公告格式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_Toc8752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58</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_Toc8352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第10号 上市公司澄清公告格式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_Toc8352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_Toc19736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第11号 上市公司重大诉讼、仲裁公告格式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_Toc19736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_Toc9354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第12号 上市公司债务重组公告格式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_Toc9354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68</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_Toc19220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第13号 上市公司</w:t>
      </w:r>
      <w:r>
        <w:rPr>
          <w:rFonts w:hint="eastAsia" w:ascii="仿宋" w:hAnsi="仿宋" w:eastAsia="仿宋" w:cs="仿宋"/>
          <w:i w:val="0"/>
          <w:iCs w:val="0"/>
          <w:kern w:val="44"/>
          <w:sz w:val="32"/>
          <w:szCs w:val="32"/>
          <w:lang w:eastAsia="zh-CN"/>
        </w:rPr>
        <w:t>（</w:t>
      </w:r>
      <w:r>
        <w:rPr>
          <w:rFonts w:hint="eastAsia" w:ascii="仿宋" w:hAnsi="仿宋" w:eastAsia="仿宋" w:cs="仿宋"/>
          <w:i w:val="0"/>
          <w:iCs w:val="0"/>
          <w:kern w:val="44"/>
          <w:sz w:val="32"/>
          <w:szCs w:val="32"/>
        </w:rPr>
        <w:t>拟</w:t>
      </w:r>
      <w:r>
        <w:rPr>
          <w:rFonts w:hint="eastAsia" w:ascii="仿宋" w:hAnsi="仿宋" w:eastAsia="仿宋" w:cs="仿宋"/>
          <w:i w:val="0"/>
          <w:iCs w:val="0"/>
          <w:kern w:val="44"/>
          <w:sz w:val="32"/>
          <w:szCs w:val="32"/>
          <w:lang w:eastAsia="zh-CN"/>
        </w:rPr>
        <w:t>）</w:t>
      </w:r>
      <w:r>
        <w:rPr>
          <w:rFonts w:hint="eastAsia" w:ascii="仿宋" w:hAnsi="仿宋" w:eastAsia="仿宋" w:cs="仿宋"/>
          <w:i w:val="0"/>
          <w:iCs w:val="0"/>
          <w:kern w:val="44"/>
          <w:sz w:val="32"/>
          <w:szCs w:val="32"/>
        </w:rPr>
        <w:t>变更公司名称（含证券简称）的公告格式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_Toc19220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72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_Toc18049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第14号 上市公司独立董事提名人及候选人声明与承诺公告格式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_Toc18049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75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_Toc26121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第15号 上市公司业绩预告及修正公告格式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_Toc26121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91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_Toc30005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第16号 上市公司业绩快报及修正公告格式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_Toc30005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99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_Toc21719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第17号 上市公司日常经营重大合同（框架性协议）公告格式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_Toc21719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105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_Toc19243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sz w:val="32"/>
          <w:szCs w:val="32"/>
        </w:rPr>
        <w:t>第18号 上市公司首次公开发行前已发行股份上市流通公告格式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_Toc19243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111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_Toc12916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第19号 上市公司新增股份变动报告及上市公告书格式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_Toc12916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115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_Toc16384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第20号 上市公司用募集资金置换先期投入公告格式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_Toc16384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122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_Toc9876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第21号 上市公司募集资金年度存放、管理与使用情况的专项报告格式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_Toc9876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124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_Toc30940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第22号 上市公司董事会决议公告格式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_Toc30940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131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_Toc5352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上市公司日常关联交易预计 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_Toc5352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134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_Toc22859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上市公司董事会关于重大资产重组实施情况报告书格式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_Toc22859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_Toc3833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上市公司破产申请提示性公告格式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_Toc3833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_Toc16411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上市公司被法院受理破产申请公告格式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_Toc16411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_Toc26147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上市公司破产重整计划（和解协议）获准公告格式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_Toc26147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_Toc30704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8</w:t>
      </w:r>
      <w:r>
        <w:rPr>
          <w:rFonts w:hint="eastAsia" w:ascii="仿宋" w:hAnsi="仿宋" w:eastAsia="仿宋" w:cs="仿宋"/>
          <w:i w:val="0"/>
          <w:iCs w:val="0"/>
          <w:kern w:val="44"/>
          <w:sz w:val="32"/>
          <w:szCs w:val="32"/>
        </w:rPr>
        <w:t>号 上市公司被法院宣告破产暨终止上市风险提示性公告格式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_Toc30704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_Toc26186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29</w:t>
      </w:r>
      <w:r>
        <w:rPr>
          <w:rFonts w:hint="eastAsia" w:ascii="仿宋" w:hAnsi="仿宋" w:eastAsia="仿宋" w:cs="仿宋"/>
          <w:i w:val="0"/>
          <w:iCs w:val="0"/>
          <w:kern w:val="44"/>
          <w:sz w:val="32"/>
          <w:szCs w:val="32"/>
        </w:rPr>
        <w:t>号 上市公司股东减持股份实施情况公告格式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_Toc26186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_Toc25001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上市公司股东追加承诺公告格式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_Toc25001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_Toc18227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上市公司可转债赎回实施公告格式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_Toc18227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_Toc20179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上市公司可转债赎回结果公告格式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_Toc20179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_Toc4521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上市公司股权激励计划股票期权行权情况公告格式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_Toc4521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161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_Toc29877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上市公司股权激励计划限制性股票符合归属条件公告格式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_Toc29877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167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_Toc24283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上市公司股权激励计划限制性股票归属结果暨股份上市公告格式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_Toc24283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171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_Toc25787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上市公司股东股份质押（冻结或拍卖等）的公告格式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_Toc25787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177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_Toc19348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上市公司股东及董事、高级管理人员减持股份预披露公告格式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_Toc19348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189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_Toc7503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38</w:t>
      </w:r>
      <w:r>
        <w:rPr>
          <w:rFonts w:hint="eastAsia" w:ascii="仿宋" w:hAnsi="仿宋" w:eastAsia="仿宋" w:cs="仿宋"/>
          <w:i w:val="0"/>
          <w:iCs w:val="0"/>
          <w:kern w:val="44"/>
          <w:sz w:val="32"/>
          <w:szCs w:val="32"/>
        </w:rPr>
        <w:t>号　上市公司利润分配和资本公积金转增股本方案公告格式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_Toc7503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192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_Toc1592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39</w:t>
      </w:r>
      <w:r>
        <w:rPr>
          <w:rFonts w:hint="eastAsia" w:ascii="仿宋" w:hAnsi="仿宋" w:eastAsia="仿宋" w:cs="仿宋"/>
          <w:i w:val="0"/>
          <w:iCs w:val="0"/>
          <w:kern w:val="44"/>
          <w:sz w:val="32"/>
          <w:szCs w:val="32"/>
        </w:rPr>
        <w:t>号 上市公司获得政府补助公告格式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_Toc1592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199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_Toc7776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上市公司大股东及董事、高级管理人员增持股份计划及实施情况公告格式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_Toc7776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201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_Toc21935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上市公司回购股份业务相关公告格式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_Toc21935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205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_Toc1823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上市公司5%以上股东持股变动1%的公告格式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_Toc1823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217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_Toc10404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sz w:val="32"/>
          <w:szCs w:val="32"/>
        </w:rPr>
        <w:t>第4</w:t>
      </w:r>
      <w:r>
        <w:rPr>
          <w:rFonts w:hint="eastAsia" w:ascii="仿宋" w:hAnsi="仿宋" w:eastAsia="仿宋" w:cs="仿宋"/>
          <w:i w:val="0"/>
          <w:iCs w:val="0"/>
          <w:sz w:val="32"/>
          <w:szCs w:val="32"/>
          <w:lang w:val="en-US" w:eastAsia="zh-CN"/>
        </w:rPr>
        <w:t>3</w:t>
      </w:r>
      <w:r>
        <w:rPr>
          <w:rFonts w:hint="eastAsia" w:ascii="仿宋" w:hAnsi="仿宋" w:eastAsia="仿宋" w:cs="仿宋"/>
          <w:i w:val="0"/>
          <w:iCs w:val="0"/>
          <w:sz w:val="32"/>
          <w:szCs w:val="32"/>
        </w:rPr>
        <w:t>号 上市公司拟续聘/变更会计师事务所公告格式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_Toc10404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220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_Toc11973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上市公司与专业投资机构共同投资及合作公告格式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_Toc11973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225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_Toc30660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上市公司放弃权利公告格式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_Toc30660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230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_Toc30807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上市公司季度报告公告格式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_Toc30807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234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_Toc23259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上市公司股东征集表决权公告格式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_Toc23259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240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_Toc25031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8</w:t>
      </w:r>
      <w:r>
        <w:rPr>
          <w:rFonts w:hint="eastAsia" w:ascii="仿宋" w:hAnsi="仿宋" w:eastAsia="仿宋" w:cs="仿宋"/>
          <w:i w:val="0"/>
          <w:iCs w:val="0"/>
          <w:kern w:val="44"/>
          <w:sz w:val="32"/>
          <w:szCs w:val="32"/>
        </w:rPr>
        <w:t>号 上市公司股东征集提案权公告格式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_Toc25031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245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_Toc28680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49</w:t>
      </w:r>
      <w:r>
        <w:rPr>
          <w:rFonts w:hint="eastAsia" w:ascii="仿宋" w:hAnsi="仿宋" w:eastAsia="仿宋" w:cs="仿宋"/>
          <w:i w:val="0"/>
          <w:iCs w:val="0"/>
          <w:kern w:val="44"/>
          <w:sz w:val="32"/>
          <w:szCs w:val="32"/>
        </w:rPr>
        <w:t>号 上市公司证券投资、委托理财公告格式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_Toc28680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249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_Toc4326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上市公司会计政策变更公告格式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_Toc4326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_Toc27997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上市公司提供财务资助公告格式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_Toc27997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_Toc29942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上市公司股票可能被终止上市的风险提示公告格式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_Toc29942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260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_Toc14496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上市公司收到股票终止上市决定公告格式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_Toc14496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265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_Toc2543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上市公司股票进入退市整理期交易首日的风险提示公告/上市公司股票于退市整理期交易的风险提示公告格式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_Toc2543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268</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_Toc32275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上市公司股票终止上市暨摘牌公告格式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_Toc32275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271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_Toc29349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上市公司可转债交易异常波动/严重异常波动公告格式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_Toc29349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275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上市公司期货和衍生品交易（含套期保值业务）公告格式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280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_Toc2425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58</w:t>
      </w:r>
      <w:r>
        <w:rPr>
          <w:rFonts w:hint="eastAsia" w:ascii="仿宋" w:hAnsi="仿宋" w:eastAsia="仿宋" w:cs="仿宋"/>
          <w:i w:val="0"/>
          <w:iCs w:val="0"/>
          <w:kern w:val="44"/>
          <w:sz w:val="32"/>
          <w:szCs w:val="32"/>
        </w:rPr>
        <w:t>号　上市公司</w:t>
      </w:r>
      <w:r>
        <w:rPr>
          <w:rFonts w:hint="eastAsia" w:ascii="仿宋" w:hAnsi="仿宋" w:eastAsia="仿宋" w:cs="仿宋"/>
          <w:i w:val="0"/>
          <w:iCs w:val="0"/>
          <w:kern w:val="44"/>
          <w:sz w:val="32"/>
          <w:szCs w:val="32"/>
          <w:lang w:eastAsia="zh-CN"/>
        </w:rPr>
        <w:t>估值提升计划</w:t>
      </w:r>
      <w:r>
        <w:rPr>
          <w:rFonts w:hint="eastAsia" w:ascii="仿宋" w:hAnsi="仿宋" w:eastAsia="仿宋" w:cs="仿宋"/>
          <w:i w:val="0"/>
          <w:iCs w:val="0"/>
          <w:kern w:val="44"/>
          <w:sz w:val="32"/>
          <w:szCs w:val="32"/>
        </w:rPr>
        <w:t>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_Toc2425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285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_Toc19764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59</w:t>
      </w:r>
      <w:r>
        <w:rPr>
          <w:rFonts w:hint="eastAsia" w:ascii="仿宋" w:hAnsi="仿宋" w:eastAsia="仿宋" w:cs="仿宋"/>
          <w:i w:val="0"/>
          <w:iCs w:val="0"/>
          <w:kern w:val="44"/>
          <w:sz w:val="32"/>
          <w:szCs w:val="32"/>
        </w:rPr>
        <w:t>号　上市公司董事</w:t>
      </w:r>
      <w:r>
        <w:rPr>
          <w:rFonts w:hint="eastAsia" w:ascii="仿宋" w:hAnsi="仿宋" w:eastAsia="仿宋" w:cs="仿宋"/>
          <w:i w:val="0"/>
          <w:iCs w:val="0"/>
          <w:kern w:val="44"/>
          <w:sz w:val="32"/>
          <w:szCs w:val="32"/>
          <w:lang w:val="en-US" w:eastAsia="zh-CN"/>
        </w:rPr>
        <w:t>/</w:t>
      </w:r>
      <w:r>
        <w:rPr>
          <w:rFonts w:hint="eastAsia" w:ascii="仿宋" w:hAnsi="仿宋" w:eastAsia="仿宋" w:cs="仿宋"/>
          <w:i w:val="0"/>
          <w:iCs w:val="0"/>
          <w:kern w:val="44"/>
          <w:sz w:val="32"/>
          <w:szCs w:val="32"/>
          <w:lang w:eastAsia="zh-CN"/>
        </w:rPr>
        <w:t>高级管理人员离任</w:t>
      </w:r>
      <w:r>
        <w:rPr>
          <w:rFonts w:hint="eastAsia" w:ascii="仿宋" w:hAnsi="仿宋" w:eastAsia="仿宋" w:cs="仿宋"/>
          <w:i w:val="0"/>
          <w:iCs w:val="0"/>
          <w:kern w:val="44"/>
          <w:sz w:val="32"/>
          <w:szCs w:val="32"/>
        </w:rPr>
        <w:t>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_Toc19764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290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_Toc17213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60</w:t>
      </w:r>
      <w:r>
        <w:rPr>
          <w:rFonts w:hint="eastAsia" w:ascii="仿宋" w:hAnsi="仿宋" w:eastAsia="仿宋" w:cs="仿宋"/>
          <w:i w:val="0"/>
          <w:iCs w:val="0"/>
          <w:kern w:val="44"/>
          <w:sz w:val="32"/>
          <w:szCs w:val="32"/>
        </w:rPr>
        <w:t>号</w:t>
      </w:r>
      <w:r>
        <w:rPr>
          <w:rFonts w:hint="eastAsia" w:ascii="仿宋" w:hAnsi="仿宋" w:eastAsia="仿宋" w:cs="仿宋"/>
          <w:bCs/>
          <w:i w:val="0"/>
          <w:iCs w:val="0"/>
          <w:sz w:val="32"/>
          <w:szCs w:val="32"/>
        </w:rPr>
        <w:fldChar w:fldCharType="end"/>
      </w:r>
      <w:r>
        <w:rPr>
          <w:rFonts w:hint="eastAsia" w:ascii="仿宋" w:hAnsi="仿宋" w:eastAsia="仿宋" w:cs="仿宋"/>
          <w:bCs/>
          <w:i w:val="0"/>
          <w:iCs w:val="0"/>
          <w:sz w:val="32"/>
          <w:szCs w:val="32"/>
          <w:lang w:val="en-US" w:eastAsia="zh-CN"/>
        </w:rPr>
        <w:t xml:space="preserve">  </w:t>
      </w: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_Toc9442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上市公司股东协议转让股份/过户完成公告格式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_Toc9442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292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ind w:firstLine="640" w:firstLineChars="200"/>
        <w:jc w:val="both"/>
        <w:rPr>
          <w:rFonts w:ascii="方正仿宋简体" w:hAnsi="方正仿宋简体" w:eastAsia="方正仿宋简体"/>
          <w:bCs/>
          <w:szCs w:val="30"/>
        </w:rPr>
      </w:pPr>
      <w:r>
        <w:rPr>
          <w:rFonts w:hint="eastAsia" w:ascii="仿宋" w:hAnsi="仿宋" w:eastAsia="仿宋" w:cs="仿宋"/>
          <w:bCs/>
          <w:i w:val="0"/>
          <w:iCs w:val="0"/>
          <w:sz w:val="32"/>
          <w:szCs w:val="32"/>
        </w:rPr>
        <w:fldChar w:fldCharType="end"/>
      </w:r>
    </w:p>
    <w:p>
      <w:pPr>
        <w:keepNext/>
        <w:keepLines/>
        <w:spacing w:line="560" w:lineRule="exact"/>
        <w:jc w:val="center"/>
        <w:outlineLvl w:val="2"/>
        <w:rPr>
          <w:rFonts w:ascii="方正小标宋简体" w:hAnsi="仿宋" w:eastAsia="方正小标宋简体"/>
          <w:kern w:val="44"/>
          <w:sz w:val="44"/>
          <w:szCs w:val="44"/>
        </w:rPr>
      </w:pPr>
      <w:r>
        <w:rPr>
          <w:rFonts w:hint="eastAsia" w:ascii="仿宋" w:hAnsi="仿宋" w:eastAsia="仿宋"/>
        </w:rPr>
        <w:br w:type="page"/>
      </w:r>
      <w:bookmarkStart w:id="0" w:name="_Toc164973694"/>
      <w:bookmarkStart w:id="1" w:name="_Toc22819"/>
      <w:bookmarkStart w:id="2" w:name="_Toc16033"/>
      <w:r>
        <w:rPr>
          <w:rFonts w:hint="eastAsia" w:ascii="方正小标宋简体" w:hAnsi="仿宋" w:eastAsia="方正小标宋简体"/>
          <w:kern w:val="44"/>
          <w:sz w:val="44"/>
          <w:szCs w:val="44"/>
        </w:rPr>
        <w:t>第1号 上市公司购买、出售资产公告格式</w:t>
      </w:r>
      <w:bookmarkEnd w:id="0"/>
      <w:bookmarkEnd w:id="1"/>
      <w:bookmarkEnd w:id="2"/>
    </w:p>
    <w:p>
      <w:pPr>
        <w:autoSpaceDE w:val="0"/>
        <w:autoSpaceDN w:val="0"/>
        <w:adjustRightInd w:val="0"/>
        <w:spacing w:line="360" w:lineRule="auto"/>
        <w:jc w:val="cente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适用范围：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本公告格式适用于达到本所《创业板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上市规则》规定的购买、出售资产标准，但未达到中国证监会《上市公司重大资产重组管理办法》规定的重大</w:t>
      </w:r>
      <w:r>
        <w:rPr>
          <w:rFonts w:hint="eastAsia" w:ascii="仿宋" w:hAnsi="仿宋" w:eastAsia="仿宋"/>
          <w:color w:val="000000"/>
          <w:sz w:val="32"/>
          <w:szCs w:val="32"/>
          <w:lang w:eastAsia="zh-CN"/>
        </w:rPr>
        <w:t>资产</w:t>
      </w:r>
      <w:r>
        <w:rPr>
          <w:rFonts w:hint="eastAsia" w:ascii="仿宋" w:hAnsi="仿宋" w:eastAsia="仿宋"/>
          <w:color w:val="000000"/>
          <w:sz w:val="32"/>
          <w:szCs w:val="32"/>
        </w:rPr>
        <w:t>重组标准的资产交易事项。达到重大资产重组</w:t>
      </w:r>
      <w:r>
        <w:rPr>
          <w:rFonts w:hint="eastAsia" w:ascii="仿宋" w:hAnsi="仿宋" w:eastAsia="仿宋"/>
          <w:color w:val="000000"/>
          <w:sz w:val="32"/>
          <w:szCs w:val="32"/>
          <w:lang w:eastAsia="zh-CN"/>
        </w:rPr>
        <w:t>标准的</w:t>
      </w:r>
      <w:r>
        <w:rPr>
          <w:rFonts w:hint="eastAsia" w:ascii="仿宋" w:hAnsi="仿宋" w:eastAsia="仿宋"/>
          <w:color w:val="000000"/>
          <w:sz w:val="32"/>
          <w:szCs w:val="32"/>
        </w:rPr>
        <w:t>交易事项应根据《上市公司重大资产重组管理办法》等规定履行信息披露义务。</w:t>
      </w:r>
    </w:p>
    <w:p>
      <w:pPr>
        <w:autoSpaceDE w:val="0"/>
        <w:autoSpaceDN w:val="0"/>
        <w:adjustRightInd w:val="0"/>
        <w:spacing w:line="360" w:lineRule="auto"/>
        <w:jc w:val="cente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360" w:lineRule="auto"/>
        <w:jc w:val="center"/>
        <w:rPr>
          <w:rFonts w:ascii="仿宋" w:hAnsi="仿宋" w:eastAsia="仿宋"/>
          <w:b/>
          <w:color w:val="000000"/>
          <w:sz w:val="32"/>
          <w:szCs w:val="32"/>
        </w:rPr>
      </w:pPr>
      <w:r>
        <w:rPr>
          <w:rFonts w:hint="eastAsia" w:ascii="仿宋" w:hAnsi="仿宋" w:eastAsia="仿宋"/>
          <w:color w:val="000000"/>
          <w:sz w:val="32"/>
          <w:szCs w:val="32"/>
        </w:rPr>
        <w:t>XXXXXX股份有限公司购买、出售资产公告</w:t>
      </w:r>
    </w:p>
    <w:p>
      <w:pPr>
        <w:spacing w:line="360" w:lineRule="auto"/>
        <w:rPr>
          <w:rFonts w:ascii="仿宋" w:hAnsi="仿宋" w:eastAsia="仿宋"/>
          <w:color w:val="000000"/>
          <w:sz w:val="24"/>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60960</wp:posOffset>
                </wp:positionV>
                <wp:extent cx="5715000" cy="1628775"/>
                <wp:effectExtent l="4445" t="5080" r="14605" b="4445"/>
                <wp:wrapNone/>
                <wp:docPr id="124" name="矩形 124"/>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4.8pt;height:128.25pt;width:450pt;z-index:251663360;mso-width-relative:page;mso-height-relative:page;" fillcolor="#FFFFFF" filled="t" stroked="t" coordsize="21600,21600" o:gfxdata="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qSFqL1wAAAAkBAAAPAAAAAAAAAAEAIAAAACIA&#10;AABkcnMvZG93bnJldi54bWxQSwECFAAUAAAACACHTuJA+w3frkMCAACN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p>
    <w:p>
      <w:pPr>
        <w:tabs>
          <w:tab w:val="left" w:pos="1260"/>
        </w:tabs>
        <w:autoSpaceDE w:val="0"/>
        <w:autoSpaceDN w:val="0"/>
        <w:adjustRightInd w:val="0"/>
        <w:spacing w:line="360" w:lineRule="auto"/>
        <w:rPr>
          <w:rFonts w:ascii="仿宋" w:hAnsi="仿宋" w:eastAsia="仿宋"/>
          <w:b/>
          <w:color w:val="000000"/>
          <w:sz w:val="24"/>
        </w:rPr>
      </w:pP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b/>
          <w:sz w:val="32"/>
          <w:szCs w:val="32"/>
        </w:rPr>
        <w:t>特别提示（如适用）：</w:t>
      </w:r>
      <w:r>
        <w:rPr>
          <w:rFonts w:hint="eastAsia" w:ascii="仿宋" w:hAnsi="仿宋" w:eastAsia="仿宋"/>
          <w:color w:val="000000"/>
          <w:sz w:val="32"/>
          <w:szCs w:val="32"/>
        </w:rPr>
        <w:t>本次交易存在重大交易风险，或交易完成后对上市公司产生较大风险的，应当以“特别提示”的形式逐项披露交易风险和交易完成后可能给上市公司带来的风险：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交易风险通常包括标的资产估值风险、标的资产盈利能力波动风险、盈利预测的风险、审批风险、本次交易价格与历史交易价格存在较大差异的风险、标的资产权属风险等。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交易完成后对上市公司的风险通常包括市场风险、经营风险、技术风险、汇率风险、政策风险、公司治理与内部控制风险等。</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一、交易概述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介绍购买、出售资产交易的基本情况，包括交易各方当事人名称、交易标的名称（如是购买、出售股权的，必须说明公司持股比例）、交易事项（购买、出售资产）、购买或出售资产价格、是否构成关联交易、是否构成《上市公司重大资产重组管理办法》规定的重大资产重组、协议签署日期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简要说明董事会审议购买、出售资产议案的表决情况；交易生效所必需的审批及其他程序（如是否需经过股东会或政府有关部门批准、是否需征得债权人同意、是否需征得其他第三方同意等）以及公司履行程序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如交易实施所必需的审批及其他相关程序尚未完成，或交易尚存在重大法律障碍（如作为交易标的的资产产权权属不清等），应作出详细说明。</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 xml:space="preserve">4. </w:t>
      </w:r>
      <w:r>
        <w:rPr>
          <w:rFonts w:hint="eastAsia" w:ascii="仿宋" w:hAnsi="仿宋" w:eastAsia="仿宋"/>
          <w:sz w:val="32"/>
          <w:szCs w:val="32"/>
        </w:rPr>
        <w:t>对于按照累计计算原则达到《创业板</w:t>
      </w:r>
      <w:r>
        <w:rPr>
          <w:rFonts w:hint="eastAsia" w:ascii="仿宋" w:hAnsi="仿宋" w:eastAsia="仿宋"/>
          <w:sz w:val="32"/>
          <w:szCs w:val="32"/>
          <w:lang w:eastAsia="zh-CN"/>
        </w:rPr>
        <w:t>股票</w:t>
      </w:r>
      <w:r>
        <w:rPr>
          <w:rFonts w:hint="eastAsia" w:ascii="仿宋" w:hAnsi="仿宋" w:eastAsia="仿宋"/>
          <w:sz w:val="32"/>
          <w:szCs w:val="32"/>
        </w:rPr>
        <w:t>上市规则》相关披露或审议标准的交易，应当简要介绍各单项交易情况和累计情况。</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二、交易对方的基本情况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交易对方是法人或其他组织的，应说明企业名称、企业性质、注册地、主要办公地点、法定代表人、注册资本、</w:t>
      </w:r>
      <w:r>
        <w:rPr>
          <w:rFonts w:hint="eastAsia" w:ascii="仿宋" w:hAnsi="仿宋" w:eastAsia="仿宋"/>
          <w:sz w:val="32"/>
          <w:szCs w:val="32"/>
          <w:lang w:eastAsia="zh-CN"/>
        </w:rPr>
        <w:t>统一社会信用代码</w:t>
      </w:r>
      <w:r>
        <w:rPr>
          <w:rFonts w:hint="eastAsia" w:ascii="仿宋" w:hAnsi="仿宋" w:eastAsia="仿宋"/>
          <w:sz w:val="32"/>
          <w:szCs w:val="32"/>
        </w:rPr>
        <w:t>、主营业务、主要股东，相关交易需获股东会批准的</w:t>
      </w:r>
      <w:r>
        <w:rPr>
          <w:rFonts w:hint="eastAsia" w:ascii="仿宋" w:hAnsi="仿宋" w:eastAsia="仿宋"/>
          <w:sz w:val="32"/>
          <w:szCs w:val="32"/>
          <w:lang w:eastAsia="zh-CN"/>
        </w:rPr>
        <w:t>，</w:t>
      </w:r>
      <w:r>
        <w:rPr>
          <w:rFonts w:hint="eastAsia" w:ascii="仿宋" w:hAnsi="仿宋" w:eastAsia="仿宋"/>
          <w:sz w:val="32"/>
          <w:szCs w:val="32"/>
        </w:rPr>
        <w:t>还应披露其实际控制人；交易对手是自然人的，应说明姓名、住所（可披露至X市X区）、就职单位等情况。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交易对方与上市公司及上市公司前十名股东、</w:t>
      </w:r>
      <w:r>
        <w:rPr>
          <w:rFonts w:hint="eastAsia" w:ascii="仿宋" w:hAnsi="仿宋" w:eastAsia="仿宋"/>
          <w:sz w:val="32"/>
          <w:szCs w:val="32"/>
          <w:lang w:eastAsia="zh-CN"/>
        </w:rPr>
        <w:t>董事、高级管理人员</w:t>
      </w:r>
      <w:r>
        <w:rPr>
          <w:rFonts w:hint="eastAsia" w:ascii="仿宋" w:hAnsi="仿宋" w:eastAsia="仿宋"/>
          <w:sz w:val="32"/>
          <w:szCs w:val="32"/>
        </w:rPr>
        <w:t>在产权、业务、资产、债权债务、人员等方面的关系以及其他可能或已经造成上市公司对其利益倾斜的其他关系。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上市公司出售资产的，应当披露交易对方最近一年的主要财务数据；如果交易对方成立时间不足一年或是专为本次交易而设立的，则应当披露交易对方的实际控制人或者控股方最近一期的主要财务数据。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交易对手方是否为失信被执行人，如是，应进一步披露其失信情况、受到的惩戒措施、对本次交易的影响，以及公司所采取的应对措施等。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三、交易标的基本情况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标的资产概况。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逐项列明购买和出售资产的名称、类别（固定资产、无形资产、股权投资等）、权属（包括有关资产是否存在抵押、质押或者其他第三人权利、是否存在涉及有关资产的重大争议、诉讼或仲裁事项、是否存在查封、冻结等司法措施等）、所在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（2）该项资产的</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面价值（包括</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面原值、已计提的折旧或准备、</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面净值）和评估价值等。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该项交易需获得股东会批准的，应当披露标的及其核心资产的历史沿革，出让方获得该项资产的时间、方式和价格，运营情况（包括出让方经营该项资产的时间、该项资产投入使用的时间、最近一年运作状况及其他需要特别说明的事项如购买出售的房屋结构、与购买出售使用权有关的地块周边土地的用途等），近三年又一期的交易或权益变动及评估情况，如相关交易、权益变动评估价值或价格与本次交易评估值或价格存在较大差异的，说明差异原因及合理性。需提交股东会的购买资产类关联交易，还应当披露交易标的主要业务模式和盈利模式、主要客户情况、现有关联交易情况及未来减少关联交易的措施等。上市公司历史上就同一标的进行方向相反交易的，应当对照历史披露情况，分析说明反向交易的必要性、价格的合理性等。</w:t>
      </w:r>
    </w:p>
    <w:p>
      <w:pPr>
        <w:tabs>
          <w:tab w:val="left" w:pos="1260"/>
        </w:tabs>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 购买、出售标的如为公司股权，披露内容应包括该公司主要股东及各自持股比例、主营业务、注册资本、设立时间、注册地等基本情况，有优先受让权的其他股东是否放弃优先受让权，以及该公司最近一年及最近一期的资产总额、负债总额、应收款项总额、或有事项涉及的总额（包括担保、诉讼与仲裁事项）、净资产、营业收入、营业利润、净利润和经营活动产生的现金流量净额等财务数据（注明是否经审计）。如该标的公司净利润中包含较大比例的非经常性损益，应予以特别说明。</w:t>
      </w:r>
      <w:r>
        <w:rPr>
          <w:rFonts w:hint="eastAsia" w:ascii="仿宋_GB2312" w:eastAsia="仿宋_GB2312"/>
          <w:color w:val="000000"/>
          <w:sz w:val="32"/>
          <w:szCs w:val="32"/>
        </w:rPr>
        <w:t>如拟购买标的公司最近一个会计年度亏损的，应详细披露交易的必要性，并进行风险提示。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购买标的如为公司股权的，应当说明该公司章程或其他文件中是否存在法律法规之外其他限制股东权利的条款（如有限责任公司部分股东不享有优先受让权等），如有，予以详细披露并进行重大风险提示，公司董事会充分分析其影响，并说明是否损害上市公司利益。本次购买未获得标的公司控制权且涉及关联交易的，应分析说明未取得控制权的原因、如何保证上市公司利益以及是否存在后续增持计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交易标的如为公司股权的，应披露该公司是否为失信被执行人，如是，应进一步披露其失信情况、受到的惩戒措施、对本次交易的影响，以及公司所采取的应对措施等。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上市公司购买、出售资产标的为矿业权或其主要资产为矿业权的公司的股权的，本所对其披露要求另有规定的，还应遵循相关规定详细披露取得或出让矿业权资产的情况。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上市公司根据有关法律法规、本所《创业板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等规定，需要对相关标的进行审计、评估的，应当聘请符合《证券法》规定的机构进行审计、评估，并将审计报告和评估报告（含评估说明）全文单独披露；如审计报告为非标准审计意见，应详细披露非标准审计意见涉及的相关事项及其具体影响；如本所对其披露要求另有规定的，还应遵循相关规定。</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7. 上市公司购买或出售资产事项涉及资产评估事项的，应当披露评估机构名称、评估基准日、评估方法，并以评估前后对照的方式列示评估结果。评估基准日至相关评估结果披露日期间，发生可能对评估结论产生重大影响的事项的，上市公司应当充分披露相关事项对评估结论的影响程度，并结合资产评估报告书“特别事项说明”的相关事项，在公告中充分提示资产评估事项的风险。</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对于需提交股东会审议的购买或出售资产事项，涉及的交易标的评估值与账面值相比增值超过100%或减值超过50%，或者与过去三年内历史交易价格差异超过100%的，上市公司应当根据所采用的不同评估方法分别详细披露其原因及评估结果的推算过程。</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（1）采用收益法进行评估的，上市公司应当详细披露价值分析原理、计算模型及采用的折现率等重要评估参数，预期各年度收益或现金流量等重要评估依据，充分说明有关参数、评估依据确定的理由。</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评估报告所采用的预期产品产销量、销售价格、收益或现金流量等评估依据与评估标的已实现的历史数据存在重大差异或与有关变动趋势相背离的，上市公司应当详细解释该评估依据的合理性，提供相关证明材料，并予以披露。相关资产在后续经营过程中，可能受到国家法律法规更加严格的规制，或者受到自然因素、经济因素、技术因素的严重制约等，导致相关评估标的在未来年度能否实现预期收入、收益或现金流量存在重大不确定性的，上市公司应当详细披露相应解决措施，并充分提示相关风险。</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采用市场法进行评估的，上市公司应当明确说明评估标的存在活跃市场、相似参照物、可比量化指标和技术经济参数等情况，详细披露具有合理比较基础的可比交易案例，以及根据宏观经济、交易条件、行业状况的变化，和评估标的收益能力、竞争能力、技术水平、地理位置、时间因素等对可比交易案例作出的调整，从而得出评估结论的过程。</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（3）采用成本法进行评估的，上市公司应当充分披露重置成本中重大成本项目的构成情况，现行价格、费用标准与原始成本存在重大差异的，还应当详细解释其原因。</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（4）采用多种评估方法进行评估，并按照一定的价值分析原理或计算模型等方法综合确定交易标的评估值的，上市公司还应当充分披露该等方法的合理性及其理由。</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如上市公司购买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出售</w:t>
      </w:r>
      <w:r>
        <w:rPr>
          <w:rFonts w:hint="eastAsia" w:ascii="仿宋" w:hAnsi="仿宋" w:eastAsia="仿宋"/>
          <w:color w:val="000000"/>
          <w:sz w:val="32"/>
          <w:szCs w:val="32"/>
        </w:rPr>
        <w:t>资产交易中涉及债权债务转移，应详细介绍该项债权债务发生时的决策程序及该项债权债务的基本情况，包括债权债务人名称、债权债务金额、期限、发生日期、发生原因等。对转移债务的，还应当说明已经取得债权人的书面认可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购买、出售公司股权导致上市公司合并报表范围变更的，应当披露：</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（1）上市公司是否存在为拟出售股权的标的公司提供担保、财务资助、委托该</w:t>
      </w:r>
      <w:r>
        <w:rPr>
          <w:rFonts w:hint="eastAsia" w:ascii="仿宋" w:hAnsi="仿宋" w:eastAsia="仿宋"/>
          <w:color w:val="000000"/>
          <w:sz w:val="32"/>
          <w:szCs w:val="32"/>
          <w:lang w:eastAsia="zh-CN"/>
        </w:rPr>
        <w:t>标的公司</w:t>
      </w:r>
      <w:r>
        <w:rPr>
          <w:rFonts w:hint="eastAsia" w:ascii="仿宋" w:hAnsi="仿宋" w:eastAsia="仿宋"/>
          <w:color w:val="000000"/>
          <w:sz w:val="32"/>
          <w:szCs w:val="32"/>
        </w:rPr>
        <w:t>理财，以及其他该标的公司占用上市公司资金的情况；该标的公司与上市公司经营性往来情况，包括</w:t>
      </w:r>
      <w:r>
        <w:rPr>
          <w:rFonts w:hint="eastAsia" w:ascii="仿宋" w:hAnsi="仿宋" w:eastAsia="仿宋"/>
          <w:color w:val="000000"/>
          <w:sz w:val="32"/>
          <w:szCs w:val="32"/>
          <w:lang w:eastAsia="zh-CN"/>
        </w:rPr>
        <w:t>但</w:t>
      </w:r>
      <w:r>
        <w:rPr>
          <w:rFonts w:hint="eastAsia" w:ascii="仿宋" w:hAnsi="仿宋" w:eastAsia="仿宋"/>
          <w:color w:val="000000"/>
          <w:sz w:val="32"/>
          <w:szCs w:val="32"/>
        </w:rPr>
        <w:t>不限于余额、结算期限等，并说明交易完成后上市公司是否存在以经营性资金往来的形式变相为他人提供财务资助情形；</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拟购买股权的标的公司是否存在为他人提供担保、财务资助等情况。该标的公司与本次交易对手方经营性往来情况，包括但不限于余额、结算期限等，并说明交易完成后上市公司是否存在以经营性资金往来的形式变相为本次交易对手方提供财务资助情形。</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如存在上述情况的，应当披露对上市公司的影响和解决措施。交易完成后上市公司存在对关联方提供担保的，应当就关联担保履行相应审议程序及披露义务，关联股东应当回避表决。董事会或股东会未审议通过关联担保的，交易各方应当采取提前终止担保或取消相关交易等有效措施避免形成违规关联担保。</w:t>
      </w:r>
      <w:r>
        <w:rPr>
          <w:rFonts w:hint="eastAsia" w:ascii="仿宋" w:hAnsi="仿宋" w:eastAsia="仿宋"/>
          <w:sz w:val="32"/>
          <w:szCs w:val="32"/>
        </w:rPr>
        <w:t>因购买或出售股权导致交易完成后控股股东、实际控制人及其关联人对上市公司形成非经营性资金占用的，应当在公告中明确合理的解决方案，并在相关交易实施完成前解决，避免形成非经营性资金占用。</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四、交易协议的主要内容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成交金额、支付方式（如现金、股权、资产置换等）、支付期限或分期付款的安排、协议的生效条件、生效时间以及有效期限等；交易协议生效附条件或附期限的，应当予以特别说明。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交易定价依据，成交价格与</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支出款项的资金来源。</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五、涉及购买、出售资产的其他安排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介绍购买、出售资产所涉及的人员安置、土地租赁、债务重组等情况，交易完成后可能产生关联交易的说明；是否与关联人产生同业竞争的说明以及解决措施，购买资产后是否做到与控股股东及其关联人在人员、资产、财务等方面独立及具体计划；出售资产所得款项的用途；购买资产是否与募集说明书所列示的项目有关。</w:t>
      </w:r>
    </w:p>
    <w:p>
      <w:pPr>
        <w:tabs>
          <w:tab w:val="left" w:pos="1260"/>
        </w:tabs>
        <w:autoSpaceDE w:val="0"/>
        <w:autoSpaceDN w:val="0"/>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如本次购买、出售资产交易还存在上市公司股权转让或者管理层人事变动计划等其他安排的，应披露相关内容。如上市公司因前述安排导致交易对方成为潜在关联人的，还应当按“上市公司关联交易公告格式”的要求披露。</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六、购买、出售资产的目的和对公司的影响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如属于出售资产情况，应披露出售资产的原因及必要性</w:t>
      </w:r>
      <w:r>
        <w:rPr>
          <w:rFonts w:hint="eastAsia" w:ascii="仿宋" w:hAnsi="仿宋" w:eastAsia="仿宋"/>
          <w:color w:val="000000"/>
          <w:sz w:val="32"/>
          <w:szCs w:val="32"/>
          <w:lang w:eastAsia="zh-CN"/>
        </w:rPr>
        <w:t>、</w:t>
      </w:r>
      <w:r>
        <w:rPr>
          <w:rFonts w:hint="eastAsia" w:ascii="仿宋" w:hAnsi="仿宋" w:eastAsia="仿宋"/>
          <w:color w:val="000000"/>
          <w:sz w:val="32"/>
          <w:szCs w:val="32"/>
        </w:rPr>
        <w:t>该项交易对公司财务状况和经营成果的影响；如属</w:t>
      </w:r>
      <w:r>
        <w:rPr>
          <w:rFonts w:hint="eastAsia" w:ascii="仿宋" w:hAnsi="仿宋" w:eastAsia="仿宋"/>
          <w:color w:val="000000"/>
          <w:sz w:val="32"/>
          <w:szCs w:val="32"/>
          <w:lang w:eastAsia="zh-CN"/>
        </w:rPr>
        <w:t>于</w:t>
      </w:r>
      <w:r>
        <w:rPr>
          <w:rFonts w:hint="eastAsia" w:ascii="仿宋" w:hAnsi="仿宋" w:eastAsia="仿宋"/>
          <w:color w:val="000000"/>
          <w:sz w:val="32"/>
          <w:szCs w:val="32"/>
        </w:rPr>
        <w:t>购买资产情况，应披露购买的意图和该项交易对上市公司本期和未来财务状况和经营成果的影响。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交易涉及对方或他方向上市公司支付款项的，董事会应当结合付款方主要财务数据和资信情况对付款方的履约能力及该等款项收回的或有风险作出判断和说明。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七、如属于关联交易，还应当参照“上市公司关联交易公告格式”的要求披露有关内容。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上市公司在购买、出售资产中聘任中介机构（包括但不限于律师、财务顾问）出具专业意见的，应明确披露中介机构对本次资产交易的专业意见结论。</w:t>
      </w:r>
    </w:p>
    <w:p>
      <w:pPr>
        <w:spacing w:line="560" w:lineRule="exact"/>
        <w:rPr>
          <w:rFonts w:ascii="仿宋" w:hAnsi="仿宋" w:eastAsia="仿宋"/>
          <w:b/>
          <w:color w:val="000000"/>
          <w:sz w:val="32"/>
          <w:szCs w:val="32"/>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spacing w:line="560" w:lineRule="exact"/>
        <w:ind w:firstLine="640" w:firstLineChars="200"/>
        <w:rPr>
          <w:rFonts w:hint="eastAsia" w:ascii="仿宋" w:hAnsi="仿宋" w:eastAsia="仿宋"/>
          <w:b/>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1</w:t>
      </w:r>
      <w:r>
        <w:rPr>
          <w:rFonts w:hint="eastAsia" w:ascii="仿宋" w:hAnsi="仿宋" w:eastAsia="仿宋"/>
          <w:color w:val="000000"/>
          <w:sz w:val="32"/>
          <w:szCs w:val="32"/>
        </w:rPr>
        <w:t>. 意向书、协议或合同；</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2</w:t>
      </w:r>
      <w:r>
        <w:rPr>
          <w:rFonts w:hint="eastAsia" w:ascii="仿宋" w:hAnsi="仿宋" w:eastAsia="仿宋"/>
          <w:color w:val="000000"/>
          <w:sz w:val="32"/>
          <w:szCs w:val="32"/>
        </w:rPr>
        <w:t>. 购买或出售资产的财务报表</w:t>
      </w:r>
      <w:r>
        <w:rPr>
          <w:rFonts w:hint="eastAsia" w:ascii="仿宋" w:hAnsi="仿宋" w:eastAsia="仿宋"/>
          <w:color w:val="000000"/>
          <w:sz w:val="32"/>
          <w:szCs w:val="32"/>
          <w:lang w:eastAsia="zh"/>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3．审计报告（如适用）；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4</w:t>
      </w:r>
      <w:r>
        <w:rPr>
          <w:rFonts w:hint="eastAsia" w:ascii="仿宋" w:hAnsi="仿宋" w:eastAsia="仿宋"/>
          <w:color w:val="000000"/>
          <w:sz w:val="32"/>
          <w:szCs w:val="32"/>
        </w:rPr>
        <w:t>. 评估报告（如适用）；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5</w:t>
      </w:r>
      <w:r>
        <w:rPr>
          <w:rFonts w:hint="eastAsia" w:ascii="仿宋" w:hAnsi="仿宋" w:eastAsia="仿宋"/>
          <w:color w:val="000000"/>
          <w:sz w:val="32"/>
          <w:szCs w:val="32"/>
        </w:rPr>
        <w:t>. 法律意见书(如适用)；</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6</w:t>
      </w:r>
      <w:r>
        <w:rPr>
          <w:rFonts w:hint="eastAsia" w:ascii="仿宋" w:hAnsi="仿宋" w:eastAsia="仿宋"/>
          <w:color w:val="000000"/>
          <w:sz w:val="32"/>
          <w:szCs w:val="32"/>
        </w:rPr>
        <w:t>. 财务顾问报告(如适用)</w:t>
      </w:r>
      <w:r>
        <w:rPr>
          <w:rFonts w:hint="eastAsia" w:ascii="仿宋" w:hAnsi="仿宋" w:eastAsia="仿宋"/>
          <w:color w:val="000000"/>
          <w:sz w:val="32"/>
          <w:szCs w:val="32"/>
          <w:lang w:eastAsia="zh"/>
        </w:rPr>
        <w:t>；</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sz w:val="32"/>
          <w:szCs w:val="32"/>
          <w:highlight w:val="none"/>
          <w:lang w:eastAsia="zh"/>
        </w:rPr>
        <w:t>7</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
        </w:rPr>
        <w:t>有权机构的批文</w:t>
      </w:r>
      <w:r>
        <w:rPr>
          <w:rFonts w:hint="eastAsia" w:ascii="仿宋" w:hAnsi="仿宋" w:eastAsia="仿宋"/>
          <w:color w:val="000000"/>
          <w:sz w:val="32"/>
          <w:szCs w:val="32"/>
        </w:rPr>
        <w:t>(如适用)</w:t>
      </w:r>
      <w:r>
        <w:rPr>
          <w:rFonts w:hint="eastAsia" w:ascii="仿宋" w:hAnsi="仿宋" w:eastAsia="仿宋"/>
          <w:sz w:val="32"/>
          <w:szCs w:val="32"/>
          <w:highlight w:val="none"/>
        </w:rPr>
        <w:t>。</w:t>
      </w:r>
    </w:p>
    <w:p>
      <w:pPr>
        <w:spacing w:line="560" w:lineRule="exact"/>
        <w:rPr>
          <w:rFonts w:ascii="仿宋" w:hAnsi="仿宋" w:eastAsia="仿宋"/>
          <w:color w:val="000000"/>
          <w:sz w:val="32"/>
          <w:szCs w:val="32"/>
        </w:rPr>
      </w:pPr>
    </w:p>
    <w:p>
      <w:pPr>
        <w:spacing w:line="560" w:lineRule="exact"/>
        <w:ind w:firstLine="640" w:firstLineChars="200"/>
        <w:rPr>
          <w:rFonts w:ascii="仿宋" w:hAnsi="仿宋" w:eastAsia="仿宋"/>
          <w:b/>
          <w:color w:val="000000"/>
          <w:sz w:val="32"/>
          <w:szCs w:val="32"/>
        </w:rPr>
      </w:pPr>
    </w:p>
    <w:p>
      <w:pPr>
        <w:widowControl/>
        <w:jc w:val="left"/>
        <w:rPr>
          <w:rFonts w:ascii="仿宋" w:hAnsi="仿宋" w:eastAsia="仿宋"/>
          <w:color w:val="000000"/>
          <w:sz w:val="32"/>
          <w:szCs w:val="32"/>
        </w:rPr>
      </w:pP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3" w:name="_Toc12699"/>
      <w:bookmarkStart w:id="4" w:name="_Toc164973695"/>
      <w:bookmarkStart w:id="5" w:name="_Toc23985"/>
      <w:r>
        <w:rPr>
          <w:rFonts w:hint="eastAsia" w:ascii="方正小标宋简体" w:hAnsi="仿宋" w:eastAsia="方正小标宋简体"/>
          <w:kern w:val="44"/>
          <w:sz w:val="44"/>
          <w:szCs w:val="44"/>
        </w:rPr>
        <w:t>第2号 上市公司关联交易公告格式</w:t>
      </w:r>
      <w:bookmarkEnd w:id="3"/>
      <w:bookmarkEnd w:id="4"/>
      <w:bookmarkEnd w:id="5"/>
    </w:p>
    <w:p>
      <w:pPr>
        <w:tabs>
          <w:tab w:val="left" w:pos="0"/>
        </w:tabs>
        <w:spacing w:line="560" w:lineRule="exact"/>
        <w:ind w:firstLine="420" w:firstLineChars="200"/>
        <w:jc w:val="left"/>
      </w:pPr>
    </w:p>
    <w:p>
      <w:pPr>
        <w:tabs>
          <w:tab w:val="left" w:pos="0"/>
        </w:tabs>
        <w:spacing w:line="560" w:lineRule="exact"/>
        <w:ind w:firstLine="640" w:firstLineChars="200"/>
        <w:jc w:val="left"/>
        <w:rPr>
          <w:rFonts w:ascii="仿宋" w:hAnsi="仿宋" w:eastAsia="仿宋"/>
          <w:b/>
          <w:color w:val="000000"/>
          <w:sz w:val="32"/>
          <w:szCs w:val="32"/>
        </w:rPr>
      </w:pPr>
      <w:r>
        <w:rPr>
          <w:rFonts w:hint="eastAsia" w:ascii="仿宋" w:hAnsi="仿宋" w:eastAsia="仿宋"/>
          <w:b/>
          <w:sz w:val="32"/>
          <w:szCs w:val="32"/>
        </w:rPr>
        <w:t>适用情形</w:t>
      </w:r>
      <w:r>
        <w:rPr>
          <w:rFonts w:hint="eastAsia" w:ascii="仿宋" w:hAnsi="仿宋" w:eastAsia="仿宋"/>
          <w:b/>
          <w:color w:val="000000"/>
          <w:sz w:val="32"/>
          <w:szCs w:val="32"/>
        </w:rPr>
        <w:t>：</w:t>
      </w:r>
    </w:p>
    <w:p>
      <w:pPr>
        <w:tabs>
          <w:tab w:val="left" w:pos="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本公告格式为关联交易的特定要求。上市公司还应当根据具体交易类型，参照“上市公司购买、出售资产公告格式”“上市公司对外（含委托）投资公告格式”等的要求披露有关内容。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本格式适用于达到本所《创业板</w:t>
      </w:r>
      <w:r>
        <w:rPr>
          <w:rFonts w:hint="eastAsia" w:ascii="仿宋" w:hAnsi="仿宋" w:eastAsia="仿宋"/>
          <w:sz w:val="32"/>
          <w:szCs w:val="32"/>
          <w:lang w:eastAsia="zh-CN"/>
        </w:rPr>
        <w:t>股票</w:t>
      </w:r>
      <w:r>
        <w:rPr>
          <w:rFonts w:hint="eastAsia" w:ascii="仿宋" w:hAnsi="仿宋" w:eastAsia="仿宋"/>
          <w:sz w:val="32"/>
          <w:szCs w:val="32"/>
        </w:rPr>
        <w:t>上市规则》规定的关联交易标准，但未达到中国证监会《上市公司重大资产重组管理办法》规定的重大</w:t>
      </w:r>
      <w:r>
        <w:rPr>
          <w:rFonts w:hint="eastAsia" w:ascii="仿宋" w:hAnsi="仿宋" w:eastAsia="仿宋"/>
          <w:sz w:val="32"/>
          <w:szCs w:val="32"/>
          <w:lang w:eastAsia="zh-CN"/>
        </w:rPr>
        <w:t>资产</w:t>
      </w:r>
      <w:r>
        <w:rPr>
          <w:rFonts w:hint="eastAsia" w:ascii="仿宋" w:hAnsi="仿宋" w:eastAsia="仿宋"/>
          <w:sz w:val="32"/>
          <w:szCs w:val="32"/>
        </w:rPr>
        <w:t>重组标准的关联交易事项。达到重大资产重组关联</w:t>
      </w:r>
      <w:r>
        <w:rPr>
          <w:rFonts w:hint="eastAsia" w:ascii="仿宋" w:hAnsi="仿宋" w:eastAsia="仿宋"/>
          <w:sz w:val="32"/>
          <w:szCs w:val="32"/>
          <w:lang w:eastAsia="zh-CN"/>
        </w:rPr>
        <w:t>标准的</w:t>
      </w:r>
      <w:r>
        <w:rPr>
          <w:rFonts w:hint="eastAsia" w:ascii="仿宋" w:hAnsi="仿宋" w:eastAsia="仿宋"/>
          <w:sz w:val="32"/>
          <w:szCs w:val="32"/>
        </w:rPr>
        <w:t>交易事项应根据《上市公司重大资产重组管理办法》等规定履行信息披露义务。</w:t>
      </w:r>
    </w:p>
    <w:p>
      <w:pPr>
        <w:tabs>
          <w:tab w:val="left" w:pos="0"/>
        </w:tabs>
        <w:spacing w:line="560" w:lineRule="exact"/>
        <w:ind w:firstLine="640" w:firstLineChars="200"/>
        <w:rPr>
          <w:rFonts w:ascii="仿宋" w:hAnsi="仿宋" w:eastAsia="仿宋"/>
          <w:color w:val="000000"/>
          <w:sz w:val="32"/>
          <w:szCs w:val="32"/>
        </w:rPr>
      </w:pPr>
    </w:p>
    <w:p>
      <w:pPr>
        <w:tabs>
          <w:tab w:val="left" w:pos="0"/>
        </w:tabs>
        <w:spacing w:line="560" w:lineRule="exact"/>
        <w:ind w:firstLine="640" w:firstLineChars="200"/>
        <w:rPr>
          <w:rFonts w:ascii="仿宋" w:hAnsi="仿宋" w:eastAsia="仿宋"/>
          <w:color w:val="000000"/>
          <w:sz w:val="32"/>
          <w:szCs w:val="32"/>
        </w:rP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360" w:lineRule="auto"/>
        <w:jc w:val="center"/>
        <w:rPr>
          <w:rFonts w:ascii="仿宋" w:hAnsi="仿宋" w:eastAsia="仿宋"/>
          <w:b/>
          <w:color w:val="000000"/>
          <w:sz w:val="32"/>
          <w:szCs w:val="32"/>
        </w:rPr>
      </w:pPr>
      <w:r>
        <w:rPr>
          <w:rFonts w:hint="eastAsia" w:ascii="仿宋" w:hAnsi="仿宋" w:eastAsia="仿宋"/>
          <w:color w:val="000000"/>
          <w:sz w:val="32"/>
          <w:szCs w:val="32"/>
        </w:rPr>
        <w:t>XXXXXX股份有限公司关联交易公告</w:t>
      </w:r>
    </w:p>
    <w:p>
      <w:pPr>
        <w:autoSpaceDE w:val="0"/>
        <w:autoSpaceDN w:val="0"/>
        <w:adjustRightInd w:val="0"/>
        <w:spacing w:line="360" w:lineRule="auto"/>
        <w:ind w:left="360"/>
        <w:jc w:val="center"/>
        <w:rPr>
          <w:rFonts w:ascii="仿宋" w:hAnsi="仿宋" w:eastAsia="仿宋"/>
          <w:color w:val="000000"/>
          <w:sz w:val="28"/>
          <w:szCs w:val="28"/>
        </w:rPr>
      </w:pPr>
      <w:r>
        <mc:AlternateContent>
          <mc:Choice Requires="wps">
            <w:drawing>
              <wp:anchor distT="0" distB="0" distL="114300" distR="114300" simplePos="0" relativeHeight="251664384" behindDoc="0" locked="0" layoutInCell="1" allowOverlap="1">
                <wp:simplePos x="0" y="0"/>
                <wp:positionH relativeFrom="column">
                  <wp:posOffset>-189230</wp:posOffset>
                </wp:positionH>
                <wp:positionV relativeFrom="paragraph">
                  <wp:posOffset>73660</wp:posOffset>
                </wp:positionV>
                <wp:extent cx="5715000" cy="1571625"/>
                <wp:effectExtent l="4445" t="5080" r="14605" b="4445"/>
                <wp:wrapNone/>
                <wp:docPr id="123" name="矩形 123"/>
                <wp:cNvGraphicFramePr/>
                <a:graphic xmlns:a="http://schemas.openxmlformats.org/drawingml/2006/main">
                  <a:graphicData uri="http://schemas.microsoft.com/office/word/2010/wordprocessingShape">
                    <wps:wsp>
                      <wps:cNvSpPr>
                        <a:spLocks noChangeArrowheads="1"/>
                      </wps:cNvSpPr>
                      <wps:spPr bwMode="auto">
                        <a:xfrm>
                          <a:off x="0" y="0"/>
                          <a:ext cx="57150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9pt;margin-top:5.8pt;height:123.75pt;width:450pt;z-index:251664384;mso-width-relative:page;mso-height-relative:page;" fillcolor="#FFFFFF" filled="t" stroked="t" coordsize="21600,21600" o:gfxdata="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S6bNPYAAAACgEAAA8AAAAAAAAAAQAgAAAAIgAAAGRy&#10;cy9kb3ducmV2LnhtbFBLAQIUABQAAAAIAIdO4kCMdZn6PgIAAI0EAAAOAAAAAAAAAAEAIAAAACcB&#10;AABkcnMvZTJvRG9jLnhtbFBLBQYAAAAABgAGAFkBAADX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527"/>
          <w:tab w:val="center" w:pos="4153"/>
        </w:tabs>
        <w:spacing w:line="560" w:lineRule="exact"/>
        <w:ind w:firstLine="640" w:firstLineChars="200"/>
        <w:rPr>
          <w:rFonts w:ascii="仿宋" w:hAnsi="仿宋" w:eastAsia="仿宋"/>
          <w:b/>
          <w:sz w:val="32"/>
          <w:szCs w:val="32"/>
        </w:rPr>
      </w:pPr>
      <w:r>
        <w:rPr>
          <w:rFonts w:hint="eastAsia" w:ascii="仿宋" w:hAnsi="仿宋" w:eastAsia="仿宋"/>
          <w:b/>
          <w:sz w:val="32"/>
          <w:szCs w:val="32"/>
        </w:rPr>
        <w:t>特别风险提示（如适用）：</w:t>
      </w:r>
      <w:r>
        <w:rPr>
          <w:rFonts w:hint="eastAsia" w:ascii="仿宋" w:hAnsi="仿宋" w:eastAsia="仿宋"/>
          <w:sz w:val="32"/>
          <w:szCs w:val="32"/>
        </w:rPr>
        <w:t>本次交易存在重大交易风险，或交易完成后对上市公司产生较大风险的，应当以“特别提示”的形式逐项披露交易风险和交易完成后可能给上市公司带来的风险因素：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2．交易完成后对上市公司的风险通常包括市场风险、经营风险、技术风险、汇率风险、政策风险、公司治理与内部控制风险等。</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一、关联交易概述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1．</w:t>
      </w:r>
      <w:r>
        <w:rPr>
          <w:rFonts w:hint="eastAsia" w:ascii="仿宋" w:hAnsi="仿宋" w:eastAsia="仿宋"/>
          <w:color w:val="000000"/>
          <w:sz w:val="32"/>
          <w:szCs w:val="32"/>
        </w:rPr>
        <w:t>上市公司应当扼要阐明本次关联交易的主要内容，包括协议签署日期、地点，交易各方当事人名称，交易标的情况。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2．</w:t>
      </w:r>
      <w:r>
        <w:rPr>
          <w:rFonts w:hint="eastAsia" w:ascii="仿宋" w:hAnsi="仿宋" w:eastAsia="仿宋"/>
          <w:color w:val="000000"/>
          <w:sz w:val="32"/>
          <w:szCs w:val="32"/>
        </w:rPr>
        <w:t>公司董事会应根据《创业板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上市规则》规定，简要陈述交易各方的关联关系，并明确表示本次交易构成关联交易。</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ascii="仿宋" w:hAnsi="仿宋" w:eastAsia="仿宋"/>
          <w:color w:val="000000"/>
          <w:sz w:val="32"/>
          <w:szCs w:val="32"/>
        </w:rPr>
        <w:t>公司董事会还应当披露董事会审议关联交易的表决情况、关联董事回避表决的情况、全体独立董事过半数同意以及独立董事专门会议审议的情况。对于需要提交股东会批准的关联交易，应当在公告中特别载明：“此项交易尚需获得股东会的批准，与该关联交易有利害关系的关联人将回避表决”。</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olor w:val="000000"/>
          <w:sz w:val="32"/>
          <w:szCs w:val="32"/>
        </w:rPr>
        <w:t>明确说明本次关联交易是否构成《上市公司重大资产重组管理办法》规定的重大资产重组、是否构成重组上市，以及是否需要经过有关部门批准。</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二、关联方基本情况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关联方的姓名或名称、住所、企业性质、注册地、主要办公地点、法定代表人、注册资本、主营业务、主要股东和实际控制人。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2．历史沿革、主要业务最近三年发展状况和最近一个会计年度的营业收入、净利润和最近一个会计期末的净资产等财务数据。</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3．构成何种具体关联关系的说明。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4. </w:t>
      </w:r>
      <w:r>
        <w:rPr>
          <w:rFonts w:hint="eastAsia" w:ascii="仿宋" w:hAnsi="仿宋" w:eastAsia="仿宋"/>
          <w:sz w:val="32"/>
          <w:szCs w:val="32"/>
        </w:rPr>
        <w:t>关联方是否失信被执行人，</w:t>
      </w:r>
      <w:r>
        <w:rPr>
          <w:rFonts w:hint="eastAsia" w:ascii="仿宋" w:hAnsi="仿宋" w:eastAsia="仿宋"/>
          <w:color w:val="000000"/>
          <w:sz w:val="32"/>
          <w:szCs w:val="32"/>
        </w:rPr>
        <w:t>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三、关联交易标的基本情况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关联交易标的基本情况参照“上市公司购买、出售资产公告格式”“上市公司对外（含委托）投资公告格式”等关于标的资产的要求披露有关内容。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四、关联交易的定价政策及定价依据</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包括定价政策和依据、成交价格与交易标的账面值、评估值以及明确、公允的市场价格之间的关系及公允性分析，以及因交易标的特殊而需要说明的与定价有关的其他事项；如采取协商定价的，应披露交易双方协商过程及定价的依据。</w:t>
      </w:r>
    </w:p>
    <w:p>
      <w:pPr>
        <w:tabs>
          <w:tab w:val="left" w:pos="1260"/>
        </w:tabs>
        <w:autoSpaceDE w:val="0"/>
        <w:autoSpaceDN w:val="0"/>
        <w:adjustRightInd w:val="0"/>
        <w:spacing w:line="560" w:lineRule="exact"/>
        <w:ind w:firstLine="640" w:firstLineChars="200"/>
      </w:pPr>
      <w:r>
        <w:rPr>
          <w:rFonts w:hint="eastAsia" w:ascii="仿宋" w:hAnsi="仿宋" w:eastAsia="仿宋"/>
          <w:color w:val="000000"/>
          <w:sz w:val="32"/>
          <w:szCs w:val="32"/>
        </w:rPr>
        <w:t>若成交价格与账面值、评估值或市场价格差异较大</w:t>
      </w:r>
      <w:r>
        <w:rPr>
          <w:rFonts w:hint="eastAsia" w:ascii="仿宋" w:hAnsi="仿宋" w:eastAsia="仿宋"/>
          <w:color w:val="000000"/>
          <w:sz w:val="32"/>
          <w:szCs w:val="32"/>
          <w:lang w:eastAsia="zh-CN"/>
        </w:rPr>
        <w:t>或</w:t>
      </w:r>
      <w:r>
        <w:rPr>
          <w:rFonts w:hint="eastAsia" w:ascii="仿宋" w:hAnsi="仿宋" w:eastAsia="仿宋"/>
          <w:color w:val="000000"/>
          <w:sz w:val="32"/>
          <w:szCs w:val="32"/>
        </w:rPr>
        <w:t>交易有失公允的，应当披露</w:t>
      </w:r>
      <w:r>
        <w:rPr>
          <w:rFonts w:hint="eastAsia" w:ascii="仿宋" w:hAnsi="仿宋" w:eastAsia="仿宋"/>
          <w:color w:val="000000"/>
          <w:sz w:val="32"/>
          <w:szCs w:val="32"/>
          <w:lang w:eastAsia="zh-CN"/>
        </w:rPr>
        <w:t>原因，</w:t>
      </w:r>
      <w:r>
        <w:rPr>
          <w:rFonts w:hint="eastAsia" w:ascii="仿宋" w:hAnsi="仿宋" w:eastAsia="仿宋"/>
          <w:color w:val="000000"/>
          <w:sz w:val="32"/>
          <w:szCs w:val="32"/>
        </w:rPr>
        <w:t>本次关联交易所产生的利益转移方向，对公司的财务影响</w:t>
      </w:r>
      <w:r>
        <w:rPr>
          <w:rFonts w:hint="eastAsia" w:ascii="仿宋" w:hAnsi="仿宋" w:eastAsia="仿宋"/>
          <w:color w:val="000000"/>
          <w:sz w:val="32"/>
          <w:szCs w:val="32"/>
          <w:lang w:eastAsia="zh-CN"/>
        </w:rPr>
        <w:t>，</w:t>
      </w:r>
      <w:r>
        <w:rPr>
          <w:rFonts w:hint="eastAsia" w:ascii="仿宋" w:hAnsi="仿宋" w:eastAsia="仿宋"/>
          <w:color w:val="000000"/>
          <w:sz w:val="32"/>
          <w:szCs w:val="32"/>
        </w:rPr>
        <w:t>是否存在其他相关利益安排</w:t>
      </w:r>
      <w:r>
        <w:rPr>
          <w:rFonts w:hint="eastAsia" w:ascii="仿宋" w:hAnsi="仿宋" w:eastAsia="仿宋"/>
          <w:color w:val="000000"/>
          <w:sz w:val="32"/>
          <w:szCs w:val="32"/>
          <w:lang w:eastAsia="zh-CN"/>
        </w:rPr>
        <w:t>，</w:t>
      </w:r>
      <w:r>
        <w:rPr>
          <w:rFonts w:hint="eastAsia" w:ascii="仿宋" w:hAnsi="仿宋" w:eastAsia="仿宋"/>
          <w:color w:val="000000"/>
          <w:sz w:val="32"/>
          <w:szCs w:val="32"/>
        </w:rPr>
        <w:t>是否</w:t>
      </w:r>
      <w:r>
        <w:rPr>
          <w:rFonts w:hint="eastAsia" w:ascii="仿宋" w:hAnsi="仿宋" w:eastAsia="仿宋"/>
          <w:color w:val="000000"/>
          <w:sz w:val="32"/>
          <w:szCs w:val="32"/>
          <w:lang w:eastAsia="zh-CN"/>
        </w:rPr>
        <w:t>可能</w:t>
      </w:r>
      <w:r>
        <w:rPr>
          <w:rFonts w:hint="eastAsia" w:ascii="仿宋" w:hAnsi="仿宋" w:eastAsia="仿宋"/>
          <w:color w:val="000000"/>
          <w:sz w:val="32"/>
          <w:szCs w:val="32"/>
        </w:rPr>
        <w:t>导致未来关联人对上市公司形成潜在损害等情况</w:t>
      </w:r>
      <w:r>
        <w:rPr>
          <w:rFonts w:hint="eastAsia" w:ascii="仿宋" w:hAnsi="仿宋" w:eastAsia="仿宋"/>
          <w:color w:val="000000"/>
          <w:sz w:val="32"/>
          <w:szCs w:val="32"/>
          <w:lang w:eastAsia="zh-CN"/>
        </w:rPr>
        <w:t>；</w:t>
      </w:r>
      <w:r>
        <w:rPr>
          <w:rFonts w:hint="eastAsia" w:ascii="仿宋" w:hAnsi="仿宋" w:eastAsia="仿宋"/>
          <w:color w:val="000000"/>
          <w:sz w:val="32"/>
          <w:szCs w:val="32"/>
        </w:rPr>
        <w:t>提交股东会审议的关联购买资产事项，若成交价格相比交易标的账面值溢价超过100%，交易对方未提供在一定期限内交易标的盈利担保、补偿承诺或者回购承诺的，上市公司应当说明具体原因，是否采取相关保障措施，是否有利于保护上市公司利益及中小股东合法权益。</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董事会应当对此作出说明。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五、关联交易协议的主要内容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成交金额、支付方式（如现金、股权、资产置换等）、支付期限或分期付款的安排；关联人在交易中所占权益的性质和比重；协议的生效条件、生效时间以及有效期限等；交易协议生效存在附条件或期限的，应当予以特别说明。如存在上市公司预付大额定金、付款与交割约定显失公允等情形的，应分析披露相关约定的原因及公允性、是否构成潜在财务资助、资金占用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六、涉及关联交易的其他安排</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主要介绍购买、出售资产所涉及的人员安置、土地租赁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lang w:eastAsia="zh-CN"/>
        </w:rPr>
        <w:t>独立</w:t>
      </w:r>
      <w:r>
        <w:rPr>
          <w:rFonts w:hint="eastAsia" w:ascii="仿宋" w:hAnsi="仿宋" w:eastAsia="仿宋"/>
          <w:sz w:val="32"/>
          <w:szCs w:val="32"/>
        </w:rPr>
        <w:t>及具体计划；出售资产所得款项的用途；购买资产的资金来源，购买资产是否与募集资金说明书所列示的项目有关。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如本次购买、出售资产交易还伴随有上市公司股权转让或者高层人事变动计划等其他安排的，应披露这些安排的具体内容。</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如此次交易完成后可能导致上市公司控股股东、实际控制人及其他关联人对上市公司形成非经营性资金占用的，应当在公告中明确合理的解决方案，并在相关交易实施完成前解决，避免形成非经营性资金占用。</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关联交易的必要性，上市公司不与独立第三方交易，而必须和该关联人进行本次关联交易的原因，如涉及履行以前作出的相关承诺的，需简要说明承诺情况等。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从对本期和未来财务状况和经营成果、现金流量和会计核算方法的影响、财务影响和非财务影响等多个方面分析披露本次交易对上市公司的影响；如关联交易影响生产经营相关指标的，应增加披露生产经营相关指标的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简述关联交易对交易对方的影响。</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关于交易对方履约能力的分析。</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八、当年年初至披露日与该关联人累计已发生的各类关联交易的总金额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当年年初至披露日与该关联人（包含受同一主体控制或相互存在控制关系的其他关联人）累计已发生的各类关联交易的总金额。</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lang w:eastAsia="zh-CN"/>
        </w:rPr>
        <w:t>九</w:t>
      </w:r>
      <w:r>
        <w:rPr>
          <w:rFonts w:hint="eastAsia" w:ascii="仿宋" w:hAnsi="仿宋" w:eastAsia="仿宋"/>
          <w:b/>
          <w:color w:val="000000"/>
          <w:sz w:val="32"/>
          <w:szCs w:val="32"/>
        </w:rPr>
        <w:t>、中介机构意见结论（如适用）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上市公司在关联交易中聘任中介机构出具专业意见的，应明确披露中介机构对本次资产交易的专业意见结论。</w:t>
      </w:r>
    </w:p>
    <w:p>
      <w:pPr>
        <w:spacing w:line="560" w:lineRule="exact"/>
        <w:ind w:firstLine="640"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spacing w:line="560" w:lineRule="exact"/>
        <w:ind w:firstLine="4160"/>
        <w:jc w:val="left"/>
        <w:rPr>
          <w:rFonts w:ascii="仿宋" w:hAnsi="仿宋" w:eastAsia="仿宋"/>
          <w:color w:val="000000"/>
          <w:sz w:val="32"/>
          <w:szCs w:val="32"/>
        </w:rPr>
      </w:pPr>
    </w:p>
    <w:p>
      <w:pPr>
        <w:spacing w:line="560" w:lineRule="exact"/>
        <w:ind w:firstLine="640" w:firstLineChars="200"/>
        <w:rPr>
          <w:rFonts w:hint="eastAsia" w:ascii="仿宋" w:hAnsi="仿宋" w:eastAsia="仿宋"/>
          <w:b/>
          <w:sz w:val="32"/>
          <w:szCs w:val="32"/>
          <w:highlight w:val="none"/>
        </w:rPr>
      </w:pPr>
    </w:p>
    <w:p>
      <w:pPr>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1．全体独立董事过半数同意的证明文件；</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eastAsia="zh"/>
        </w:rPr>
        <w:t>2</w:t>
      </w:r>
      <w:r>
        <w:rPr>
          <w:rFonts w:hint="eastAsia" w:ascii="仿宋" w:hAnsi="仿宋" w:eastAsia="仿宋" w:cs="Times New Roman"/>
          <w:sz w:val="32"/>
          <w:szCs w:val="32"/>
          <w:highlight w:val="none"/>
        </w:rPr>
        <w:t>．意向书、协议或合同；</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eastAsia="zh"/>
        </w:rPr>
        <w:t>3</w:t>
      </w:r>
      <w:r>
        <w:rPr>
          <w:rFonts w:hint="eastAsia" w:ascii="仿宋" w:hAnsi="仿宋" w:eastAsia="仿宋" w:cs="Times New Roman"/>
          <w:sz w:val="32"/>
          <w:szCs w:val="32"/>
          <w:highlight w:val="none"/>
        </w:rPr>
        <w:t>．标的资产财务报表</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eastAsia="zh"/>
        </w:rPr>
        <w:t>4</w:t>
      </w:r>
      <w:r>
        <w:rPr>
          <w:rFonts w:hint="eastAsia" w:ascii="仿宋" w:hAnsi="仿宋" w:eastAsia="仿宋" w:cs="Times New Roman"/>
          <w:sz w:val="32"/>
          <w:szCs w:val="32"/>
          <w:highlight w:val="none"/>
        </w:rPr>
        <w:t>．审计报告（如适用）；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cs="Times New Roman"/>
          <w:sz w:val="32"/>
          <w:szCs w:val="32"/>
          <w:highlight w:val="none"/>
          <w:lang w:eastAsia="zh"/>
        </w:rPr>
        <w:t>5</w:t>
      </w:r>
      <w:r>
        <w:rPr>
          <w:rFonts w:hint="eastAsia" w:ascii="仿宋" w:hAnsi="仿宋" w:eastAsia="仿宋" w:cs="Times New Roman"/>
          <w:sz w:val="32"/>
          <w:szCs w:val="32"/>
          <w:highlight w:val="none"/>
        </w:rPr>
        <w:t>．评估报告（如适</w:t>
      </w:r>
      <w:r>
        <w:rPr>
          <w:rFonts w:hint="eastAsia" w:ascii="仿宋" w:hAnsi="仿宋" w:eastAsia="仿宋"/>
          <w:sz w:val="32"/>
          <w:szCs w:val="32"/>
          <w:highlight w:val="none"/>
        </w:rPr>
        <w:t>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6</w:t>
      </w:r>
      <w:r>
        <w:rPr>
          <w:rFonts w:hint="eastAsia" w:ascii="仿宋" w:hAnsi="仿宋" w:eastAsia="仿宋"/>
          <w:sz w:val="32"/>
          <w:szCs w:val="32"/>
          <w:highlight w:val="none"/>
        </w:rPr>
        <w:t>．法律意见书（如适用）；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7</w:t>
      </w:r>
      <w:r>
        <w:rPr>
          <w:rFonts w:hint="eastAsia" w:ascii="仿宋" w:hAnsi="仿宋" w:eastAsia="仿宋"/>
          <w:sz w:val="32"/>
          <w:szCs w:val="32"/>
          <w:highlight w:val="none"/>
        </w:rPr>
        <w:t>．财务顾问报告（如适用）；</w:t>
      </w:r>
    </w:p>
    <w:p>
      <w:pPr>
        <w:tabs>
          <w:tab w:val="left" w:pos="1260"/>
        </w:tabs>
        <w:autoSpaceDE w:val="0"/>
        <w:autoSpaceDN w:val="0"/>
        <w:adjustRightInd w:val="0"/>
        <w:spacing w:line="560" w:lineRule="exact"/>
        <w:ind w:firstLine="640" w:firstLineChars="200"/>
        <w:jc w:val="left"/>
        <w:rPr>
          <w:rFonts w:ascii="仿宋" w:hAnsi="仿宋" w:eastAsia="仿宋"/>
          <w:color w:val="000000"/>
          <w:sz w:val="32"/>
          <w:szCs w:val="32"/>
        </w:rPr>
      </w:pPr>
      <w:r>
        <w:rPr>
          <w:rFonts w:hint="eastAsia" w:ascii="仿宋" w:hAnsi="仿宋" w:eastAsia="仿宋"/>
          <w:sz w:val="32"/>
          <w:szCs w:val="32"/>
          <w:highlight w:val="none"/>
          <w:lang w:eastAsia="zh"/>
        </w:rPr>
        <w:t>8</w:t>
      </w:r>
      <w:r>
        <w:rPr>
          <w:rFonts w:hint="eastAsia" w:ascii="仿宋" w:hAnsi="仿宋" w:eastAsia="仿宋"/>
          <w:sz w:val="32"/>
          <w:szCs w:val="32"/>
          <w:highlight w:val="none"/>
        </w:rPr>
        <w:t>．有权机构的批文（如适用）。</w:t>
      </w:r>
    </w:p>
    <w:p>
      <w:pPr>
        <w:spacing w:line="560" w:lineRule="exact"/>
        <w:ind w:firstLine="416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widowControl/>
        <w:jc w:val="left"/>
        <w:rPr>
          <w:rFonts w:ascii="方正小标宋简体" w:hAnsi="仿宋" w:eastAsia="方正小标宋简体"/>
          <w:kern w:val="44"/>
          <w:sz w:val="44"/>
          <w:szCs w:val="44"/>
        </w:rPr>
      </w:pPr>
    </w:p>
    <w:p>
      <w:pPr>
        <w:widowControl/>
        <w:jc w:val="left"/>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val="0"/>
        <w:keepLines w:val="0"/>
        <w:spacing w:line="240" w:lineRule="auto"/>
        <w:jc w:val="left"/>
        <w:outlineLvl w:val="9"/>
        <w:rPr>
          <w:rFonts w:hint="eastAsia" w:ascii="方正小标宋简体" w:hAnsi="仿宋" w:eastAsia="方正小标宋简体"/>
          <w:kern w:val="44"/>
          <w:sz w:val="44"/>
          <w:szCs w:val="44"/>
        </w:rPr>
      </w:pPr>
      <w:bookmarkStart w:id="6" w:name="_Toc164973696"/>
      <w:bookmarkStart w:id="7" w:name="_Toc11651"/>
      <w:bookmarkStart w:id="8" w:name="_Toc7214"/>
      <w:r>
        <w:rPr>
          <w:rFonts w:hint="eastAsia" w:ascii="方正小标宋简体" w:hAnsi="仿宋" w:eastAsia="方正小标宋简体"/>
          <w:kern w:val="44"/>
          <w:sz w:val="44"/>
          <w:szCs w:val="44"/>
        </w:rPr>
        <w:br w:type="page"/>
      </w: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第3号 上市公司分红派息、转增股本实施公告格式</w:t>
      </w:r>
      <w:bookmarkEnd w:id="6"/>
      <w:bookmarkEnd w:id="7"/>
      <w:bookmarkEnd w:id="8"/>
    </w:p>
    <w:p>
      <w:pPr>
        <w:spacing w:line="560" w:lineRule="exact"/>
        <w:jc w:val="center"/>
        <w:rPr>
          <w:rFonts w:ascii="仿宋" w:hAnsi="仿宋" w:eastAsia="仿宋"/>
          <w:color w:val="000000"/>
          <w:sz w:val="32"/>
          <w:szCs w:val="32"/>
        </w:rPr>
      </w:pPr>
    </w:p>
    <w:p>
      <w:pPr>
        <w:spacing w:line="560" w:lineRule="exact"/>
        <w:jc w:val="center"/>
        <w:rPr>
          <w:rFonts w:hint="eastAsia"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autoSpaceDN/>
        <w:adjustRightInd/>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XXXXXX股份有限公司分红派息、转增股本实施公告</w:t>
      </w:r>
    </w:p>
    <w:p>
      <w:pPr>
        <w:tabs>
          <w:tab w:val="left" w:pos="900"/>
        </w:tabs>
        <w:spacing w:line="360" w:lineRule="auto"/>
        <w:rPr>
          <w:rFonts w:ascii="仿宋" w:hAnsi="仿宋" w:eastAsia="仿宋"/>
          <w:color w:val="000000"/>
          <w:sz w:val="28"/>
        </w:rPr>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51435</wp:posOffset>
                </wp:positionV>
                <wp:extent cx="5715000" cy="1552575"/>
                <wp:effectExtent l="4445" t="5080" r="14605" b="4445"/>
                <wp:wrapNone/>
                <wp:docPr id="122" name="矩形 12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4.05pt;height:122.25pt;width:450pt;z-index:251665408;mso-width-relative:page;mso-height-relative:page;" fillcolor="#FFFFFF" filled="t" stroked="t" coordsize="21600,21600" o:gfxdata="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&#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sCtC1gAAAAgBAAAPAAAAAAAAAAEAIAAAACIAAABk&#10;cnMvZG93bnJldi54bWxQSwECFAAUAAAACACHTuJAykGHykECAACNBAAADgAAAAAAAAABACAAAAAl&#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900"/>
        </w:tabs>
        <w:spacing w:line="360" w:lineRule="auto"/>
        <w:rPr>
          <w:rFonts w:ascii="仿宋" w:hAnsi="仿宋" w:eastAsia="仿宋"/>
          <w:color w:val="000000"/>
          <w:sz w:val="28"/>
        </w:rPr>
      </w:pPr>
    </w:p>
    <w:p>
      <w:pPr>
        <w:tabs>
          <w:tab w:val="left" w:pos="900"/>
        </w:tabs>
        <w:spacing w:line="360" w:lineRule="auto"/>
        <w:rPr>
          <w:rFonts w:ascii="仿宋" w:hAnsi="仿宋" w:eastAsia="仿宋"/>
          <w:color w:val="000000"/>
          <w:sz w:val="28"/>
        </w:rPr>
      </w:pPr>
    </w:p>
    <w:p>
      <w:pPr>
        <w:tabs>
          <w:tab w:val="left" w:pos="900"/>
        </w:tabs>
        <w:spacing w:line="360" w:lineRule="auto"/>
        <w:rPr>
          <w:rFonts w:ascii="仿宋" w:hAnsi="仿宋" w:eastAsia="仿宋"/>
          <w:color w:val="000000"/>
          <w:sz w:val="28"/>
        </w:rPr>
      </w:pP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本次利润分配及资本公积金转增股本方案（以下简称分配方案）未以总股本为基数实施或存在其他差异化安排的，应作出特别提示，并披露按公司总股本折算的每10股现金分红、送红股、资本公积金转增股本的比例（即分红总额/总股本、送红股总额/总股本、资本公积金转增股本总额/总股本）以及据此计算证券除权除息参考价的相关参数和公式。</w:t>
      </w:r>
    </w:p>
    <w:p>
      <w:pPr>
        <w:tabs>
          <w:tab w:val="left" w:pos="900"/>
        </w:tabs>
        <w:spacing w:line="560" w:lineRule="exact"/>
        <w:ind w:firstLine="640" w:firstLineChars="200"/>
        <w:rPr>
          <w:rFonts w:ascii="仿宋" w:hAnsi="仿宋" w:eastAsia="仿宋"/>
          <w:b/>
          <w:color w:val="000000"/>
          <w:sz w:val="32"/>
          <w:szCs w:val="32"/>
        </w:rPr>
      </w:pP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一、股东会审议通过利润分配及资本公积金转增股本方案等情况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应披露公司股东会审议通过的分配方案的具体内容；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应说明自分配方案披露至实施期间公司股本总额是否发生变化。如股本总额发生变化，应说明分配比例是否调整、如何调整；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应声明本次实施的分配方案与股东会审议通过的分配方案及其调整原则是一致的；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应说明本次实施分配方案距离股东会审议通过的时间是否超过两个月。如超过，公司董事会应说明原因并向股东致歉。</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二、本次实施的利润分配及资本公积金转增股本方案</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说明发放年度、发放范围</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应以每10股表述分红派息、送股、转增股本的比例，并说明含税及扣税情况。</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2. 若公司存在通过回购专用账户持有本公司股份的，应说明根据《公司法》的规定，该部分已回购的股份不享有参与本次利润分配及资本公积金转增股本的权利。</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自分配方案披露至实施期间，参与分配的股本总额发生变化的，应当区别以下情形确定分配原则并披露：</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股东会审议通过的分配方案已确定了股本基数、分配比例和分配总额，而公司股本总额在分配方案披露至实施期间因新增股份上市、股权激励授予行权、可转债转股、股份回购等事项发生变化的，公司应按照股东会审议确定的“现金分红总额、送红股总额、资本公积金转增股本总额”固定不变的原则，调整计算分配比例并披露；</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股东会审议通过的分配方案只确定了分配比例，但以分配方案未来实施时股权登记日的股本总额为基数，从而未确定分配总额的，公司股本总额在分配方案披露至实施期间因各种原因发生变化的，无需因股本总额的变动而调整分配比例。</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三、分红派息日期</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明确说明：股权登记日、除权日（除息日）和新增可流通股份上市日(红利发放日)。</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四、分红派息对象</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截止股权登记日下午本所收市后，在中国证券登记结算有限责任公司深圳分公司</w:t>
      </w:r>
      <w:r>
        <w:rPr>
          <w:rFonts w:hint="eastAsia" w:ascii="仿宋" w:hAnsi="仿宋" w:eastAsia="仿宋"/>
          <w:color w:val="000000"/>
          <w:sz w:val="32"/>
          <w:szCs w:val="32"/>
          <w:lang w:eastAsia="zh-CN"/>
        </w:rPr>
        <w:t>（以下简称中国结算深圳分公司）</w:t>
      </w:r>
      <w:r>
        <w:rPr>
          <w:rFonts w:hint="eastAsia" w:ascii="仿宋" w:hAnsi="仿宋" w:eastAsia="仿宋"/>
          <w:color w:val="000000"/>
          <w:sz w:val="32"/>
          <w:szCs w:val="32"/>
        </w:rPr>
        <w:t>登记在册的全体股东。</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本次分配方案未以总股本为基数实施或者存在其他差异化安排的，请相应说明分红派息的具体对象或者差异化安排。</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五、分配、转增股本方法</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说明本次送转的股份将直接计入股东证券账户以及计入的具体日期；</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说明本次股东股息将通过股东托管券商直接划入其资金账户以及划入的具体日期。国有股、法人股及高层管理人员持股的股息由公司派发。</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六、股本变动结构表（如适用）</w:t>
      </w:r>
    </w:p>
    <w:p>
      <w:pPr>
        <w:tabs>
          <w:tab w:val="left" w:pos="900"/>
        </w:tabs>
        <w:spacing w:line="560" w:lineRule="exact"/>
        <w:ind w:firstLine="640" w:firstLineChars="200"/>
      </w:pPr>
      <w:r>
        <w:rPr>
          <w:rFonts w:hint="eastAsia" w:ascii="仿宋" w:hAnsi="仿宋" w:eastAsia="仿宋"/>
          <w:color w:val="000000"/>
          <w:sz w:val="32"/>
          <w:szCs w:val="32"/>
        </w:rPr>
        <w:t>按变动前股本、本次送红股、本次转增股本、变动后股本、股份比例等项目列示。</w:t>
      </w:r>
    </w:p>
    <w:p>
      <w:pPr>
        <w:widowControl/>
        <w:tabs>
          <w:tab w:val="left" w:pos="900"/>
        </w:tabs>
        <w:adjustRightInd/>
        <w:spacing w:line="560" w:lineRule="exact"/>
        <w:ind w:firstLine="640" w:firstLineChars="200"/>
        <w:rPr>
          <w:rFonts w:hint="eastAsia" w:ascii="仿宋" w:hAnsi="仿宋" w:eastAsia="仿宋" w:cs="Times New Roman"/>
          <w:b w:val="0"/>
          <w:bCs w:val="0"/>
          <w:color w:val="000000"/>
          <w:sz w:val="32"/>
          <w:szCs w:val="32"/>
        </w:rPr>
      </w:pPr>
      <w:r>
        <w:rPr>
          <w:rFonts w:hint="eastAsia" w:ascii="仿宋" w:hAnsi="仿宋" w:eastAsia="仿宋" w:cs="Times New Roman"/>
          <w:b w:val="0"/>
          <w:bCs w:val="0"/>
          <w:color w:val="000000"/>
          <w:sz w:val="32"/>
          <w:szCs w:val="32"/>
        </w:rPr>
        <w:t>存在差异化分红送转方案导致股东及其一致行动人拥有权益的股份比例被动触及或</w:t>
      </w:r>
      <w:r>
        <w:rPr>
          <w:rFonts w:hint="eastAsia" w:ascii="仿宋" w:hAnsi="仿宋" w:eastAsia="仿宋" w:cs="Times New Roman"/>
          <w:b w:val="0"/>
          <w:bCs w:val="0"/>
          <w:color w:val="000000"/>
          <w:sz w:val="32"/>
          <w:szCs w:val="32"/>
          <w:lang w:eastAsia="zh-CN"/>
        </w:rPr>
        <w:t>者</w:t>
      </w:r>
      <w:r>
        <w:rPr>
          <w:rFonts w:hint="eastAsia" w:ascii="仿宋" w:hAnsi="仿宋" w:eastAsia="仿宋" w:cs="Times New Roman"/>
          <w:b w:val="0"/>
          <w:bCs w:val="0"/>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rPr>
        <w:t>的，公司应当列示股本变动前后该股东及其一致行动人的持股数量和持股比例变动情况。</w:t>
      </w:r>
    </w:p>
    <w:p>
      <w:pPr>
        <w:tabs>
          <w:tab w:val="left" w:pos="900"/>
        </w:tabs>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b w:val="0"/>
          <w:bCs w:val="0"/>
          <w:color w:val="000000"/>
          <w:sz w:val="32"/>
          <w:szCs w:val="32"/>
        </w:rPr>
        <w:t>实施破产重整方案导致股东及其一致行动人拥有权益的股份比例被动触及或</w:t>
      </w:r>
      <w:r>
        <w:rPr>
          <w:rFonts w:hint="eastAsia" w:ascii="仿宋" w:hAnsi="仿宋" w:eastAsia="仿宋" w:cs="Times New Roman"/>
          <w:b w:val="0"/>
          <w:bCs w:val="0"/>
          <w:color w:val="000000"/>
          <w:sz w:val="32"/>
          <w:szCs w:val="32"/>
          <w:lang w:eastAsia="zh-CN"/>
        </w:rPr>
        <w:t>者</w:t>
      </w:r>
      <w:r>
        <w:rPr>
          <w:rFonts w:hint="eastAsia" w:ascii="仿宋" w:hAnsi="仿宋" w:eastAsia="仿宋" w:cs="Times New Roman"/>
          <w:b w:val="0"/>
          <w:bCs w:val="0"/>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rPr>
        <w:t>的，公司应当列示股本变动前后该股东及其一致行动人的持股数量和持股比例变动情况。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七、调整相关参数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实施送转股方案后，按</w:t>
      </w:r>
      <w:r>
        <w:rPr>
          <w:rFonts w:hint="eastAsia" w:ascii="仿宋" w:hAnsi="仿宋" w:eastAsia="仿宋"/>
          <w:color w:val="000000"/>
          <w:sz w:val="32"/>
          <w:szCs w:val="32"/>
          <w:lang w:eastAsia="zh-CN"/>
        </w:rPr>
        <w:t>最</w:t>
      </w:r>
      <w:r>
        <w:rPr>
          <w:rFonts w:hint="eastAsia" w:ascii="仿宋" w:hAnsi="仿宋" w:eastAsia="仿宋"/>
          <w:color w:val="000000"/>
          <w:sz w:val="32"/>
          <w:szCs w:val="32"/>
        </w:rPr>
        <w:t>新股本总数摊薄计算的上年度每股收益或本年度中期每股收益（如适用）；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股东承诺最低减持价的，应注明最低减持价调整的情况；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本次分配方案未以总股本为基数实施或存在其他差异化安排的，公司应披露按公司总股本折算的每10股分红、送股、转增的比例（即分红总额/总股本、送红股总额/总股本、资本公积金转增股本总额/总股本），并披露据此计算证券除权除息参考价的相关参数和公式。</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八、有关咨询办法</w:t>
      </w:r>
    </w:p>
    <w:p>
      <w:pPr>
        <w:spacing w:line="360" w:lineRule="auto"/>
        <w:ind w:left="4250"/>
        <w:rPr>
          <w:rFonts w:ascii="仿宋" w:hAnsi="仿宋" w:eastAsia="仿宋"/>
          <w:color w:val="000000"/>
          <w:sz w:val="28"/>
        </w:rPr>
      </w:pPr>
    </w:p>
    <w:p>
      <w:pPr>
        <w:spacing w:line="360" w:lineRule="auto"/>
        <w:ind w:left="4250"/>
        <w:rPr>
          <w:rFonts w:ascii="仿宋" w:hAnsi="仿宋" w:eastAsia="仿宋"/>
          <w:color w:val="000000"/>
          <w:sz w:val="28"/>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spacing w:line="560" w:lineRule="exact"/>
        <w:ind w:firstLine="640" w:firstLineChars="200"/>
        <w:rPr>
          <w:rFonts w:hint="eastAsia" w:ascii="仿宋" w:hAnsi="仿宋" w:eastAsia="仿宋"/>
          <w:b/>
          <w:color w:val="000000"/>
          <w:sz w:val="32"/>
          <w:szCs w:val="32"/>
        </w:rPr>
      </w:pPr>
    </w:p>
    <w:p>
      <w:pPr>
        <w:spacing w:line="560" w:lineRule="exact"/>
        <w:ind w:firstLine="640"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CN"/>
        </w:rPr>
        <w:t>中国结算深圳分公司</w:t>
      </w:r>
      <w:r>
        <w:rPr>
          <w:rFonts w:hint="eastAsia" w:ascii="仿宋" w:hAnsi="仿宋" w:eastAsia="仿宋"/>
          <w:color w:val="000000"/>
          <w:sz w:val="32"/>
          <w:szCs w:val="32"/>
        </w:rPr>
        <w:t>确认有关分红派息、转增股本具体时间安排的文件</w:t>
      </w:r>
      <w:r>
        <w:rPr>
          <w:rFonts w:hint="eastAsia" w:ascii="仿宋" w:hAnsi="仿宋" w:eastAsia="仿宋"/>
          <w:color w:val="000000"/>
          <w:sz w:val="32"/>
          <w:szCs w:val="32"/>
          <w:lang w:eastAsia="zh"/>
        </w:rPr>
        <w:t>。</w:t>
      </w:r>
    </w:p>
    <w:p>
      <w:pPr>
        <w:widowControl/>
        <w:jc w:val="left"/>
        <w:rPr>
          <w:rFonts w:ascii="方正小标宋简体" w:hAnsi="仿宋" w:eastAsia="方正小标宋简体"/>
          <w:kern w:val="44"/>
          <w:sz w:val="44"/>
          <w:szCs w:val="44"/>
        </w:rPr>
      </w:pPr>
    </w:p>
    <w:p>
      <w:pPr>
        <w:widowControl/>
        <w:jc w:val="left"/>
      </w:pPr>
    </w:p>
    <w:p>
      <w:pPr>
        <w:widowControl/>
        <w:jc w:val="left"/>
      </w:pPr>
    </w:p>
    <w:p>
      <w:pPr>
        <w:keepNext/>
        <w:keepLines/>
        <w:spacing w:line="560" w:lineRule="exact"/>
        <w:jc w:val="center"/>
        <w:outlineLvl w:val="2"/>
        <w:rPr>
          <w:rFonts w:ascii="黑体" w:hAnsi="黑体" w:eastAsia="黑体"/>
          <w:b/>
          <w:szCs w:val="30"/>
        </w:rPr>
      </w:pPr>
      <w:bookmarkStart w:id="9" w:name="_Toc4090"/>
      <w:bookmarkStart w:id="10" w:name="_Toc164973697"/>
      <w:bookmarkStart w:id="11" w:name="_Toc18098"/>
      <w:r>
        <w:rPr>
          <w:rFonts w:hint="eastAsia" w:ascii="方正小标宋简体" w:hAnsi="仿宋" w:eastAsia="方正小标宋简体"/>
          <w:kern w:val="44"/>
          <w:sz w:val="44"/>
          <w:szCs w:val="44"/>
        </w:rPr>
        <w:t>第4号 上市公司召开股东会通知公告格式</w:t>
      </w:r>
      <w:bookmarkEnd w:id="9"/>
      <w:bookmarkEnd w:id="10"/>
      <w:bookmarkEnd w:id="11"/>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jc w:val="center"/>
        <w:rPr>
          <w:rFonts w:ascii="仿宋" w:hAnsi="仿宋" w:eastAsia="仿宋"/>
          <w:sz w:val="32"/>
          <w:szCs w:val="32"/>
        </w:rPr>
      </w:pPr>
      <w:r>
        <w:rPr>
          <w:rFonts w:hint="eastAsia" w:ascii="仿宋" w:hAnsi="仿宋" w:eastAsia="仿宋"/>
          <w:sz w:val="32"/>
          <w:szCs w:val="32"/>
        </w:rPr>
        <w:t>XXXXXX股份有限公司关于召开XX年度股东会</w:t>
      </w:r>
    </w:p>
    <w:p>
      <w:pPr>
        <w:autoSpaceDE w:val="0"/>
        <w:autoSpaceDN w:val="0"/>
        <w:adjustRightInd w:val="0"/>
        <w:spacing w:line="560" w:lineRule="exact"/>
        <w:ind w:right="360"/>
        <w:jc w:val="center"/>
        <w:rPr>
          <w:rFonts w:ascii="仿宋" w:hAnsi="仿宋" w:eastAsia="仿宋"/>
          <w:b/>
          <w:sz w:val="32"/>
          <w:szCs w:val="32"/>
        </w:rPr>
      </w:pPr>
      <w:r>
        <w:rPr>
          <w:rFonts w:hint="eastAsia" w:ascii="仿宋" w:hAnsi="仿宋" w:eastAsia="仿宋"/>
          <w:sz w:val="32"/>
          <w:szCs w:val="32"/>
        </w:rPr>
        <w:t>或XXXX年第XX次临时股东会的通知</w:t>
      </w:r>
    </w:p>
    <w:p>
      <w:pPr>
        <w:autoSpaceDE w:val="0"/>
        <w:autoSpaceDN w:val="0"/>
        <w:adjustRightInd w:val="0"/>
        <w:spacing w:line="360" w:lineRule="auto"/>
        <w:ind w:right="360"/>
        <w:jc w:val="center"/>
        <w:rPr>
          <w:rFonts w:ascii="仿宋" w:hAnsi="仿宋" w:eastAsia="仿宋"/>
          <w:b/>
          <w:sz w:val="24"/>
        </w:rPr>
      </w:pPr>
      <w:r>
        <mc:AlternateContent>
          <mc:Choice Requires="wps">
            <w:drawing>
              <wp:anchor distT="0" distB="0" distL="114300" distR="114300" simplePos="0" relativeHeight="251678720" behindDoc="0" locked="0" layoutInCell="1" allowOverlap="1">
                <wp:simplePos x="0" y="0"/>
                <wp:positionH relativeFrom="column">
                  <wp:posOffset>-47625</wp:posOffset>
                </wp:positionH>
                <wp:positionV relativeFrom="paragraph">
                  <wp:posOffset>50165</wp:posOffset>
                </wp:positionV>
                <wp:extent cx="5715000" cy="1628775"/>
                <wp:effectExtent l="4445" t="5080" r="14605" b="4445"/>
                <wp:wrapNone/>
                <wp:docPr id="121" name="矩形 121"/>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3.95pt;height:128.25pt;width:450pt;z-index:251678720;mso-width-relative:page;mso-height-relative:page;" fillcolor="#FFFFFF" filled="t" stroked="t" coordsize="21600,21600" o:gfxdata="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SJeKPXAAAACAEAAA8AAAAAAAAAAQAgAAAAIgAA&#10;AGRycy9kb3ducmV2LnhtbFBLAQIUABQAAAAIAIdO4kDqwjNDQgIAAI0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560" w:lineRule="exact"/>
        <w:ind w:right="357" w:firstLine="640" w:firstLineChars="200"/>
        <w:rPr>
          <w:rFonts w:ascii="仿宋" w:hAnsi="仿宋" w:eastAsia="仿宋"/>
          <w:b/>
          <w:sz w:val="32"/>
          <w:szCs w:val="32"/>
        </w:rPr>
      </w:pPr>
      <w:r>
        <w:rPr>
          <w:rFonts w:hint="eastAsia" w:ascii="仿宋" w:hAnsi="仿宋" w:eastAsia="仿宋"/>
          <w:b/>
          <w:sz w:val="32"/>
          <w:szCs w:val="32"/>
        </w:rPr>
        <w:t>一、召开会议的基本情况</w:t>
      </w:r>
    </w:p>
    <w:p>
      <w:pPr>
        <w:tabs>
          <w:tab w:val="left" w:pos="8306"/>
        </w:tabs>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股东会届次：说明本次股东会是年度股东会还是临时股东会。召开临时股东会的，还应说明本次股东会为年度内第几次临时股东会。</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股东会的召集人：股东会由董事会召集的，应说明董事会决议召开股东会的情况。股东会由独立董事、</w:t>
      </w:r>
      <w:r>
        <w:rPr>
          <w:rFonts w:hint="eastAsia" w:ascii="仿宋" w:hAnsi="仿宋" w:eastAsia="仿宋"/>
          <w:sz w:val="32"/>
          <w:szCs w:val="32"/>
          <w:lang w:eastAsia="zh-CN"/>
        </w:rPr>
        <w:t>审计委员</w:t>
      </w:r>
      <w:r>
        <w:rPr>
          <w:rFonts w:hint="eastAsia" w:ascii="仿宋" w:hAnsi="仿宋" w:eastAsia="仿宋"/>
          <w:sz w:val="32"/>
          <w:szCs w:val="32"/>
        </w:rPr>
        <w:t>会、单独或合计持有公司10％以上股份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的股东向董事会提议或请求召开的，应说明董事会收到有关提议或请求的具体情况；股东会由</w:t>
      </w:r>
      <w:r>
        <w:rPr>
          <w:rFonts w:hint="eastAsia" w:ascii="仿宋" w:hAnsi="仿宋" w:eastAsia="仿宋"/>
          <w:sz w:val="32"/>
          <w:szCs w:val="32"/>
          <w:lang w:eastAsia="zh-CN"/>
        </w:rPr>
        <w:t>审计委员</w:t>
      </w:r>
      <w:r>
        <w:rPr>
          <w:rFonts w:hint="eastAsia" w:ascii="仿宋" w:hAnsi="仿宋" w:eastAsia="仿宋"/>
          <w:sz w:val="32"/>
          <w:szCs w:val="32"/>
        </w:rPr>
        <w:t>会或股东自行召集的，应说明自行召集股东会的事由和召集程序的合法、合规性。</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 xml:space="preserve">召集人为股东的，相关股东应当在股东会通知公告中作出如下承诺：在发出股东会通知至股东会结束当日期间，召集股东持股比例不低于公司总股本的10%。 </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会议召开的合法、合规性：召集人应就本次股东会的召开是否符合有关法律法规、本所业务规则和公司章程等的规定作出说明。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 会议召开的日期、时间：列明现场会议召开日期（应为交易日）、时间。列明通过互联网投票系统和交易系统进行网络投票的起止日期和时间。通过互联网投票系统和交易系统进行网络投票的日期应当与现场会议日期相同。</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 会议的召开方式：说明本次股东会采用现场表决与网络投票相结合的方式召开。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会议的股权登记日：列明股权登记日（应为交易日）。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出席对象：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（1）在股权登记日持有公司股份的股东或其代理人；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于股权登记日下午收市时在中国结算深圳分公司登记在册的公司全体股东均有权出席股东会，并可以以书面形式委托代理人出席会议和参加表决，该股东代理人不必是本公司股东。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存在需在本次股东会上回避表决、承诺放弃表决权或者不得行使表决权的股东的，应当援引相关公告明确披露相关情况，同时应当就该等股东可否接受其他股东委托进行投票作出说明并进行特别提示。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（2）公司董事、高级管理人员；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（3）公司聘请的律师；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（4）根据相关法规应当出席股东会的其他人员。</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8. 会议地点：列明现场会议的地点。会议地点应当符合公司章程的规定，且明确具体，尽可能指明会议地点所在的城市、区域、道路、门牌号、建筑物名称、楼层、房号（如有）。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9. 股东会召开10日前单独或者合计持有公司</w:t>
      </w:r>
      <w:r>
        <w:rPr>
          <w:rFonts w:hint="eastAsia" w:ascii="仿宋" w:hAnsi="仿宋" w:eastAsia="仿宋"/>
          <w:sz w:val="32"/>
          <w:szCs w:val="32"/>
          <w:lang w:val="en-US" w:eastAsia="zh-CN"/>
        </w:rPr>
        <w:t>1</w:t>
      </w:r>
      <w:r>
        <w:rPr>
          <w:rFonts w:hint="eastAsia" w:ascii="仿宋" w:hAnsi="仿宋" w:eastAsia="仿宋"/>
          <w:sz w:val="32"/>
          <w:szCs w:val="32"/>
        </w:rPr>
        <w:t>%以上股份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的股东提出临时提案的，上市公司应当在收到提案后两日内发出股东会补充通知，披露提出临时提案的股东姓名或者名称、持股比例和新增提案的具体内容。</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二、会议审议事项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以表格形式逐一列明提交股东会表决的提案名称。</w:t>
      </w:r>
    </w:p>
    <w:p>
      <w:pPr>
        <w:autoSpaceDE w:val="0"/>
        <w:autoSpaceDN w:val="0"/>
        <w:adjustRightInd w:val="0"/>
        <w:spacing w:line="560" w:lineRule="exact"/>
        <w:ind w:right="-58" w:firstLine="640" w:firstLineChars="200"/>
        <w:jc w:val="center"/>
        <w:rPr>
          <w:rFonts w:ascii="仿宋" w:hAnsi="仿宋" w:eastAsia="仿宋"/>
          <w:b/>
          <w:sz w:val="32"/>
          <w:szCs w:val="32"/>
        </w:rPr>
      </w:pPr>
      <w:r>
        <w:rPr>
          <w:rFonts w:hint="eastAsia" w:ascii="仿宋" w:hAnsi="仿宋" w:eastAsia="仿宋"/>
          <w:b/>
          <w:sz w:val="32"/>
          <w:szCs w:val="32"/>
        </w:rPr>
        <w:t>表一 本次股东会提案编码实例表</w:t>
      </w: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970"/>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b/>
                <w:sz w:val="24"/>
                <w:szCs w:val="24"/>
              </w:rPr>
              <w:t>提案编码</w:t>
            </w:r>
          </w:p>
        </w:tc>
        <w:tc>
          <w:tcPr>
            <w:tcW w:w="3970"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b/>
                <w:sz w:val="24"/>
                <w:szCs w:val="24"/>
              </w:rPr>
              <w:t>提案名称</w:t>
            </w:r>
          </w:p>
        </w:tc>
        <w:tc>
          <w:tcPr>
            <w:tcW w:w="2856" w:type="dxa"/>
            <w:tcBorders>
              <w:top w:val="single" w:color="auto" w:sz="4" w:space="0"/>
              <w:left w:val="single" w:color="auto" w:sz="4" w:space="0"/>
              <w:bottom w:val="single" w:color="auto" w:sz="4" w:space="0"/>
              <w:right w:val="single" w:color="auto" w:sz="4" w:space="0"/>
            </w:tcBorders>
            <w:shd w:val="clear" w:color="auto" w:fill="E0E0E0"/>
            <w:vAlign w:val="center"/>
          </w:tcPr>
          <w:p>
            <w:pPr>
              <w:jc w:val="left"/>
              <w:rPr>
                <w:rFonts w:ascii="仿宋" w:hAnsi="仿宋" w:eastAsia="仿宋"/>
                <w:b/>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3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285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sz w:val="24"/>
                <w:szCs w:val="24"/>
              </w:rPr>
            </w:pPr>
            <w:r>
              <w:rPr>
                <w:rFonts w:hint="eastAsia" w:ascii="仿宋" w:hAnsi="仿宋" w:eastAsia="仿宋"/>
                <w:sz w:val="24"/>
                <w:szCs w:val="24"/>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b/>
                <w:sz w:val="24"/>
                <w:szCs w:val="24"/>
              </w:rPr>
              <w:t>总议案：除累积投票提案外的所有提案</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提案1（如聘请会计师事务所）</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提案2（如仅补选一位公司董事张三）</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提案3需逐项表决</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含有多级子议案的提案4需逐项表决</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xml:space="preserve">√ 作为投票对象的子议案数：（5）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4.04</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4.05</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提案5、6为等额选举示例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提案</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8</w:t>
            </w:r>
            <w:r>
              <w:rPr>
                <w:rFonts w:hint="eastAsia" w:ascii="仿宋" w:hAnsi="仿宋" w:eastAsia="仿宋"/>
                <w:sz w:val="24"/>
                <w:szCs w:val="24"/>
              </w:rPr>
              <w:t>为差额选举示例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w:t>
            </w:r>
            <w:r>
              <w:rPr>
                <w:rFonts w:hint="eastAsia" w:ascii="仿宋" w:hAnsi="仿宋" w:eastAsia="仿宋"/>
                <w:sz w:val="24"/>
                <w:szCs w:val="24"/>
                <w:lang w:val="en-US" w:eastAsia="zh-CN"/>
              </w:rPr>
              <w:t>2</w:t>
            </w:r>
            <w:r>
              <w:rPr>
                <w:rFonts w:hint="eastAsia" w:ascii="仿宋" w:hAnsi="仿宋" w:eastAsia="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8.03</w:t>
            </w:r>
          </w:p>
        </w:tc>
        <w:tc>
          <w:tcPr>
            <w:tcW w:w="3970"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eastAsia="zh-CN"/>
              </w:rPr>
              <w:t>独立董事</w:t>
            </w:r>
            <w:r>
              <w:rPr>
                <w:rFonts w:hint="eastAsia" w:ascii="仿宋" w:hAnsi="仿宋" w:eastAsia="仿宋"/>
                <w:sz w:val="24"/>
                <w:szCs w:val="24"/>
                <w:lang w:val="en-US" w:eastAsia="zh-CN"/>
              </w:rPr>
              <w:t>F</w:t>
            </w:r>
          </w:p>
        </w:tc>
        <w:tc>
          <w:tcPr>
            <w:tcW w:w="2856" w:type="dxa"/>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sz w:val="24"/>
                <w:szCs w:val="24"/>
                <w:lang w:eastAsia="zh-CN"/>
              </w:rPr>
            </w:pP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互斥提案</w:t>
            </w:r>
          </w:p>
        </w:tc>
        <w:tc>
          <w:tcPr>
            <w:tcW w:w="682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不得对提案</w:t>
            </w:r>
            <w:r>
              <w:rPr>
                <w:rFonts w:hint="eastAsia" w:ascii="仿宋" w:hAnsi="仿宋" w:eastAsia="仿宋"/>
                <w:sz w:val="24"/>
                <w:szCs w:val="24"/>
                <w:lang w:val="en-US" w:eastAsia="zh-CN"/>
              </w:rPr>
              <w:t>9</w:t>
            </w:r>
            <w:r>
              <w:rPr>
                <w:rFonts w:hint="eastAsia" w:ascii="仿宋" w:hAnsi="仿宋" w:eastAsia="仿宋"/>
                <w:sz w:val="24"/>
                <w:szCs w:val="24"/>
              </w:rPr>
              <w:t>与提案</w:t>
            </w:r>
            <w:r>
              <w:rPr>
                <w:rFonts w:hint="eastAsia" w:ascii="仿宋" w:hAnsi="仿宋" w:eastAsia="仿宋"/>
                <w:sz w:val="24"/>
                <w:szCs w:val="24"/>
                <w:lang w:val="en-US" w:eastAsia="zh-CN"/>
              </w:rPr>
              <w:t>10</w:t>
            </w:r>
            <w:r>
              <w:rPr>
                <w:rFonts w:hint="eastAsia" w:ascii="仿宋" w:hAnsi="仿宋" w:eastAsia="仿宋"/>
                <w:sz w:val="24"/>
                <w:szCs w:val="24"/>
              </w:rPr>
              <w:t>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bl>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应充分、完整地披露所有提案的具体内容。提案内容在其他公告中披露的，应当说明披露时间、披露媒体和公告名称。</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提案需逐项表决、需分类表决、需经出席会议的股东所持表决权的三分之二以上通过的、属于优先股股东有权参与表决的事项、每一特别表决权股份享有的表决权数量与每一普通股股份的表决权数量相同的事项、影响中小投资者利益的重大事项、关联交易事项或者采取累计投票方式选举董事，应当予以特别指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提案需进行分类表决或需优先股股东参与表决的，应当按照股东的股份类别设置提案，并就每一类别的股东在股东会上可参与表决的提案进行提示。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 涉及选举独立董事的提案，应特别说明“独立董事候选人的任职资格和独立性尚需经深交所审查无异议，股东会方可进行表决”。提案为以累积投票方式选举董事的,应当分别注明应选非独立董事、独立董事的具体人数，并特别提示：股东所拥有的选举票数为其所持有表决权的股份数量乘以应选人数，股东可以将所拥有的选举票数以应选人数为限在候选人中任意分配（可以投出零票），但总数不得超过其拥有的选举票数。</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5.公司应当在不晚于发出股东会通知时披露为使股东对拟讨论的事项作出合理决策所需的全部资料。如需对股东会会议资料进行补充，应不晚于股东会召开日予以披露。</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6. 提交本次股东会表决的提案中，一项提案生效是其他提案生效的前提时，应当说明相关前提条件，并就作为前提的提案表决通过是后续提案表决结果生效的前提进行特别提示。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股东会对同一事项提出不同提案的（即互斥提案，例如董事会先就年度利润分配提出方案——提案A，单独或者合计持有公司百分之</w:t>
      </w:r>
      <w:r>
        <w:rPr>
          <w:rFonts w:hint="eastAsia" w:ascii="仿宋" w:hAnsi="仿宋" w:eastAsia="仿宋"/>
          <w:sz w:val="32"/>
          <w:szCs w:val="32"/>
          <w:lang w:eastAsia="zh-CN"/>
        </w:rPr>
        <w:t>一</w:t>
      </w:r>
      <w:r>
        <w:rPr>
          <w:rFonts w:hint="eastAsia" w:ascii="仿宋" w:hAnsi="仿宋" w:eastAsia="仿宋"/>
          <w:sz w:val="32"/>
          <w:szCs w:val="32"/>
        </w:rPr>
        <w:t>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又提出另外的年度利润分配方案——提案B），应当明确披露：提案A与提案B互斥，股东或其代理人不得对提案A与提案B同时投同意票；并就股东或其代理人对提案A与提案B同时投同意票的，对提案A与提案B的投票均不视为有效投票进行特别提示。</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7．本次股东会的提案需征集投票权的，应当援引征集投票权的相关公告，说明征集投票权的基本情况。如征集投票人仅对本次股东会的部分提案征集投票权，应当明确披露被征集人或其代理人可以对未被征集投票权的提案另行表决，并就如被征集人或其代理人未另行表决将视为其放弃对未被征集投票权的提案的表决权利进行特别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征集人</w:t>
      </w:r>
      <w:r>
        <w:rPr>
          <w:rFonts w:hint="eastAsia" w:ascii="仿宋" w:hAnsi="仿宋" w:eastAsia="仿宋"/>
          <w:sz w:val="32"/>
          <w:szCs w:val="32"/>
          <w:lang w:val="en-US" w:eastAsia="zh-CN"/>
        </w:rPr>
        <w:t>为股东</w:t>
      </w:r>
      <w:r>
        <w:rPr>
          <w:rFonts w:hint="eastAsia" w:ascii="仿宋" w:hAnsi="仿宋" w:eastAsia="仿宋"/>
          <w:sz w:val="32"/>
          <w:szCs w:val="32"/>
        </w:rPr>
        <w:t>的，应当承诺在审议征集议案的股东会决议公告前不转让所持股份。</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8. 本次股东会存在股东需回避表决或者承诺放弃表决权的，应当援引股东需回避表决或者承诺放弃表决权理由的相关公告，同时说明该等股东可否接受其他股东委托进行投票，并进行特别提示。</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9. 提交本次股东会表决的提案中，属于公司在员工持股计划方案等公告中明确的员工持股计划所持股份在股东会审议相关提案时需回避表决的，应当对有关情形进行特别提示。</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三、提案编码注意事项</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1. 公司需披露提案编码，无需披露提案序号，如需披露提案序号的，提案序号需与提案编码保持一致。</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 股东会对多项提案设置“总议案”的（总议案中不包含累积投票提案，累积投票提案需另外填报选举票数），对应的提案编码为100。股东会上有互斥提案的，不得设置总议案。</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 除总议案以外，提案编码需按XX.XX的格式顺序且不重复地排列，如提案1.00、提案2.00。</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4. 对于逐项表决的提案，将逐项表决提案本身（以下简称“一级提案”）编码为XX.00，如提案3.00、提案4.00，且对一级提案投票视为对其下各级子议案表达相同投票意见。例如，对提案3.00投票，视为对其下全部二级子议案3.XX表达相同投票意见；对提案4.00投票视为对其下全部二级和三级子议案4.XX表达相同投票意见。对于含有两级提案的逐项表决提案，如提案3，将其二级子议案依次编码3.01、3.02、3.03，以此类推。对于含有三级及以上提案的逐项表决提案，如提案4，其编码如图一所示：将其二级子议案01编码为4.01；二级子议案02下的3个三级子议案作为投票对象，分别编码为4.02、4.03和4.04，而二级子议案02本身不作为投票对象，不进行编码；二级子议案03顺延编码为4.05，以此类推。提案4的备注栏应填写的作为投票对象的子议案数为提案4下所有被编码的子议案数量，即5个，其二级子议案02不作为投票对象，未被编码，不计入作为投票对象的子议案数。</w:t>
      </w:r>
    </w:p>
    <w:p>
      <w:pPr>
        <w:spacing w:line="360" w:lineRule="auto"/>
        <w:rPr>
          <w:rFonts w:ascii="仿宋" w:hAnsi="仿宋" w:eastAsia="仿宋"/>
          <w:sz w:val="24"/>
        </w:rPr>
      </w:pPr>
      <w:r>
        <w:rPr>
          <w:rFonts w:ascii="仿宋" w:hAnsi="仿宋" w:eastAsia="仿宋"/>
          <w:sz w:val="24"/>
        </w:rPr>
        <w:drawing>
          <wp:inline distT="0" distB="0" distL="114300" distR="114300">
            <wp:extent cx="5359400" cy="5365750"/>
            <wp:effectExtent l="0" t="0" r="0" b="6350"/>
            <wp:docPr id="1" name="图示 2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图一：包含多级子议案需逐项表决的提案的编码示例（该图仅作为示例说明，不应在公告中出现）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对于采用累积投票选举董事的，应当注明每个累积投票提案下的应选人数。选举非独立董事和独立董事应当作为不同的提案提出。如提案5.00为选举非独立董事，则5.01代表第一位候选人，5.02代表第二位候选人，5.03代表第三位候选人；提案6.00为选举独立董事，则6.01代表第一位候选人，6.02代表第二位候选人；依此类推。候选人数等于应选人数的，请参考提案5、6的编码；候选人数大于应选人数的，请参考提案</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的编码。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股东会对同一事项有不同提案的（即互斥提案，例如不同股东提出的有差异的年度分红方案，请参考提案</w:t>
      </w:r>
      <w:r>
        <w:rPr>
          <w:rFonts w:hint="eastAsia" w:ascii="仿宋" w:hAnsi="仿宋" w:eastAsia="仿宋"/>
          <w:sz w:val="32"/>
          <w:szCs w:val="32"/>
          <w:lang w:val="en-US" w:eastAsia="zh-CN"/>
        </w:rPr>
        <w:t>9</w:t>
      </w:r>
      <w:r>
        <w:rPr>
          <w:rFonts w:hint="eastAsia" w:ascii="仿宋" w:hAnsi="仿宋" w:eastAsia="仿宋"/>
          <w:sz w:val="32"/>
          <w:szCs w:val="32"/>
        </w:rPr>
        <w:t>.00和</w:t>
      </w:r>
      <w:r>
        <w:rPr>
          <w:rFonts w:hint="eastAsia" w:ascii="仿宋" w:hAnsi="仿宋" w:eastAsia="仿宋"/>
          <w:sz w:val="32"/>
          <w:szCs w:val="32"/>
          <w:lang w:val="en-US" w:eastAsia="zh-CN"/>
        </w:rPr>
        <w:t>10</w:t>
      </w:r>
      <w:r>
        <w:rPr>
          <w:rFonts w:hint="eastAsia" w:ascii="仿宋" w:hAnsi="仿宋" w:eastAsia="仿宋"/>
          <w:sz w:val="32"/>
          <w:szCs w:val="32"/>
        </w:rPr>
        <w:t>.00），提案应当按照提出的时间顺序排列。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对于分类表决的提案，设置提案时应说明可对该提案进行投票的股东类别。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 股东会存在征集事项的，在征集公告发出后不得变更本次股东会提案编码，新增临时提案排序应当在已有提案之后；删除已有提案的，其他提案序号不做依次递补处理。</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四、会议登记等事项</w:t>
      </w:r>
    </w:p>
    <w:p>
      <w:pPr>
        <w:autoSpaceDE w:val="0"/>
        <w:autoSpaceDN w:val="0"/>
        <w:adjustRightInd w:val="0"/>
        <w:spacing w:line="560" w:lineRule="exact"/>
        <w:ind w:right="360" w:firstLine="640" w:firstLineChars="200"/>
        <w:rPr>
          <w:rFonts w:ascii="仿宋" w:hAnsi="仿宋" w:eastAsia="仿宋"/>
          <w:sz w:val="32"/>
          <w:szCs w:val="32"/>
        </w:rPr>
      </w:pPr>
      <w:r>
        <w:rPr>
          <w:rFonts w:hint="eastAsia" w:ascii="仿宋" w:hAnsi="仿宋" w:eastAsia="仿宋"/>
          <w:sz w:val="32"/>
          <w:szCs w:val="32"/>
        </w:rPr>
        <w:t>1. 应当说明股东出席股东会的登记方式、登记时间、登记地点以及委托他人出席股东会的有关要求。</w:t>
      </w:r>
    </w:p>
    <w:p>
      <w:pPr>
        <w:autoSpaceDE w:val="0"/>
        <w:autoSpaceDN w:val="0"/>
        <w:adjustRightInd w:val="0"/>
        <w:spacing w:line="560" w:lineRule="exact"/>
        <w:ind w:right="360" w:firstLine="640" w:firstLineChars="200"/>
        <w:rPr>
          <w:rFonts w:ascii="仿宋" w:hAnsi="仿宋" w:eastAsia="仿宋"/>
          <w:sz w:val="32"/>
          <w:szCs w:val="32"/>
        </w:rPr>
      </w:pPr>
      <w:r>
        <w:rPr>
          <w:rFonts w:hint="eastAsia" w:ascii="仿宋" w:hAnsi="仿宋" w:eastAsia="仿宋"/>
          <w:sz w:val="32"/>
          <w:szCs w:val="32"/>
        </w:rPr>
        <w:t>2. 说明会议联系方式（包括会务联系人姓名、电话号码、传真号码、电子邮箱等）和出席会议是否存在相关费用等情况。</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b/>
          <w:sz w:val="32"/>
          <w:szCs w:val="32"/>
        </w:rPr>
        <w:t>五、参加网络投票的具体操作流程</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说明在本次股东会上，股东可以通过本所交易系统和互联网投票系统（地址为http://wltp.cninfo.com.cn）参加投票，并对网络投票的相关事宜进行具体说明。可将参加网络投票时涉及的具体操作内容作为股东会通知的附件披露。（参加网络投票时涉及具体操作需要说明的内容和格式详见附件1）</w:t>
      </w:r>
    </w:p>
    <w:p>
      <w:pPr>
        <w:spacing w:line="560" w:lineRule="exact"/>
        <w:ind w:firstLine="4768" w:firstLineChars="1490"/>
        <w:rPr>
          <w:rFonts w:ascii="仿宋" w:hAnsi="仿宋" w:eastAsia="仿宋"/>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XXXXXX股份有限公司董事会（或其他召集人）</w:t>
      </w:r>
    </w:p>
    <w:p>
      <w:pPr>
        <w:spacing w:line="560" w:lineRule="exact"/>
        <w:ind w:left="4675" w:right="1440" w:firstLine="560"/>
        <w:jc w:val="right"/>
        <w:rPr>
          <w:rFonts w:hint="eastAsia" w:ascii="仿宋" w:hAnsi="仿宋" w:eastAsia="仿宋"/>
          <w:sz w:val="32"/>
          <w:szCs w:val="32"/>
        </w:rPr>
      </w:pPr>
      <w:r>
        <w:rPr>
          <w:rFonts w:hint="eastAsia" w:ascii="仿宋" w:hAnsi="仿宋" w:eastAsia="仿宋"/>
          <w:sz w:val="32"/>
          <w:szCs w:val="32"/>
        </w:rPr>
        <w:t>年  月  日</w:t>
      </w:r>
    </w:p>
    <w:p>
      <w:pPr>
        <w:autoSpaceDE w:val="0"/>
        <w:autoSpaceDN w:val="0"/>
        <w:adjustRightInd w:val="0"/>
        <w:spacing w:line="560" w:lineRule="exact"/>
        <w:ind w:right="-58" w:firstLine="640" w:firstLineChars="200"/>
        <w:rPr>
          <w:rFonts w:hint="eastAsia" w:ascii="仿宋" w:hAnsi="仿宋" w:eastAsia="仿宋"/>
          <w:b/>
          <w:bCs/>
          <w:sz w:val="32"/>
          <w:szCs w:val="32"/>
          <w:highlight w:val="none"/>
        </w:rPr>
      </w:pPr>
      <w:r>
        <w:rPr>
          <w:rFonts w:hint="eastAsia" w:ascii="仿宋" w:hAnsi="仿宋" w:eastAsia="仿宋"/>
          <w:b/>
          <w:bCs/>
          <w:sz w:val="32"/>
          <w:szCs w:val="32"/>
          <w:highlight w:val="none"/>
        </w:rPr>
        <w:t>备查文件</w:t>
      </w:r>
    </w:p>
    <w:p>
      <w:pPr>
        <w:autoSpaceDE w:val="0"/>
        <w:autoSpaceDN w:val="0"/>
        <w:adjustRightInd w:val="0"/>
        <w:spacing w:line="560" w:lineRule="exact"/>
        <w:ind w:right="-58" w:firstLine="640" w:firstLineChars="200"/>
      </w:pPr>
      <w:r>
        <w:rPr>
          <w:rFonts w:hint="eastAsia" w:ascii="仿宋" w:hAnsi="仿宋" w:eastAsia="仿宋"/>
          <w:sz w:val="32"/>
          <w:szCs w:val="32"/>
          <w:highlight w:val="none"/>
        </w:rPr>
        <w:t>召集本次股东会的董事会决议或审计委员会决议，或召集股东的持股证明文件。</w:t>
      </w:r>
    </w:p>
    <w:p>
      <w:pPr>
        <w:widowControl/>
        <w:jc w:val="left"/>
        <w:rPr>
          <w:rFonts w:ascii="仿宋" w:hAnsi="仿宋" w:eastAsia="仿宋"/>
          <w:sz w:val="24"/>
          <w:szCs w:val="24"/>
        </w:rPr>
      </w:pPr>
      <w:r>
        <w:rPr>
          <w:rFonts w:hint="eastAsia" w:ascii="仿宋" w:hAnsi="仿宋" w:eastAsia="仿宋"/>
          <w:sz w:val="24"/>
          <w:szCs w:val="24"/>
        </w:rPr>
        <w:br w:type="page"/>
      </w: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ind w:firstLine="880" w:firstLineChars="200"/>
        <w:jc w:val="center"/>
        <w:rPr>
          <w:rFonts w:eastAsia="方正小标宋简体"/>
          <w:bCs/>
          <w:sz w:val="44"/>
          <w:szCs w:val="44"/>
        </w:rPr>
      </w:pPr>
      <w:r>
        <w:rPr>
          <w:rFonts w:hint="eastAsia" w:eastAsia="方正小标宋简体"/>
          <w:bCs/>
          <w:sz w:val="44"/>
          <w:szCs w:val="44"/>
        </w:rPr>
        <w:t>参加网络投票的具体操作流程</w:t>
      </w:r>
    </w:p>
    <w:p>
      <w:pPr>
        <w:spacing w:line="560" w:lineRule="exact"/>
        <w:jc w:val="center"/>
        <w:rPr>
          <w:rFonts w:ascii="仿宋" w:hAnsi="仿宋" w:eastAsia="仿宋"/>
          <w:b/>
          <w:bCs/>
          <w:sz w:val="32"/>
          <w:szCs w:val="32"/>
        </w:rPr>
      </w:pP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一、网络投票的程序</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普通股的投票代码与投票简称：投票代码从“35XXXX”起，按股票代码后四位顺序号编制，如股票代码为“300001”，则投票代码为“350001”；股票代码为“301001”，则投票代码为“351001”。投票简称为“××投票”。</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优先股的投票代码与投票简称(如适用)：投票代码为“369×××”，投票简称为“××优投”。</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创业板优先股网络投票代码区间为369801～369899，具体的投票代码需由上市公司向创业板公司管理部确认。优先股网络投票简称“××优投”中的××由上市公司根据其证券简称设置。</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填报表决意见或选举票数。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对于非累积投票提案，填报表决意见：同意、反对、弃权。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pPr>
        <w:spacing w:line="560" w:lineRule="exact"/>
        <w:ind w:firstLine="793" w:firstLineChars="248"/>
        <w:rPr>
          <w:rFonts w:ascii="仿宋" w:hAnsi="仿宋" w:eastAsia="仿宋"/>
          <w:b/>
          <w:sz w:val="32"/>
          <w:szCs w:val="32"/>
        </w:rPr>
      </w:pPr>
      <w:r>
        <w:rPr>
          <w:rFonts w:hint="eastAsia" w:ascii="仿宋" w:hAnsi="仿宋" w:eastAsia="仿宋"/>
          <w:b/>
          <w:sz w:val="32"/>
          <w:szCs w:val="32"/>
        </w:rPr>
        <w:t xml:space="preserve">  </w:t>
      </w:r>
    </w:p>
    <w:p>
      <w:pPr>
        <w:spacing w:line="560" w:lineRule="exact"/>
        <w:jc w:val="center"/>
        <w:rPr>
          <w:rFonts w:ascii="仿宋" w:hAnsi="仿宋" w:eastAsia="仿宋"/>
          <w:b/>
          <w:sz w:val="32"/>
          <w:szCs w:val="32"/>
        </w:rPr>
      </w:pPr>
      <w:r>
        <w:rPr>
          <w:rFonts w:hint="eastAsia" w:ascii="仿宋" w:hAnsi="仿宋" w:eastAsia="仿宋"/>
          <w:b/>
          <w:sz w:val="32"/>
          <w:szCs w:val="32"/>
        </w:rPr>
        <w:t>表二、累积投票制下投给候选人的选举票数填报一览表</w:t>
      </w:r>
    </w:p>
    <w:p>
      <w:pPr>
        <w:spacing w:line="560" w:lineRule="exact"/>
        <w:jc w:val="center"/>
        <w:rPr>
          <w:rFonts w:ascii="仿宋" w:hAnsi="仿宋" w:eastAsia="仿宋"/>
          <w:b/>
          <w:sz w:val="32"/>
          <w:szCs w:val="32"/>
        </w:rPr>
      </w:pP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3"/>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ascii="仿宋" w:hAnsi="仿宋" w:eastAsia="仿宋"/>
                <w:b/>
                <w:sz w:val="24"/>
                <w:szCs w:val="24"/>
              </w:rPr>
            </w:pPr>
            <w:r>
              <w:rPr>
                <w:rFonts w:hint="eastAsia" w:ascii="仿宋" w:hAnsi="仿宋" w:eastAsia="仿宋"/>
                <w:b/>
                <w:sz w:val="24"/>
                <w:szCs w:val="24"/>
              </w:rPr>
              <w:t>投给候选人的选举票数</w:t>
            </w:r>
          </w:p>
        </w:tc>
        <w:tc>
          <w:tcPr>
            <w:tcW w:w="4685"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ascii="仿宋" w:hAnsi="仿宋" w:eastAsia="仿宋"/>
                <w:b/>
                <w:sz w:val="24"/>
                <w:szCs w:val="24"/>
              </w:rPr>
            </w:pPr>
            <w:r>
              <w:rPr>
                <w:rFonts w:hint="eastAsia" w:ascii="仿宋" w:hAnsi="仿宋" w:eastAsia="仿宋"/>
                <w:b/>
                <w:sz w:val="24"/>
                <w:szCs w:val="24"/>
              </w:rPr>
              <w:t>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对候选人A投X1票</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X1票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对候选人B投X2票</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X2票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合  计</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sz w:val="24"/>
                <w:szCs w:val="24"/>
              </w:rPr>
              <w:t>不超过该股东拥有的选举票数</w:t>
            </w:r>
          </w:p>
        </w:tc>
      </w:tr>
    </w:tbl>
    <w:p>
      <w:pPr>
        <w:spacing w:line="560" w:lineRule="exact"/>
        <w:ind w:firstLine="640" w:firstLineChars="200"/>
        <w:rPr>
          <w:rFonts w:ascii="仿宋" w:hAnsi="仿宋" w:eastAsia="仿宋"/>
          <w:sz w:val="32"/>
          <w:szCs w:val="32"/>
        </w:rPr>
      </w:pPr>
      <w:r>
        <w:rPr>
          <w:rFonts w:hint="eastAsia" w:ascii="仿宋" w:hAnsi="仿宋" w:eastAsia="仿宋"/>
          <w:sz w:val="32"/>
          <w:szCs w:val="32"/>
        </w:rPr>
        <w:t>各提案组下股东拥有的选举票数举例如下：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①选举非独立董事（如表一提案5，采用等额选举，应选人数为3位）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股东所拥有的选举票数=股东所代表的有表决权的股份总数×3</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股东可以将所拥有的选举票数在3 位</w:t>
      </w:r>
      <w:r>
        <w:rPr>
          <w:rFonts w:hint="eastAsia" w:ascii="仿宋" w:hAnsi="仿宋" w:eastAsia="仿宋"/>
          <w:sz w:val="32"/>
          <w:szCs w:val="32"/>
          <w:lang w:eastAsia="zh-CN"/>
        </w:rPr>
        <w:t>非</w:t>
      </w:r>
      <w:r>
        <w:rPr>
          <w:rFonts w:hint="eastAsia" w:ascii="仿宋" w:hAnsi="仿宋" w:eastAsia="仿宋"/>
          <w:sz w:val="32"/>
          <w:szCs w:val="32"/>
        </w:rPr>
        <w:t>独立董事候选人中任意分配，但投票总数不得超过其拥有的选举票数。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②选举</w:t>
      </w:r>
      <w:r>
        <w:rPr>
          <w:rFonts w:hint="eastAsia" w:ascii="仿宋" w:hAnsi="仿宋" w:eastAsia="仿宋"/>
          <w:sz w:val="32"/>
          <w:szCs w:val="32"/>
          <w:lang w:eastAsia="zh-CN"/>
        </w:rPr>
        <w:t>独立董事</w:t>
      </w:r>
      <w:r>
        <w:rPr>
          <w:rFonts w:hint="eastAsia" w:ascii="仿宋" w:hAnsi="仿宋" w:eastAsia="仿宋"/>
          <w:sz w:val="32"/>
          <w:szCs w:val="32"/>
        </w:rPr>
        <w:t>（如表一提案</w:t>
      </w:r>
      <w:r>
        <w:rPr>
          <w:rFonts w:hint="eastAsia" w:ascii="仿宋" w:hAnsi="仿宋" w:eastAsia="仿宋"/>
          <w:sz w:val="32"/>
          <w:szCs w:val="32"/>
          <w:lang w:val="en-US" w:eastAsia="zh-CN"/>
        </w:rPr>
        <w:t>8</w:t>
      </w:r>
      <w:r>
        <w:rPr>
          <w:rFonts w:hint="eastAsia" w:ascii="仿宋" w:hAnsi="仿宋" w:eastAsia="仿宋"/>
          <w:sz w:val="32"/>
          <w:szCs w:val="32"/>
        </w:rPr>
        <w:t>，采用差额选举，应选人数为</w:t>
      </w:r>
      <w:r>
        <w:rPr>
          <w:rFonts w:hint="default" w:ascii="仿宋" w:hAnsi="仿宋" w:eastAsia="仿宋"/>
          <w:sz w:val="32"/>
          <w:szCs w:val="32"/>
          <w:lang w:val="en-US"/>
        </w:rPr>
        <w:t>2</w:t>
      </w:r>
      <w:r>
        <w:rPr>
          <w:rFonts w:hint="eastAsia" w:ascii="仿宋" w:hAnsi="仿宋" w:eastAsia="仿宋"/>
          <w:sz w:val="32"/>
          <w:szCs w:val="32"/>
        </w:rPr>
        <w:t>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股东所拥有的选举票数=股东所代表的有表决权的股份总数×2</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股东可以在2位</w:t>
      </w:r>
      <w:r>
        <w:rPr>
          <w:rFonts w:hint="eastAsia" w:ascii="仿宋" w:hAnsi="仿宋" w:eastAsia="仿宋"/>
          <w:sz w:val="32"/>
          <w:szCs w:val="32"/>
          <w:lang w:eastAsia="zh-CN"/>
        </w:rPr>
        <w:t>独立董事</w:t>
      </w:r>
      <w:r>
        <w:rPr>
          <w:rFonts w:hint="eastAsia" w:ascii="仿宋" w:hAnsi="仿宋" w:eastAsia="仿宋"/>
          <w:sz w:val="32"/>
          <w:szCs w:val="32"/>
        </w:rPr>
        <w:t>候选人中将其拥有的选举票数任意分配，但投票总数不得超过其拥有的选举票数,所投人数不得超过2位。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股东对总议案进行投票，视为对除累积投票提案外的其他所有提案表达相同意见。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二、通过深交所交易系统投票的程序</w:t>
      </w:r>
    </w:p>
    <w:p>
      <w:pPr>
        <w:spacing w:line="560" w:lineRule="exact"/>
        <w:ind w:firstLine="640" w:firstLineChars="200"/>
        <w:rPr>
          <w:rFonts w:ascii="仿宋" w:hAnsi="仿宋" w:eastAsia="仿宋"/>
          <w:b/>
          <w:bCs/>
          <w:sz w:val="32"/>
          <w:szCs w:val="32"/>
        </w:rPr>
      </w:pPr>
      <w:r>
        <w:rPr>
          <w:rFonts w:hint="eastAsia" w:ascii="仿宋" w:hAnsi="仿宋" w:eastAsia="仿宋"/>
          <w:sz w:val="32"/>
          <w:szCs w:val="32"/>
        </w:rPr>
        <w:t>1. 投票时间：  年  月  日的交易时间，即9:15—9：25，9：30—11:30 和13:00—15:00。</w:t>
      </w:r>
    </w:p>
    <w:p>
      <w:pPr>
        <w:spacing w:line="560" w:lineRule="exact"/>
        <w:ind w:firstLine="640" w:firstLineChars="200"/>
        <w:rPr>
          <w:rFonts w:ascii="仿宋" w:hAnsi="仿宋" w:eastAsia="仿宋"/>
          <w:b/>
          <w:bCs/>
          <w:sz w:val="32"/>
          <w:szCs w:val="32"/>
        </w:rPr>
      </w:pPr>
      <w:r>
        <w:rPr>
          <w:rFonts w:hint="eastAsia" w:ascii="仿宋" w:hAnsi="仿宋" w:eastAsia="仿宋"/>
          <w:sz w:val="32"/>
          <w:szCs w:val="32"/>
        </w:rPr>
        <w:t>2. 股东可以登录证券公司交易客户端通过交易系统投票。</w:t>
      </w: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b/>
          <w:bCs/>
          <w:sz w:val="32"/>
          <w:szCs w:val="32"/>
          <w:lang w:eastAsia="zh-CN"/>
        </w:rPr>
        <w:t>、</w:t>
      </w:r>
      <w:r>
        <w:rPr>
          <w:rFonts w:hint="eastAsia" w:ascii="仿宋" w:hAnsi="仿宋" w:eastAsia="仿宋"/>
          <w:b/>
          <w:bCs/>
          <w:sz w:val="32"/>
          <w:szCs w:val="32"/>
        </w:rPr>
        <w:t>通过深交所互联网投票系统投票的程序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互联网投票系统开始投票的时间为  年  月  日（现场会议召开当日），9:15—15:00。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股东通过互联网投票系统进行网络投票，需按照《深圳证券交易所</w:t>
      </w:r>
      <w:r>
        <w:rPr>
          <w:rFonts w:hint="eastAsia" w:ascii="仿宋" w:hAnsi="仿宋" w:eastAsia="仿宋" w:cs="仿宋"/>
          <w:sz w:val="32"/>
          <w:szCs w:val="32"/>
          <w:lang w:eastAsia="zh-CN"/>
        </w:rPr>
        <w:t>上市公司股东会网络投票实施细则</w:t>
      </w:r>
      <w:r>
        <w:rPr>
          <w:rFonts w:hint="eastAsia" w:ascii="仿宋" w:hAnsi="仿宋" w:eastAsia="仿宋" w:cs="仿宋"/>
          <w:sz w:val="32"/>
          <w:szCs w:val="32"/>
        </w:rPr>
        <w:t>》的规定办理身份认证，取得“深交所数字证书”或“深交所投资者服务密码”。具体的身份认证流程可登录互联网投票系统</w:t>
      </w:r>
      <w:r>
        <w:fldChar w:fldCharType="begin"/>
      </w:r>
      <w:r>
        <w:instrText xml:space="preserve"> HYPERLINK "http://wltp.cninfo.com.cn/" </w:instrText>
      </w:r>
      <w:r>
        <w:fldChar w:fldCharType="separate"/>
      </w:r>
      <w:r>
        <w:rPr>
          <w:rStyle w:val="33"/>
          <w:rFonts w:hint="eastAsia" w:ascii="仿宋" w:hAnsi="仿宋" w:eastAsia="仿宋" w:cs="仿宋"/>
          <w:color w:val="auto"/>
          <w:sz w:val="32"/>
          <w:szCs w:val="32"/>
          <w:u w:val="none"/>
        </w:rPr>
        <w:t>http://wltp.cninfo.com.cn</w:t>
      </w:r>
      <w:r>
        <w:rPr>
          <w:rStyle w:val="33"/>
          <w:rFonts w:hint="eastAsia" w:ascii="仿宋" w:hAnsi="仿宋" w:eastAsia="仿宋" w:cs="仿宋"/>
          <w:color w:val="auto"/>
          <w:sz w:val="32"/>
          <w:szCs w:val="32"/>
          <w:u w:val="none"/>
        </w:rPr>
        <w:fldChar w:fldCharType="end"/>
      </w:r>
      <w:r>
        <w:rPr>
          <w:rFonts w:hint="eastAsia" w:ascii="仿宋" w:hAnsi="仿宋" w:eastAsia="仿宋" w:cs="仿宋"/>
          <w:sz w:val="32"/>
          <w:szCs w:val="32"/>
        </w:rPr>
        <w:t>规则指引栏目查阅。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3.股东根据获取的服务密码或数字证书，可登录</w:t>
      </w:r>
      <w:r>
        <w:fldChar w:fldCharType="begin"/>
      </w:r>
      <w:r>
        <w:instrText xml:space="preserve"> HYPERLINK "http://wltp.cninfo.com.cn/" </w:instrText>
      </w:r>
      <w:r>
        <w:fldChar w:fldCharType="separate"/>
      </w:r>
      <w:r>
        <w:rPr>
          <w:rStyle w:val="33"/>
          <w:rFonts w:hint="eastAsia" w:ascii="仿宋" w:hAnsi="仿宋" w:eastAsia="仿宋" w:cs="仿宋"/>
          <w:color w:val="auto"/>
          <w:sz w:val="32"/>
          <w:szCs w:val="32"/>
          <w:u w:val="none"/>
        </w:rPr>
        <w:t>http://wltp.cninfo.com.cn</w:t>
      </w:r>
      <w:r>
        <w:rPr>
          <w:rStyle w:val="33"/>
          <w:rFonts w:hint="eastAsia" w:ascii="仿宋" w:hAnsi="仿宋" w:eastAsia="仿宋" w:cs="仿宋"/>
          <w:color w:val="auto"/>
          <w:sz w:val="32"/>
          <w:szCs w:val="32"/>
          <w:u w:val="none"/>
        </w:rPr>
        <w:fldChar w:fldCharType="end"/>
      </w:r>
      <w:r>
        <w:rPr>
          <w:rFonts w:hint="eastAsia" w:ascii="仿宋" w:hAnsi="仿宋" w:eastAsia="仿宋" w:cs="仿宋"/>
          <w:sz w:val="32"/>
          <w:szCs w:val="32"/>
        </w:rPr>
        <w:t>在规定时间内通过深交所互联网投票系统进行投票。</w:t>
      </w:r>
    </w:p>
    <w:p>
      <w:pPr>
        <w:widowControl/>
        <w:spacing w:line="360" w:lineRule="auto"/>
        <w:ind w:left="480"/>
        <w:jc w:val="left"/>
        <w:rPr>
          <w:rFonts w:ascii="仿宋" w:hAnsi="仿宋" w:eastAsia="仿宋"/>
          <w:sz w:val="28"/>
          <w:szCs w:val="28"/>
        </w:rPr>
      </w:pPr>
    </w:p>
    <w:p>
      <w:pPr>
        <w:widowControl/>
        <w:jc w:val="left"/>
        <w:rPr>
          <w:rFonts w:ascii="黑体" w:hAnsi="黑体" w:eastAsia="黑体"/>
          <w:sz w:val="32"/>
          <w:szCs w:val="32"/>
        </w:rPr>
      </w:pPr>
      <w:r>
        <w:rPr>
          <w:rFonts w:hint="eastAsia" w:ascii="仿宋" w:hAnsi="仿宋" w:eastAsia="仿宋"/>
          <w:sz w:val="24"/>
        </w:rPr>
        <w:br w:type="page"/>
      </w:r>
      <w:r>
        <w:rPr>
          <w:rFonts w:hint="eastAsia" w:ascii="黑体" w:hAnsi="黑体" w:eastAsia="黑体"/>
          <w:sz w:val="32"/>
          <w:szCs w:val="32"/>
        </w:rPr>
        <w:t>附件2</w:t>
      </w:r>
    </w:p>
    <w:p>
      <w:pPr>
        <w:widowControl/>
        <w:jc w:val="left"/>
        <w:rPr>
          <w:rFonts w:ascii="黑体" w:hAnsi="黑体" w:eastAsia="黑体"/>
          <w:sz w:val="32"/>
          <w:szCs w:val="32"/>
        </w:rPr>
      </w:pPr>
    </w:p>
    <w:p>
      <w:pPr>
        <w:adjustRightInd w:val="0"/>
        <w:snapToGrid w:val="0"/>
        <w:jc w:val="center"/>
        <w:rPr>
          <w:rFonts w:eastAsia="方正小标宋简体"/>
          <w:bCs/>
          <w:sz w:val="44"/>
          <w:szCs w:val="44"/>
        </w:rPr>
      </w:pPr>
      <w:r>
        <w:rPr>
          <w:rFonts w:hint="eastAsia" w:eastAsia="方正小标宋简体"/>
          <w:bCs/>
          <w:sz w:val="44"/>
          <w:szCs w:val="44"/>
        </w:rPr>
        <w:t>授权委托书</w:t>
      </w:r>
    </w:p>
    <w:p>
      <w:pPr>
        <w:spacing w:line="360" w:lineRule="auto"/>
        <w:ind w:firstLine="560" w:firstLineChars="200"/>
        <w:jc w:val="left"/>
        <w:rPr>
          <w:rFonts w:ascii="仿宋" w:hAnsi="仿宋" w:eastAsia="仿宋"/>
          <w:sz w:val="28"/>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委托人</w:t>
      </w:r>
      <w:r>
        <w:rPr>
          <w:rFonts w:hint="eastAsia" w:ascii="仿宋" w:hAnsi="仿宋" w:eastAsia="仿宋"/>
          <w:sz w:val="32"/>
          <w:szCs w:val="32"/>
          <w:lang w:eastAsia="zh-CN"/>
        </w:rPr>
        <w:t>姓名或者</w:t>
      </w:r>
      <w:r>
        <w:rPr>
          <w:rFonts w:hint="eastAsia" w:ascii="仿宋" w:hAnsi="仿宋" w:eastAsia="仿宋"/>
          <w:sz w:val="32"/>
          <w:szCs w:val="32"/>
        </w:rPr>
        <w:t>名称、持有上市公司股份的</w:t>
      </w:r>
      <w:r>
        <w:rPr>
          <w:rFonts w:hint="eastAsia" w:ascii="仿宋" w:hAnsi="仿宋" w:eastAsia="仿宋"/>
          <w:sz w:val="32"/>
          <w:szCs w:val="32"/>
          <w:lang w:eastAsia="zh-CN"/>
        </w:rPr>
        <w:t>类别</w:t>
      </w:r>
      <w:r>
        <w:rPr>
          <w:rFonts w:hint="eastAsia" w:ascii="仿宋" w:hAnsi="仿宋" w:eastAsia="仿宋"/>
          <w:sz w:val="32"/>
          <w:szCs w:val="32"/>
        </w:rPr>
        <w:t>和数量。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受托人姓名</w:t>
      </w:r>
      <w:r>
        <w:rPr>
          <w:rFonts w:hint="eastAsia" w:ascii="仿宋" w:hAnsi="仿宋" w:eastAsia="仿宋"/>
          <w:sz w:val="32"/>
          <w:szCs w:val="32"/>
          <w:lang w:eastAsia="zh-CN"/>
        </w:rPr>
        <w:t>或者名称</w:t>
      </w:r>
      <w:r>
        <w:rPr>
          <w:rFonts w:hint="eastAsia" w:ascii="仿宋" w:hAnsi="仿宋" w:eastAsia="仿宋"/>
          <w:sz w:val="32"/>
          <w:szCs w:val="32"/>
        </w:rPr>
        <w:t>、身份证号码</w:t>
      </w:r>
      <w:r>
        <w:rPr>
          <w:rFonts w:hint="eastAsia" w:ascii="仿宋" w:hAnsi="仿宋" w:eastAsia="仿宋"/>
          <w:sz w:val="32"/>
          <w:szCs w:val="32"/>
          <w:lang w:eastAsia="zh-CN"/>
        </w:rPr>
        <w:t>或者统一社会信用代码</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对本次股东会提案的明确投票意见指示（可按下表格式列示）。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授权委托书签发日期和有效期限。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委托人签名（或盖章）；委托人为法人的，应当加盖单位印章。</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本次股东会提案表决意见示例表</w:t>
      </w: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302"/>
        <w:gridCol w:w="1769"/>
        <w:gridCol w:w="937"/>
        <w:gridCol w:w="93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38" w:type="dxa"/>
            <w:vMerge w:val="restart"/>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提案编码</w:t>
            </w:r>
          </w:p>
        </w:tc>
        <w:tc>
          <w:tcPr>
            <w:tcW w:w="2302" w:type="dxa"/>
            <w:vMerge w:val="restart"/>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提案名称</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备注</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同意</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反对</w:t>
            </w: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23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sz w:val="24"/>
                <w:szCs w:val="24"/>
              </w:rPr>
              <w:t>该列打勾的栏目可以投票</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总议案：除累积投票提案外的所有提案</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提案1（如聘请会计师事务所）</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提案2（如仅补选一位公司董事）</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提案3需逐项表决</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w:t>
            </w:r>
            <w:r>
              <w:rPr>
                <w:rFonts w:hint="eastAsia" w:ascii="仿宋" w:hAnsi="仿宋" w:eastAsia="仿宋"/>
                <w:sz w:val="24"/>
                <w:szCs w:val="24"/>
                <w:lang w:val="en-US" w:eastAsia="zh-CN"/>
              </w:rPr>
              <w:t>2</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含有多级子议案的提案4需逐项</w:t>
            </w:r>
          </w:p>
          <w:p>
            <w:pPr>
              <w:jc w:val="left"/>
              <w:rPr>
                <w:rFonts w:ascii="仿宋" w:hAnsi="仿宋" w:eastAsia="仿宋"/>
                <w:sz w:val="24"/>
                <w:szCs w:val="24"/>
              </w:rPr>
            </w:pPr>
            <w:r>
              <w:rPr>
                <w:rFonts w:hint="eastAsia" w:ascii="仿宋" w:hAnsi="仿宋" w:eastAsia="仿宋"/>
                <w:sz w:val="24"/>
                <w:szCs w:val="24"/>
              </w:rPr>
              <w:t>表决</w:t>
            </w:r>
          </w:p>
        </w:tc>
        <w:tc>
          <w:tcPr>
            <w:tcW w:w="4505" w:type="dxa"/>
            <w:gridSpan w:val="4"/>
            <w:tcBorders>
              <w:top w:val="single" w:color="auto" w:sz="4" w:space="0"/>
              <w:left w:val="single" w:color="auto" w:sz="4" w:space="0"/>
              <w:bottom w:val="single" w:color="auto" w:sz="4" w:space="0"/>
              <w:right w:val="single" w:color="auto" w:sz="4" w:space="0"/>
            </w:tcBorders>
          </w:tcPr>
          <w:p>
            <w:pPr>
              <w:ind w:firstLine="120" w:firstLineChars="50"/>
              <w:jc w:val="left"/>
              <w:rPr>
                <w:rFonts w:ascii="仿宋" w:hAnsi="仿宋" w:eastAsia="仿宋"/>
                <w:sz w:val="24"/>
                <w:szCs w:val="24"/>
              </w:rPr>
            </w:pPr>
            <w:r>
              <w:rPr>
                <w:rFonts w:hint="eastAsia" w:ascii="仿宋" w:hAnsi="仿宋" w:eastAsia="仿宋"/>
                <w:sz w:val="24"/>
                <w:szCs w:val="24"/>
              </w:rPr>
              <w:t>√  作为投票对象的子议案数：5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二级子议案02之三级子议案02</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4.04</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4.05</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采用等额选举，填报投给候选人的选举票数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采用差额选举，填报投给候选人的选举票数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w:t>
            </w:r>
            <w:r>
              <w:rPr>
                <w:rFonts w:hint="eastAsia" w:ascii="仿宋" w:hAnsi="仿宋" w:eastAsia="仿宋"/>
                <w:sz w:val="24"/>
                <w:szCs w:val="24"/>
                <w:lang w:val="en-US" w:eastAsia="zh-CN"/>
              </w:rPr>
              <w:t>2</w:t>
            </w:r>
            <w:r>
              <w:rPr>
                <w:rFonts w:hint="eastAsia" w:ascii="仿宋" w:hAnsi="仿宋" w:eastAsia="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8.03</w:t>
            </w:r>
          </w:p>
        </w:tc>
        <w:tc>
          <w:tcPr>
            <w:tcW w:w="2302"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eastAsia="zh-CN"/>
              </w:rPr>
              <w:t>独立董事</w:t>
            </w:r>
            <w:r>
              <w:rPr>
                <w:rFonts w:hint="eastAsia" w:ascii="仿宋" w:hAnsi="仿宋" w:eastAsia="仿宋"/>
                <w:sz w:val="24"/>
                <w:szCs w:val="24"/>
                <w:lang w:val="en-US" w:eastAsia="zh-CN"/>
              </w:rPr>
              <w:t>F</w:t>
            </w:r>
          </w:p>
        </w:tc>
        <w:tc>
          <w:tcPr>
            <w:tcW w:w="1769" w:type="dxa"/>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sz w:val="24"/>
                <w:szCs w:val="24"/>
                <w:lang w:eastAsia="zh-CN"/>
              </w:rPr>
            </w:pPr>
            <w:r>
              <w:rPr>
                <w:rFonts w:hint="eastAsia" w:ascii="仿宋" w:hAnsi="仿宋" w:eastAsia="仿宋"/>
                <w:sz w:val="24"/>
                <w:szCs w:val="24"/>
                <w:lang w:eastAsia="zh-CN"/>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互斥提案</w:t>
            </w:r>
          </w:p>
        </w:tc>
        <w:tc>
          <w:tcPr>
            <w:tcW w:w="6807" w:type="dxa"/>
            <w:gridSpan w:val="5"/>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不得对提案11与提案12同时投同意票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bl>
    <w:p>
      <w:pPr>
        <w:keepNext/>
        <w:keepLines/>
        <w:spacing w:line="560" w:lineRule="exact"/>
        <w:jc w:val="center"/>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sectPr>
          <w:footerReference r:id="rId4" w:type="default"/>
          <w:footerReference r:id="rId5" w:type="even"/>
          <w:pgSz w:w="11906" w:h="16838"/>
          <w:pgMar w:top="1440" w:right="1274" w:bottom="1440" w:left="1797" w:header="851" w:footer="992" w:gutter="0"/>
          <w:cols w:space="720" w:num="1"/>
          <w:formProt w:val="1"/>
          <w:docGrid w:type="linesAndChars" w:linePitch="516" w:charSpace="0"/>
        </w:sectPr>
      </w:pPr>
    </w:p>
    <w:p>
      <w:pPr>
        <w:keepNext/>
        <w:keepLines/>
        <w:spacing w:line="560" w:lineRule="exact"/>
        <w:jc w:val="center"/>
        <w:outlineLvl w:val="2"/>
        <w:rPr>
          <w:rFonts w:ascii="方正小标宋简体" w:hAnsi="仿宋" w:eastAsia="方正小标宋简体"/>
          <w:kern w:val="44"/>
          <w:sz w:val="44"/>
          <w:szCs w:val="44"/>
        </w:rPr>
      </w:pPr>
      <w:bookmarkStart w:id="12" w:name="_Toc164973698"/>
      <w:bookmarkStart w:id="13" w:name="_Toc10242"/>
      <w:bookmarkStart w:id="14" w:name="_Toc30176"/>
      <w:r>
        <w:rPr>
          <w:rFonts w:hint="eastAsia" w:ascii="方正小标宋简体" w:hAnsi="仿宋" w:eastAsia="方正小标宋简体"/>
          <w:kern w:val="44"/>
          <w:sz w:val="44"/>
          <w:szCs w:val="44"/>
        </w:rPr>
        <w:t>第5号 上市公司股东会决议公告格式</w:t>
      </w:r>
      <w:bookmarkEnd w:id="12"/>
      <w:bookmarkEnd w:id="13"/>
      <w:bookmarkEnd w:id="14"/>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26"/>
        <w:jc w:val="center"/>
        <w:rPr>
          <w:rFonts w:ascii="仿宋" w:hAnsi="仿宋" w:eastAsia="仿宋"/>
          <w:sz w:val="32"/>
          <w:szCs w:val="32"/>
        </w:rPr>
      </w:pPr>
      <w:r>
        <w:rPr>
          <w:rFonts w:hint="eastAsia" w:ascii="仿宋" w:hAnsi="仿宋" w:eastAsia="仿宋"/>
          <w:sz w:val="32"/>
          <w:szCs w:val="32"/>
        </w:rPr>
        <w:t>XXXXXX股份有限公司XXXX年度股东会或XXXX年第X次临时股东会决议公告</w:t>
      </w:r>
    </w:p>
    <w:p>
      <w:pPr>
        <w:autoSpaceDE w:val="0"/>
        <w:autoSpaceDN w:val="0"/>
        <w:adjustRightInd w:val="0"/>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34290</wp:posOffset>
                </wp:positionV>
                <wp:extent cx="5715000" cy="1628775"/>
                <wp:effectExtent l="4445" t="5080" r="14605" b="4445"/>
                <wp:wrapNone/>
                <wp:docPr id="120" name="矩形 120"/>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2.7pt;height:128.25pt;width:450pt;z-index:251679744;mso-width-relative:page;mso-height-relative:page;" fillcolor="#FFFFFF" filled="t" stroked="t" coordsize="21600,21600" o:gfxdata="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XX7Lw2AAAAAkBAAAPAAAAAAAAAAEAIAAAACIA&#10;AABkcnMvZG93bnJldi54bWxQSwECFAAUAAAACACHTuJA+v9KGE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b/>
          <w:sz w:val="32"/>
          <w:szCs w:val="32"/>
        </w:rPr>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特别提示：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本次股东会是否出现否决议案的情形。如是，应提示本次股东会否决的议案名称。</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本次股东会是否涉及变更以往股东会已通过的决议。如是，应提示两次股东会涉及相关提案的名称，并索引前次股东会决议的披露时间、披露媒体和公告名称。</w:t>
      </w: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一、会议召开和出席情况</w:t>
      </w:r>
    </w:p>
    <w:p>
      <w:pPr>
        <w:tabs>
          <w:tab w:val="left" w:pos="16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说明会议召开的时间、地点、方式、召集人和主持人，说明本次会议是否符合有关法律法规和公司章程的规定。</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说明出席现场会议的股东及股东授权委托代表人数，代表股份数量，占公司有表决权股份总数（上市公司已发行有表决权股份数+上市公司恢复的优先股经换算所对应的普通股总数）的比例；说明通过网络投票出席会议的股东人数，代表股份数量及占公司有表决权股份总数的比例。存在征集表决权事项的，说明征集到的股东人数、表决权股份数量与比例；出席股东存在《证券法》规定的不得行使表决权的股份的，属于上市公司已发行的普通股总数，但不得计入出席会议股东的代表股份数量。</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同时有证券在境外证券交易所上市的公司，应当说明出席会议的内资</w:t>
      </w:r>
      <w:r>
        <w:rPr>
          <w:rFonts w:hint="eastAsia" w:ascii="仿宋" w:hAnsi="仿宋" w:eastAsia="仿宋"/>
          <w:sz w:val="32"/>
          <w:szCs w:val="32"/>
          <w:lang w:eastAsia="zh-CN"/>
        </w:rPr>
        <w:t>股</w:t>
      </w:r>
      <w:r>
        <w:rPr>
          <w:rFonts w:hint="eastAsia" w:ascii="仿宋" w:hAnsi="仿宋" w:eastAsia="仿宋"/>
          <w:sz w:val="32"/>
          <w:szCs w:val="32"/>
        </w:rPr>
        <w:t>股东、外资</w:t>
      </w:r>
      <w:r>
        <w:rPr>
          <w:rFonts w:hint="eastAsia" w:ascii="仿宋" w:hAnsi="仿宋" w:eastAsia="仿宋"/>
          <w:sz w:val="32"/>
          <w:szCs w:val="32"/>
          <w:lang w:eastAsia="zh-CN"/>
        </w:rPr>
        <w:t>股</w:t>
      </w:r>
      <w:r>
        <w:rPr>
          <w:rFonts w:hint="eastAsia" w:ascii="仿宋" w:hAnsi="仿宋" w:eastAsia="仿宋"/>
          <w:sz w:val="32"/>
          <w:szCs w:val="32"/>
        </w:rPr>
        <w:t>股东及股东授权委托代表人数，代表股份数量，占公司有表决权股份总数的比例。</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出席会议的股东如包含表决权恢复的优先股股东的，应当另行说明优先股股东出席会议的人数、经换算所对应的普通股股数及占公司有表决权股份总数的比例。同时拥有普通股和优先股的股东其所持股份比例=（股东所持普通股的股数+股东所持表决权恢复的优先股经换算所对应的普通股总数）/（上市公司已发行普通股总数+上市公司已发行的表决权恢复的优先股经换算所对应的普通股总数）。</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出席会议的股东如包含持有特别表决权股东，应当说明持有特别表决权股东人数、特别表决权股东所持有表决权数量（每份特别表决权股份的表决权数量为：XX），占公司表决权的比例。</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说明公司董事、高级管理人员、律师、保荐代表人出席或列席股东会情况。</w:t>
      </w: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二、议案审议表决情况</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说明议案的表决方式。说明本次股东会议案采用现场表决、网络投票等表决方式的情况。</w:t>
      </w:r>
    </w:p>
    <w:p>
      <w:pPr>
        <w:tabs>
          <w:tab w:val="left" w:pos="108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逐一说明每项议案（只需列举所审议案的名称，无需重复披露所审议案的具体内容）的表决结果（鼓励采用列表等简明方式进行披露）。说明每项议案同意、反对、弃权的有表决权的股份数、占出席本次股东会有效表决权股份总数的比例</w:t>
      </w:r>
      <w:r>
        <w:rPr>
          <w:rFonts w:hint="eastAsia" w:ascii="仿宋" w:hAnsi="仿宋" w:eastAsia="仿宋"/>
          <w:color w:val="000000"/>
          <w:sz w:val="32"/>
          <w:szCs w:val="32"/>
        </w:rPr>
        <w:t>（包含表决权恢复的优先股股份经换算所对应的股份数量及比例）</w:t>
      </w:r>
      <w:r>
        <w:rPr>
          <w:rFonts w:hint="eastAsia" w:ascii="仿宋" w:hAnsi="仿宋" w:eastAsia="仿宋"/>
          <w:sz w:val="32"/>
          <w:szCs w:val="32"/>
        </w:rPr>
        <w:t>以及议案是否获得通过。说明出席股东存在《证券法》规定的不得行使表决权的股份数量，且未计入表决结果。</w:t>
      </w:r>
    </w:p>
    <w:p>
      <w:pPr>
        <w:tabs>
          <w:tab w:val="left" w:pos="108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涉及逐项表决的议案，应披露每个子议案逐项表决的结果；涉及以特别决议通过的议案，应说明该项议案是否获得有效表决权股份总数的2/3以上通过；涉及分类表决的议案，应单独说明类别股东的表决情况和表决结果；对影响中小投资者利益的重大事项议案，应单独说明中小股东（除公司董事、高级管理人员以及单独或合计持有公司5%以上股份的股东以外的其他股东）对该议案的表决情况和表决结果；涉及关联交易事项的，应说明关联股东名称、存在的关联关系、所持表决权股份数量及其回避表决情况；涉及用累积投票方式选举两名以上非独立董事、独立董事的议案，应说明每名候选人所获得的选举票数、占出席本次股东会有效表决权股份总数的比例以及是否当选。</w:t>
      </w:r>
    </w:p>
    <w:p>
      <w:pPr>
        <w:tabs>
          <w:tab w:val="left" w:pos="108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涉及分多个议案进行表决而其中部分议案未获通过或者议案需进行逐项表决而子议案中有部分未获通过的，应披露该事项整体上是否认定为表决通过及其理由。发行</w:t>
      </w:r>
      <w:r>
        <w:rPr>
          <w:rFonts w:hint="eastAsia" w:ascii="仿宋" w:hAnsi="仿宋" w:eastAsia="仿宋"/>
          <w:sz w:val="32"/>
          <w:szCs w:val="32"/>
          <w:highlight w:val="none"/>
        </w:rPr>
        <w:t>优先</w:t>
      </w:r>
      <w:r>
        <w:rPr>
          <w:rFonts w:hint="eastAsia" w:ascii="仿宋" w:hAnsi="仿宋" w:eastAsia="仿宋"/>
          <w:sz w:val="32"/>
          <w:szCs w:val="32"/>
        </w:rPr>
        <w:t>股的公司如就证监会《上市公司股东会规则》</w:t>
      </w:r>
      <w:r>
        <w:rPr>
          <w:rFonts w:hint="eastAsia" w:ascii="仿宋" w:hAnsi="仿宋" w:eastAsia="仿宋"/>
          <w:sz w:val="32"/>
          <w:szCs w:val="32"/>
          <w:highlight w:val="none"/>
        </w:rPr>
        <w:t>第二十</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条第二款</w:t>
      </w:r>
      <w:r>
        <w:rPr>
          <w:rFonts w:hint="eastAsia" w:ascii="仿宋" w:hAnsi="仿宋" w:eastAsia="仿宋"/>
          <w:sz w:val="32"/>
          <w:szCs w:val="32"/>
        </w:rPr>
        <w:t>所列情形进行表决的，应当分别披露普通股股东（含表决权恢复的优先股股东）和</w:t>
      </w:r>
      <w:r>
        <w:rPr>
          <w:rFonts w:hint="eastAsia" w:ascii="仿宋" w:hAnsi="仿宋" w:eastAsia="仿宋"/>
          <w:sz w:val="32"/>
          <w:szCs w:val="32"/>
          <w:highlight w:val="none"/>
        </w:rPr>
        <w:t>优先</w:t>
      </w:r>
      <w:r>
        <w:rPr>
          <w:rFonts w:hint="eastAsia" w:ascii="仿宋" w:hAnsi="仿宋" w:eastAsia="仿宋"/>
          <w:sz w:val="32"/>
          <w:szCs w:val="32"/>
        </w:rPr>
        <w:t>股股东（不含表决权恢复的优先股股东）的表决情况。</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同时有证券在境外证券交易所上市的公司，还应分别说明内资股股东和外资股股东的表决情况。</w:t>
      </w:r>
    </w:p>
    <w:p>
      <w:pPr>
        <w:pStyle w:val="2"/>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三、律师出具的法律意见</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说明见证本次股东会的律师事务所、两名律师名称及出具的结论性意见。法律意见书的结论性意见应包括律师就本次股东会的召集召开程序的合法性、召集人和出席会议人员资格的合法有效性以及表决程序、表决结果的合法有效性所出具的明确意见，不得使用“基本符合”、“未发现”等含糊措辞。</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律师应在法律意见书中说明股东出席、关联股东回避和各议案的表决情况，包括出席本次股东会的股东及股东授权委托代表人数（包含表决权恢复的优先股股东），代表股份数量（包含表决权恢复的优先股股份经换算所对应的股份数量），每项议案获得的同意、反对、弃权的股份数、占出席会议有效表决权股份总数比例（包含表决权恢复的优先股股份经换算所对应的股份数量所占比例）以及议案是否获得通过。涉及累积投票的议案，应说明每名候选人所获得的选举票数、占出席会议有效表决权股份总数的比例以及是否当选等。出席股东存在《证券法》规定的不得行使表决权的股份的，应说明该部分股份数量且未计入出席会议股东的代表股份数量、未计入表决结果。</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股东会出现否决议案的，应在本所网站和符合证监会规定条件的媒体（以下简称符合条件媒体）披露法律意见书的全文。</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设置表决权差异安排的公司，法律意见书中还应说明持有特别表决权股份的股东出席情况、所持特别表决权股份数量及对应的表决权数量及持有特别表决权股份的股东的投票情况等。</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股东会存在征集表决权、征集提案权事项的，律师还应当就以下事项出具的法律意见书：</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征集人自征集日至行权日期间是否符合征集条件；</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征集程序及行权结果是否合法合规；</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涉及征集提案权的，征集结果是否满足临时提案的持股比例要求；</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 其他应征集人或本所要求说明的事项。</w:t>
      </w:r>
    </w:p>
    <w:p>
      <w:pPr>
        <w:spacing w:line="560" w:lineRule="exact"/>
        <w:ind w:firstLine="640" w:firstLineChars="200"/>
        <w:rPr>
          <w:rFonts w:ascii="仿宋" w:hAnsi="仿宋" w:eastAsia="仿宋"/>
          <w:sz w:val="32"/>
          <w:szCs w:val="32"/>
        </w:rPr>
      </w:pPr>
    </w:p>
    <w:p>
      <w:pPr>
        <w:spacing w:line="560" w:lineRule="exact"/>
        <w:ind w:left="4250" w:firstLine="14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80"/>
        <w:rPr>
          <w:rFonts w:hint="eastAsia" w:ascii="仿宋" w:hAnsi="仿宋" w:eastAsia="仿宋"/>
          <w:sz w:val="32"/>
          <w:szCs w:val="32"/>
        </w:rPr>
      </w:pPr>
      <w:r>
        <w:rPr>
          <w:rFonts w:hint="eastAsia" w:ascii="仿宋" w:hAnsi="仿宋" w:eastAsia="仿宋"/>
          <w:sz w:val="32"/>
          <w:szCs w:val="32"/>
        </w:rPr>
        <w:t>XXXX年XX月XX日</w:t>
      </w:r>
    </w:p>
    <w:p>
      <w:pPr>
        <w:autoSpaceDE w:val="0"/>
        <w:autoSpaceDN w:val="0"/>
        <w:adjustRightInd w:val="0"/>
        <w:spacing w:line="560" w:lineRule="exact"/>
        <w:ind w:firstLine="640" w:firstLineChars="200"/>
        <w:rPr>
          <w:rFonts w:hint="eastAsia" w:ascii="仿宋" w:hAnsi="仿宋" w:eastAsia="仿宋"/>
          <w:b/>
          <w:sz w:val="32"/>
          <w:szCs w:val="32"/>
        </w:rPr>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备查文件</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经与会董事和记录人签字确认并加盖董事会印章的股东会决议；</w:t>
      </w:r>
    </w:p>
    <w:p>
      <w:pPr>
        <w:autoSpaceDE w:val="0"/>
        <w:autoSpaceDN w:val="0"/>
        <w:adjustRightInd w:val="0"/>
        <w:spacing w:line="560" w:lineRule="exact"/>
        <w:ind w:firstLine="640" w:firstLineChars="200"/>
        <w:rPr>
          <w:rFonts w:hint="eastAsia" w:ascii="仿宋" w:hAnsi="仿宋" w:eastAsia="仿宋"/>
          <w:sz w:val="32"/>
          <w:szCs w:val="32"/>
          <w:lang w:eastAsia="zh"/>
        </w:rPr>
      </w:pPr>
      <w:r>
        <w:rPr>
          <w:rFonts w:hint="eastAsia" w:ascii="仿宋" w:hAnsi="仿宋" w:eastAsia="仿宋"/>
          <w:sz w:val="32"/>
          <w:szCs w:val="32"/>
        </w:rPr>
        <w:t>2. 法律意见书</w:t>
      </w:r>
      <w:r>
        <w:rPr>
          <w:rFonts w:hint="eastAsia" w:ascii="仿宋" w:hAnsi="仿宋" w:eastAsia="仿宋"/>
          <w:sz w:val="32"/>
          <w:szCs w:val="32"/>
          <w:lang w:eastAsia="zh"/>
        </w:rPr>
        <w:t>。</w:t>
      </w:r>
    </w:p>
    <w:p>
      <w:pPr>
        <w:pStyle w:val="2"/>
      </w:pPr>
    </w:p>
    <w:p>
      <w:pPr>
        <w:widowControl/>
        <w:jc w:val="left"/>
        <w:rPr>
          <w:rFonts w:ascii="方正小标宋简体" w:hAnsi="仿宋" w:eastAsia="方正小标宋简体"/>
          <w:kern w:val="44"/>
          <w:sz w:val="44"/>
          <w:szCs w:val="4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keepNext/>
        <w:keepLines/>
        <w:spacing w:line="560" w:lineRule="exact"/>
        <w:jc w:val="center"/>
        <w:outlineLvl w:val="2"/>
        <w:rPr>
          <w:rFonts w:ascii="方正小标宋简体" w:hAnsi="仿宋" w:eastAsia="方正小标宋简体"/>
          <w:kern w:val="44"/>
          <w:sz w:val="44"/>
          <w:szCs w:val="44"/>
        </w:rPr>
      </w:pPr>
      <w:bookmarkStart w:id="15" w:name="_Toc16912"/>
      <w:bookmarkStart w:id="16" w:name="_Toc21464"/>
      <w:bookmarkStart w:id="17" w:name="_Toc164973699"/>
      <w:r>
        <w:rPr>
          <w:rFonts w:hint="eastAsia" w:ascii="方正小标宋简体" w:hAnsi="仿宋" w:eastAsia="方正小标宋简体"/>
          <w:kern w:val="44"/>
          <w:sz w:val="44"/>
          <w:szCs w:val="44"/>
        </w:rPr>
        <w:t>第6号 上市公司对外（含委托）投资公告格式</w:t>
      </w:r>
      <w:bookmarkEnd w:id="15"/>
      <w:bookmarkEnd w:id="16"/>
      <w:bookmarkEnd w:id="17"/>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XXXXXX股份有限公司对外（委托）投资公告</w:t>
      </w:r>
    </w:p>
    <w:p>
      <w:pPr>
        <w:autoSpaceDE w:val="0"/>
        <w:autoSpaceDN w:val="0"/>
        <w:adjustRightInd w:val="0"/>
        <w:spacing w:line="360" w:lineRule="auto"/>
        <w:jc w:val="center"/>
        <w:rPr>
          <w:rFonts w:ascii="仿宋" w:hAnsi="仿宋" w:eastAsia="仿宋"/>
          <w:color w:val="000000"/>
          <w:sz w:val="28"/>
        </w:rPr>
      </w:pPr>
      <w: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251460</wp:posOffset>
                </wp:positionV>
                <wp:extent cx="5600700" cy="1562100"/>
                <wp:effectExtent l="4445" t="4445" r="14605" b="14605"/>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5600700" cy="156210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19.8pt;height:123pt;width:441pt;z-index:251666432;mso-width-relative:page;mso-height-relative:page;" fillcolor="#FFFFFF" filled="t" stroked="t" coordsize="21600,21600" o:gfxdata="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0ObG1gAAAAgBAAAPAAAAAAAAAAEAIAAAACIAAABkcnMv&#10;ZG93bnJldi54bWxQSwECFAAUAAAACACHTuJAdGCyLj4CAACNBAAADgAAAAAAAAABACAAAAAlAQAA&#10;ZHJzL2Uyb0RvYy54bWxQSwUGAAAAAAYABgBZAQAA1Q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color w:val="000000"/>
          <w:sz w:val="28"/>
        </w:rPr>
      </w:pPr>
    </w:p>
    <w:p>
      <w:pPr>
        <w:autoSpaceDE w:val="0"/>
        <w:autoSpaceDN w:val="0"/>
        <w:adjustRightInd w:val="0"/>
        <w:spacing w:line="360" w:lineRule="auto"/>
        <w:jc w:val="center"/>
        <w:rPr>
          <w:rFonts w:ascii="仿宋" w:hAnsi="仿宋" w:eastAsia="仿宋"/>
          <w:color w:val="000000"/>
          <w:sz w:val="28"/>
        </w:rPr>
      </w:pPr>
    </w:p>
    <w:p>
      <w:pPr>
        <w:autoSpaceDE w:val="0"/>
        <w:autoSpaceDN w:val="0"/>
        <w:adjustRightInd w:val="0"/>
        <w:spacing w:line="340" w:lineRule="exact"/>
        <w:ind w:right="357" w:firstLine="539"/>
        <w:jc w:val="center"/>
        <w:rPr>
          <w:rFonts w:ascii="仿宋" w:hAnsi="仿宋" w:eastAsia="仿宋"/>
          <w:sz w:val="28"/>
        </w:rPr>
      </w:pPr>
    </w:p>
    <w:p>
      <w:pPr>
        <w:spacing w:line="360" w:lineRule="auto"/>
        <w:ind w:firstLine="560" w:firstLineChars="200"/>
        <w:rPr>
          <w:rFonts w:ascii="仿宋" w:hAnsi="仿宋" w:eastAsia="仿宋"/>
          <w:sz w:val="28"/>
        </w:rPr>
      </w:pP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一、对外投资概述</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对外投资的基本情况，包括协议签署日期、地点，协议主体名称，投资标的以及涉及金额等。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董事会审议投资议案的表决情况；交易生效所必需的审批程序，如是否需经过股东会批准或政府有关部门批准等。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是否构成关联交易。</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二、交易对手方介绍（如适用）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主要介绍除上市公司本身以外的投资协议主体的基本情况，包括姓名或名称、住所、企业类型、法定代表人、注册资本、主营业务和相互关系等。如构成关联交易，说明关联关系。</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交易对手方为法人的，需披露相关的产权控制关系和实际控制人情况。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交易对手方是否为失信被执行人，如是，应进一步披露其失信情况、受到的惩戒措施、对本次交易的影响，以及公司所采取的应对措施等。</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三、投资标的的基本情况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如果是成立有限责任公司或股份有限公司：</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rPr>
        <w:t xml:space="preserve"> </w:t>
      </w:r>
      <w:r>
        <w:rPr>
          <w:rFonts w:hint="eastAsia" w:ascii="仿宋" w:hAnsi="仿宋" w:eastAsia="仿宋"/>
          <w:color w:val="000000"/>
          <w:sz w:val="32"/>
          <w:szCs w:val="32"/>
        </w:rPr>
        <w:t>出资方式：介绍主要投资人或股东出资的方式：①如现金出资的，说明资金来源；②如涉及用实物资产或无形资产出资的，应当介绍资产的名称、账面价值、评估价值或本次交易价格、资产运营情况、设定担保等其他财产权利的情况、涉及该资产的诉讼、仲裁事项；③如涉及用公司股权出资的，应当介绍该公司的名称，股权结构，主营业务，最近一期经审计的资产总额、负债总额、净资产、营业收入和净利润等财务数据，及其他股东是否放弃优先受让权（股权公司为有限责任公司时适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b/>
          <w:color w:val="000000"/>
          <w:sz w:val="32"/>
          <w:szCs w:val="32"/>
        </w:rPr>
        <w:t xml:space="preserve">. </w:t>
      </w:r>
      <w:r>
        <w:rPr>
          <w:rFonts w:hint="eastAsia" w:ascii="仿宋" w:hAnsi="仿宋" w:eastAsia="仿宋"/>
          <w:color w:val="000000"/>
          <w:sz w:val="32"/>
          <w:szCs w:val="32"/>
        </w:rPr>
        <w:t>标的公司基本情况：如是成立有限责任公司，还需说明公司的经营范围、各主要投资人的投资规模和持股比例；如是成立股份有限公司，还需说明经营范围、前五名股东的投资规模和持股比例等。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如果是投资具体项目：披露项目的具体内容，投资进度，对公司的影响。</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涉及投资标的审计或评估的，参照“上市公司购买、出售资产公告格式”进行披露。</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如果公司投资进入新的领域，还需披露新进入领域的基本情况、拟投资的项目情况、人员、技术、管理要求，可行性分析和市场前景等。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如果对现有公司增资，应按照前述“出资方式”的要求披露增资方式，同时披露被增资公司经营情况、增资前后的股权结构和最近一年又一期的主要财务指标，包括不限于资产总额、负债总额、净资产、营业收入和净利润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现有公司增资导致其纳入上市公司合并报表范围的，还应当披露被增资公司是否存在为他人提供担保、财务资助等情况。标的公司存在对上市公司关联方提供担保的，应当就关联担保履行相应审议程序及披露义务，关联股东应当回避表决。董事会或股东会未审议通过关联担保的，交易各方应当采取提前终止担保或取消相关交易等有效措施避免形成违规关联担保。交易完成后导致控股股东、实际控制人及其关联人对上市公司形成非经营性资金占用的，应当在公告中明确合理的解决方案，并在交易实施完成前解决，避免形成非经营性资金占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投资标的如为公司股权的，还应当说明标的公司章程或其他文件中是否存在法律法规之外其他限制股东权利的条款（如有限责任公司部分股东不享有优先受让权等），如有，予以详细披露并进行重大风险提示，公司董事会充分分析其影响，并说明是否损害上市公司利益。</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投资标的如为公司股权的，应披露该公司是否为失信被执行人，如是，应进一步披露其失信情况、受到的惩戒措施、对本次交易的影响，以及公司所采取的应对措施等。</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四、对外投资合同的主要内容</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1. 主要介绍合同（包括附件）的主要条款，包括投资金额，支付方式，标的公司董事会和管理人员的组成安排、违约条款、合同的生效条件和生效时间，以及合同中的其他重要条款，合同中有任何形式的附加或者保留条款，应当予以特别说明。</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2. 如涉及非现金方式出资，说明定价政策。定价政策主要说明制定成交价格的依据，成交价格与资产或股权账面值或评估值差异较大的，应当说明原因。涉及提交股东会审议或非现金方式出资等的对外投资行为，若已对出资资产进行审计、评估的，应将审计报告和评估报告全文单独披露。</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五、对外投资的目的、存在的风险和对公司的影响</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披露对外（委托）投资的意图，本次对外（委托）投资的资金来源，该项投资可能产生的风险，如投资项目因市场、技术、环保、财务等因素引致的风险，股权投资及与他人合作的风险，项目管理和组织实施的风险等，以及对上市公司未来财务状况和经营成果的影响。</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六、如属于关联交易，还应当参照“上市公司关联交易公告格式”的要求披露有关内容。</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七、其他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对外投资公告首次披露后，上市公司应及时披露对外投资的审议、协议签署和其他进展或变化情况。</w:t>
      </w:r>
    </w:p>
    <w:p>
      <w:pPr>
        <w:tabs>
          <w:tab w:val="left" w:pos="900"/>
        </w:tabs>
        <w:spacing w:line="560" w:lineRule="exact"/>
        <w:ind w:firstLine="640" w:firstLineChars="200"/>
        <w:rPr>
          <w:rFonts w:ascii="仿宋" w:hAnsi="仿宋" w:eastAsia="仿宋"/>
          <w:b/>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firstLine="468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val="0"/>
        <w:keepLines w:val="0"/>
        <w:spacing w:line="240" w:lineRule="auto"/>
        <w:jc w:val="left"/>
        <w:outlineLvl w:val="9"/>
        <w:rPr>
          <w:rFonts w:hint="eastAsia" w:ascii="方正小标宋简体" w:hAnsi="仿宋" w:eastAsia="方正小标宋简体"/>
          <w:kern w:val="44"/>
          <w:sz w:val="44"/>
          <w:szCs w:val="44"/>
        </w:rPr>
      </w:pPr>
      <w:bookmarkStart w:id="18" w:name="_Toc20570"/>
      <w:bookmarkStart w:id="19" w:name="_Toc11295"/>
      <w:bookmarkStart w:id="20" w:name="_Toc164973700"/>
      <w:r>
        <w:rPr>
          <w:rFonts w:hint="eastAsia" w:ascii="方正小标宋简体" w:hAnsi="仿宋" w:eastAsia="方正小标宋简体"/>
          <w:kern w:val="44"/>
          <w:sz w:val="44"/>
          <w:szCs w:val="44"/>
        </w:rPr>
        <w:br w:type="page"/>
      </w: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第7号 上市公司提供担保公告格式</w:t>
      </w:r>
      <w:bookmarkEnd w:id="18"/>
      <w:bookmarkEnd w:id="19"/>
      <w:bookmarkEnd w:id="20"/>
    </w:p>
    <w:p>
      <w:pPr>
        <w:autoSpaceDE w:val="0"/>
        <w:autoSpaceDN w:val="0"/>
        <w:adjustRightInd w:val="0"/>
        <w:spacing w:line="560" w:lineRule="exact"/>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XXXXXX股份有限公司提供担保公告</w:t>
      </w:r>
    </w:p>
    <w:p>
      <w:pPr>
        <w:autoSpaceDE w:val="0"/>
        <w:autoSpaceDN w:val="0"/>
        <w:adjustRightInd w:val="0"/>
        <w:spacing w:line="360" w:lineRule="auto"/>
        <w:jc w:val="center"/>
        <w:rPr>
          <w:rFonts w:ascii="仿宋" w:hAnsi="仿宋" w:eastAsia="仿宋"/>
          <w:color w:val="000000"/>
          <w:sz w:val="28"/>
          <w:szCs w:val="28"/>
        </w:rPr>
      </w:pPr>
      <w: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201295</wp:posOffset>
                </wp:positionV>
                <wp:extent cx="5715000" cy="1887220"/>
                <wp:effectExtent l="4445" t="5080" r="14605" b="12700"/>
                <wp:wrapNone/>
                <wp:docPr id="117" name="矩形 117"/>
                <wp:cNvGraphicFramePr/>
                <a:graphic xmlns:a="http://schemas.openxmlformats.org/drawingml/2006/main">
                  <a:graphicData uri="http://schemas.microsoft.com/office/word/2010/wordprocessingShape">
                    <wps:wsp>
                      <wps:cNvSpPr>
                        <a:spLocks noChangeArrowheads="1"/>
                      </wps:cNvSpPr>
                      <wps:spPr bwMode="auto">
                        <a:xfrm>
                          <a:off x="0" y="0"/>
                          <a:ext cx="5715000" cy="1887220"/>
                        </a:xfrm>
                        <a:prstGeom prst="rect">
                          <a:avLst/>
                        </a:prstGeom>
                        <a:solidFill>
                          <a:srgbClr val="FFFFFF"/>
                        </a:solidFill>
                        <a:ln w="9525">
                          <a:solidFill>
                            <a:srgbClr val="000000"/>
                          </a:solidFill>
                          <a:miter lim="800000"/>
                        </a:ln>
                        <a:effectLst/>
                      </wps:spPr>
                      <wps:txbx>
                        <w:txbxContent>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9pt;margin-top:15.85pt;height:148.6pt;width:450pt;z-index:251667456;mso-width-relative:page;mso-height-relative:page;" fillcolor="#FFFFFF" filled="t" stroked="t" coordsize="21600,21600" o:gfxdata="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MEqDNgAAAAKAQAADwAAAAAAAAABACAAAAAi&#10;AAAAZHJzL2Rvd25yZXYueG1sUEsBAhQAFAAAAAgAh07iQLMKlXNDAgAAjQQAAA4AAAAAAAAAAQAg&#10;AAAAJwEAAGRycy9lMm9Eb2MueG1sUEsFBgAAAAAGAAYAWQEAANwFAAAAAA==&#10;">
                <v:fill on="t" focussize="0,0"/>
                <v:stroke color="#000000" miterlimit="8" joinstyle="miter"/>
                <v:imagedata o:title=""/>
                <o:lock v:ext="edit" aspectratio="f"/>
                <v:textbox>
                  <w:txbxContent>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color w:val="000000"/>
          <w:sz w:val="28"/>
          <w:szCs w:val="28"/>
        </w:rPr>
      </w:pPr>
    </w:p>
    <w:p>
      <w:pPr>
        <w:autoSpaceDE w:val="0"/>
        <w:autoSpaceDN w:val="0"/>
        <w:adjustRightInd w:val="0"/>
        <w:spacing w:line="360" w:lineRule="auto"/>
        <w:jc w:val="center"/>
        <w:rPr>
          <w:rFonts w:ascii="仿宋" w:hAnsi="仿宋" w:eastAsia="仿宋"/>
          <w:color w:val="000000"/>
          <w:sz w:val="28"/>
          <w:szCs w:val="28"/>
        </w:rPr>
      </w:pPr>
    </w:p>
    <w:p>
      <w:pPr>
        <w:autoSpaceDE w:val="0"/>
        <w:autoSpaceDN w:val="0"/>
        <w:adjustRightInd w:val="0"/>
        <w:spacing w:line="360" w:lineRule="auto"/>
        <w:jc w:val="center"/>
        <w:rPr>
          <w:rFonts w:ascii="仿宋" w:hAnsi="仿宋" w:eastAsia="仿宋"/>
          <w:color w:val="000000"/>
          <w:sz w:val="28"/>
          <w:szCs w:val="28"/>
        </w:rPr>
      </w:pPr>
    </w:p>
    <w:p>
      <w:pPr>
        <w:spacing w:line="360" w:lineRule="auto"/>
        <w:rPr>
          <w:rFonts w:ascii="仿宋" w:hAnsi="仿宋" w:eastAsia="仿宋"/>
          <w:color w:val="000000"/>
          <w:sz w:val="28"/>
          <w:szCs w:val="28"/>
        </w:rPr>
      </w:pPr>
    </w:p>
    <w:p>
      <w:pPr>
        <w:spacing w:line="560" w:lineRule="exact"/>
        <w:ind w:firstLine="640" w:firstLineChars="200"/>
        <w:jc w:val="left"/>
        <w:rPr>
          <w:rFonts w:ascii="仿宋" w:hAnsi="仿宋" w:eastAsia="仿宋"/>
          <w:b/>
          <w:color w:val="000000"/>
          <w:sz w:val="32"/>
          <w:szCs w:val="32"/>
        </w:rPr>
      </w:pPr>
      <w:r>
        <w:rPr>
          <w:rFonts w:hint="eastAsia" w:ascii="仿宋" w:hAnsi="仿宋" w:eastAsia="仿宋"/>
          <w:b/>
          <w:color w:val="000000"/>
          <w:sz w:val="32"/>
          <w:szCs w:val="32"/>
        </w:rPr>
        <w:t>特别风险提示（如适用）：</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上市公司及控股子公司提供担保总额超过最近一期经审计净资产100%、对资产负债率超过70%的单位担保金额超过上市公司最近一期经审计净资产50%，以及对合并报表外单位担保金额达到或超过最近一期经审计净资产30%的情况下，应当提醒投资者充分关注担保风险。</w:t>
      </w:r>
    </w:p>
    <w:p>
      <w:pPr>
        <w:spacing w:line="560" w:lineRule="exact"/>
        <w:ind w:firstLine="640" w:firstLineChars="200"/>
        <w:jc w:val="left"/>
        <w:rPr>
          <w:rFonts w:ascii="仿宋" w:hAnsi="仿宋" w:eastAsia="仿宋"/>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一、担保情况概述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简要介绍本次担保基本情况，包括协议签署日期、签署地点、被担保人和债权人的名称、担保金额等。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简要说明董事会审议担保议案的表决情况；交易生效所必需的审议或审批程序，如是否需经过股东会或政府有关部门批准等。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二、上市公司及控股子公司存在担保额度预计情况的，在相关预计公告中，应披露下表：</w:t>
      </w:r>
    </w:p>
    <w:tbl>
      <w:tblPr>
        <w:tblStyle w:val="28"/>
        <w:tblW w:w="9045" w:type="dxa"/>
        <w:tblInd w:w="0" w:type="dxa"/>
        <w:tblLayout w:type="fixed"/>
        <w:tblCellMar>
          <w:top w:w="0" w:type="dxa"/>
          <w:left w:w="108" w:type="dxa"/>
          <w:bottom w:w="0" w:type="dxa"/>
          <w:right w:w="108" w:type="dxa"/>
        </w:tblCellMar>
      </w:tblPr>
      <w:tblGrid>
        <w:gridCol w:w="756"/>
        <w:gridCol w:w="1175"/>
        <w:gridCol w:w="1895"/>
        <w:gridCol w:w="1197"/>
        <w:gridCol w:w="892"/>
        <w:gridCol w:w="891"/>
        <w:gridCol w:w="1350"/>
        <w:gridCol w:w="889"/>
      </w:tblGrid>
      <w:tr>
        <w:tblPrEx>
          <w:tblCellMar>
            <w:top w:w="0" w:type="dxa"/>
            <w:left w:w="108" w:type="dxa"/>
            <w:bottom w:w="0" w:type="dxa"/>
            <w:right w:w="108" w:type="dxa"/>
          </w:tblCellMar>
        </w:tblPrEx>
        <w:trPr>
          <w:trHeight w:val="930"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担保方</w:t>
            </w:r>
          </w:p>
        </w:tc>
        <w:tc>
          <w:tcPr>
            <w:tcW w:w="11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rPr>
            </w:pPr>
            <w:r>
              <w:rPr>
                <w:rFonts w:hint="eastAsia" w:ascii="仿宋" w:hAnsi="仿宋" w:eastAsia="仿宋"/>
                <w:sz w:val="24"/>
                <w:szCs w:val="24"/>
              </w:rPr>
              <w:t>被担保方</w:t>
            </w:r>
          </w:p>
        </w:tc>
        <w:tc>
          <w:tcPr>
            <w:tcW w:w="189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sz w:val="24"/>
                <w:szCs w:val="24"/>
              </w:rPr>
            </w:pPr>
            <w:r>
              <w:rPr>
                <w:rFonts w:hint="eastAsia" w:ascii="仿宋" w:hAnsi="仿宋" w:eastAsia="仿宋"/>
                <w:sz w:val="24"/>
                <w:szCs w:val="24"/>
              </w:rPr>
              <w:t>担保方持股比例</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被担保方最近一期资产负债率</w:t>
            </w:r>
          </w:p>
        </w:tc>
        <w:tc>
          <w:tcPr>
            <w:tcW w:w="89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截至目前担保余额</w:t>
            </w:r>
          </w:p>
        </w:tc>
        <w:tc>
          <w:tcPr>
            <w:tcW w:w="8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本次新增担保额度</w:t>
            </w:r>
          </w:p>
        </w:tc>
        <w:tc>
          <w:tcPr>
            <w:tcW w:w="135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担保额度占上市公司最近一期净资产比例</w:t>
            </w:r>
          </w:p>
        </w:tc>
        <w:tc>
          <w:tcPr>
            <w:tcW w:w="89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是否关联担保</w:t>
            </w:r>
          </w:p>
        </w:tc>
      </w:tr>
      <w:tr>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tcPr>
          <w:p>
            <w:pPr>
              <w:widowControl/>
              <w:jc w:val="left"/>
              <w:rPr>
                <w:rFonts w:ascii="仿宋" w:hAnsi="仿宋" w:eastAsia="仿宋" w:cs="宋体"/>
                <w:color w:val="FF0000"/>
                <w:kern w:val="0"/>
                <w:sz w:val="24"/>
                <w:szCs w:val="24"/>
              </w:rPr>
            </w:pPr>
          </w:p>
        </w:tc>
        <w:tc>
          <w:tcPr>
            <w:tcW w:w="117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896"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19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3"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35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r>
      <w:tr>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tcPr>
          <w:p>
            <w:pPr>
              <w:widowControl/>
              <w:jc w:val="left"/>
              <w:rPr>
                <w:rFonts w:ascii="仿宋" w:hAnsi="仿宋" w:eastAsia="仿宋" w:cs="宋体"/>
                <w:color w:val="FF0000"/>
                <w:kern w:val="0"/>
                <w:sz w:val="24"/>
                <w:szCs w:val="24"/>
              </w:rPr>
            </w:pPr>
          </w:p>
        </w:tc>
        <w:tc>
          <w:tcPr>
            <w:tcW w:w="117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896"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19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3"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35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r>
    </w:tbl>
    <w:p>
      <w:pPr>
        <w:spacing w:line="560" w:lineRule="exact"/>
        <w:ind w:firstLine="640" w:firstLineChars="200"/>
      </w:pPr>
      <w:r>
        <w:rPr>
          <w:rFonts w:hint="eastAsia" w:ascii="仿宋" w:hAnsi="仿宋" w:eastAsia="仿宋"/>
          <w:sz w:val="32"/>
          <w:szCs w:val="32"/>
        </w:rPr>
        <w:t>已审议额度内的担保实际发生时，除按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三、被担保人基本情况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应说明被担保人的名称、成立日期、注册地点、法定代表人、注册资本、主营业务、股权结构、与上市公司存在的关联关系或其他业务联系。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对需提交股东会审议的担保事项，应以方框图或者其他有效形式全面披露被担保人相关的产权及控制关系，包括被担保人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应说明被担保人最近一年又一期的资产总额、负债总额（其中包括银行贷款总额、流动负债总额）、或有事项涉及的总额（包括担保、抵押、诉讼与仲裁事项）、净资产、营业收入、利润总额、净利润等主要财务指标和最新的信用等级状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被担保方是否为失信被执行人，如是，应进一步披露其失信情况、受到的惩戒措施、对本次交易的影响，以及公司所采取的应对措施等。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四、担保协议的主要内容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主要介绍担保的方式、期限、金额，其他股东是否提供担保、被担保方是否提供反担保及具体方式，以及担保协议中的其他重要条款。如通过资产等标的提供担保的，参照</w:t>
      </w:r>
      <w:r>
        <w:rPr>
          <w:rFonts w:hint="eastAsia" w:ascii="仿宋" w:hAnsi="仿宋" w:eastAsia="仿宋"/>
          <w:sz w:val="32"/>
          <w:szCs w:val="32"/>
          <w:lang w:eastAsia="zh-CN"/>
        </w:rPr>
        <w:t>“</w:t>
      </w:r>
      <w:r>
        <w:rPr>
          <w:rFonts w:hint="eastAsia" w:ascii="仿宋" w:hAnsi="仿宋" w:eastAsia="仿宋"/>
          <w:sz w:val="32"/>
          <w:szCs w:val="32"/>
        </w:rPr>
        <w:t>上市公司购买、出售资产公告格式</w:t>
      </w:r>
      <w:r>
        <w:rPr>
          <w:rFonts w:hint="eastAsia" w:ascii="仿宋" w:hAnsi="仿宋" w:eastAsia="仿宋"/>
          <w:sz w:val="32"/>
          <w:szCs w:val="32"/>
          <w:lang w:eastAsia="zh-CN"/>
        </w:rPr>
        <w:t>”</w:t>
      </w:r>
      <w:r>
        <w:rPr>
          <w:rFonts w:hint="eastAsia" w:ascii="仿宋" w:hAnsi="仿宋" w:eastAsia="仿宋"/>
          <w:sz w:val="32"/>
          <w:szCs w:val="32"/>
        </w:rPr>
        <w:t>介绍资产等标的的基本情况。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五、董事会意见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介绍提供担保的原因。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董事会在对被担保人资产质量、经营情况、行业前景、偿债能力、资信状况等进行全面评估的基础上, 披露该担保事项的利益和风险，以及董事会对被担保人偿还债务能力的判断。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为控股子公司或参股公司提供担保的，应说明持有该控股子公司或参股公司的股权比例、该控股子公司或参股公司其他股东是否按出资比例提供同等担保或者反担保，如否，上市公司董事会应当说明主要原因，并在分析担保对象经营情况、偿债能力的基础上，充分说明该笔担保风险是否可控，是否损害上市公司利益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说明被担保方提供反担保情况（如适用），未提供反担保的应当说明其合理性以及是否损害上市公司利益。公司为控股股东、实际控制人及其关联人提供担保的，控股股东、实际控制人及其关联人应当提供反担保。</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六、累计对外担保数量及逾期担保的数量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提供担保后，上市公司及其控股子公司的担保额度总金额（如有）、提供担保总余额及占公司最近一期经审计净资产的比例；上市公司及其控股子公司对合并报表外单位提供的担保总余额及占上市公司最近一期经审计净资产的比例；逾期债务对应的担保余额、涉及诉讼的担保金额及因担保被判决败诉而应承担的担保金额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七、其他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担保公告首次披露后，上市公司应及时披露担保的审议、协议签署和其他进展或变化情况。</w:t>
      </w:r>
    </w:p>
    <w:p>
      <w:pPr>
        <w:spacing w:line="560" w:lineRule="exact"/>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spacing w:line="560" w:lineRule="exact"/>
        <w:ind w:firstLine="640" w:firstLineChars="200"/>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备注：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本公告格式中“担保”，是指公司为他人提供的担保，包括对控股子公司的担保。</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 “上市公司及其控股子公司的担保总额”，是指包括上市公司对控股子公司担保在内的上市公司担保总额与上市公司控股子公司对外担保总额之和。</w:t>
      </w:r>
    </w:p>
    <w:p>
      <w:pPr>
        <w:spacing w:line="560" w:lineRule="exact"/>
        <w:ind w:firstLine="640" w:firstLineChars="200"/>
        <w:rPr>
          <w:rFonts w:hint="eastAsia" w:ascii="仿宋" w:hAnsi="仿宋" w:eastAsia="仿宋"/>
          <w:b/>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有关法律文书（如有）；</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
        </w:rPr>
        <w:t>2</w:t>
      </w:r>
      <w:r>
        <w:rPr>
          <w:rFonts w:hint="eastAsia" w:ascii="仿宋" w:hAnsi="仿宋" w:eastAsia="仿宋"/>
          <w:color w:val="auto"/>
          <w:sz w:val="32"/>
          <w:szCs w:val="32"/>
        </w:rPr>
        <w:t>. 担保协议；</w:t>
      </w:r>
    </w:p>
    <w:p>
      <w:pPr>
        <w:widowControl/>
        <w:spacing w:line="560" w:lineRule="exact"/>
        <w:ind w:firstLine="640" w:firstLineChars="200"/>
        <w:jc w:val="left"/>
        <w:rPr>
          <w:rFonts w:ascii="方正小标宋简体" w:hAnsi="仿宋" w:eastAsia="方正小标宋简体"/>
          <w:kern w:val="44"/>
          <w:sz w:val="44"/>
          <w:szCs w:val="44"/>
        </w:rPr>
      </w:pPr>
      <w:r>
        <w:rPr>
          <w:rFonts w:hint="eastAsia" w:ascii="仿宋" w:hAnsi="仿宋" w:eastAsia="仿宋"/>
          <w:color w:val="auto"/>
          <w:sz w:val="32"/>
          <w:szCs w:val="32"/>
          <w:lang w:eastAsia="zh"/>
        </w:rPr>
        <w:t>3</w:t>
      </w:r>
      <w:r>
        <w:rPr>
          <w:rFonts w:hint="eastAsia" w:ascii="仿宋" w:hAnsi="仿宋" w:eastAsia="仿宋"/>
          <w:color w:val="auto"/>
          <w:sz w:val="32"/>
          <w:szCs w:val="32"/>
        </w:rPr>
        <w:t>. 保荐人或独立财务顾问意见（如有）。</w:t>
      </w:r>
    </w:p>
    <w:p>
      <w:pPr>
        <w:keepNext/>
        <w:keepLines/>
        <w:spacing w:line="560" w:lineRule="exact"/>
        <w:jc w:val="center"/>
        <w:outlineLvl w:val="2"/>
        <w:rPr>
          <w:rFonts w:ascii="黑体" w:hAnsi="黑体" w:eastAsia="黑体"/>
          <w:b/>
          <w:sz w:val="44"/>
          <w:szCs w:val="44"/>
        </w:rPr>
      </w:pPr>
      <w:r>
        <w:br w:type="page"/>
      </w:r>
      <w:bookmarkStart w:id="21" w:name="_Toc164973701"/>
      <w:bookmarkStart w:id="22" w:name="_Toc26938"/>
      <w:bookmarkStart w:id="23" w:name="_Toc19651"/>
      <w:r>
        <w:rPr>
          <w:rFonts w:hint="eastAsia" w:ascii="方正小标宋简体" w:hAnsi="仿宋" w:eastAsia="方正小标宋简体"/>
          <w:kern w:val="44"/>
          <w:sz w:val="44"/>
          <w:szCs w:val="44"/>
        </w:rPr>
        <w:t>第8号 上市公司</w:t>
      </w:r>
      <w:r>
        <w:rPr>
          <w:rFonts w:hint="eastAsia" w:ascii="方正小标宋简体" w:hAnsi="仿宋" w:eastAsia="方正小标宋简体"/>
          <w:kern w:val="44"/>
          <w:sz w:val="44"/>
          <w:szCs w:val="44"/>
          <w:lang w:eastAsia="zh-CN"/>
        </w:rPr>
        <w:t>改变募集资金</w:t>
      </w:r>
      <w:r>
        <w:rPr>
          <w:rFonts w:hint="eastAsia" w:ascii="方正小标宋简体" w:hAnsi="仿宋" w:eastAsia="方正小标宋简体"/>
          <w:kern w:val="44"/>
          <w:sz w:val="44"/>
          <w:szCs w:val="44"/>
        </w:rPr>
        <w:t>用途公告格式</w:t>
      </w:r>
      <w:bookmarkEnd w:id="21"/>
      <w:bookmarkEnd w:id="22"/>
      <w:bookmarkEnd w:id="23"/>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w:t>
      </w:r>
      <w:r>
        <w:rPr>
          <w:rFonts w:hint="eastAsia" w:ascii="仿宋" w:hAnsi="仿宋" w:eastAsia="仿宋"/>
          <w:bCs/>
          <w:color w:val="000000"/>
          <w:sz w:val="32"/>
          <w:szCs w:val="32"/>
          <w:lang w:eastAsia="zh-CN"/>
        </w:rPr>
        <w:t>改变募集资金</w:t>
      </w:r>
      <w:r>
        <w:rPr>
          <w:rFonts w:hint="eastAsia" w:ascii="仿宋" w:hAnsi="仿宋" w:eastAsia="仿宋"/>
          <w:bCs/>
          <w:color w:val="000000"/>
          <w:sz w:val="32"/>
          <w:szCs w:val="32"/>
        </w:rPr>
        <w:t>用途公告</w:t>
      </w:r>
    </w:p>
    <w:p>
      <w:pPr>
        <w:autoSpaceDE w:val="0"/>
        <w:autoSpaceDN w:val="0"/>
        <w:adjustRightInd w:val="0"/>
        <w:spacing w:line="360" w:lineRule="auto"/>
        <w:jc w:val="center"/>
        <w:rPr>
          <w:rFonts w:ascii="仿宋" w:hAnsi="仿宋" w:eastAsia="仿宋"/>
          <w:b/>
          <w:color w:val="000000"/>
          <w:sz w:val="28"/>
        </w:rPr>
      </w:pPr>
      <w:r>
        <mc:AlternateContent>
          <mc:Choice Requires="wps">
            <w:drawing>
              <wp:anchor distT="0" distB="0" distL="114300" distR="114300" simplePos="0" relativeHeight="251680768" behindDoc="0" locked="0" layoutInCell="1" allowOverlap="1">
                <wp:simplePos x="0" y="0"/>
                <wp:positionH relativeFrom="column">
                  <wp:posOffset>-66675</wp:posOffset>
                </wp:positionH>
                <wp:positionV relativeFrom="paragraph">
                  <wp:posOffset>149225</wp:posOffset>
                </wp:positionV>
                <wp:extent cx="5715000" cy="1552575"/>
                <wp:effectExtent l="4445" t="5080" r="14605" b="4445"/>
                <wp:wrapNone/>
                <wp:docPr id="116" name="矩形 116"/>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11.75pt;height:122.25pt;width:450pt;z-index:251680768;mso-width-relative:page;mso-height-relative:page;" fillcolor="#FFFFFF" filled="t" stroked="t" coordsize="21600,21600" o:gfxdata="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WBvMfXAAAACgEAAA8AAAAAAAAAAQAgAAAAIgAA&#10;AGRycy9kb3ducmV2LnhtbFBLAQIUABQAAAAIAIdO4kAgCCZaQgIAAI0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b/>
          <w:color w:val="000000"/>
          <w:sz w:val="28"/>
        </w:rPr>
      </w:pPr>
    </w:p>
    <w:p>
      <w:pPr>
        <w:autoSpaceDE w:val="0"/>
        <w:autoSpaceDN w:val="0"/>
        <w:adjustRightInd w:val="0"/>
        <w:spacing w:line="360" w:lineRule="auto"/>
        <w:jc w:val="center"/>
        <w:rPr>
          <w:rFonts w:ascii="仿宋" w:hAnsi="仿宋" w:eastAsia="仿宋"/>
          <w:b/>
          <w:color w:val="000000"/>
          <w:sz w:val="28"/>
        </w:rPr>
      </w:pPr>
    </w:p>
    <w:p>
      <w:pPr>
        <w:autoSpaceDE w:val="0"/>
        <w:autoSpaceDN w:val="0"/>
        <w:adjustRightInd w:val="0"/>
        <w:spacing w:line="360" w:lineRule="auto"/>
        <w:ind w:right="360"/>
        <w:rPr>
          <w:rFonts w:ascii="仿宋" w:hAnsi="仿宋" w:eastAsia="仿宋" w:cs="宋体"/>
          <w:color w:val="000000"/>
          <w:kern w:val="0"/>
          <w:sz w:val="28"/>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一、</w:t>
      </w:r>
      <w:r>
        <w:rPr>
          <w:rFonts w:hint="eastAsia" w:ascii="仿宋" w:hAnsi="仿宋" w:eastAsia="仿宋"/>
          <w:b/>
          <w:color w:val="000000"/>
          <w:sz w:val="32"/>
          <w:szCs w:val="32"/>
          <w:lang w:eastAsia="zh-CN"/>
        </w:rPr>
        <w:t>改变募集资金</w:t>
      </w:r>
      <w:r>
        <w:rPr>
          <w:rFonts w:hint="eastAsia" w:ascii="仿宋" w:hAnsi="仿宋" w:eastAsia="仿宋"/>
          <w:b/>
          <w:color w:val="000000"/>
          <w:sz w:val="32"/>
          <w:szCs w:val="32"/>
        </w:rPr>
        <w:t>投资项目的概述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简要介绍募集资金的方式、募集时间、募集金额、拟</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项目的名称、</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项目涉及的总金额及其占总筹资额的比例、已投入金额、新项目的名称和拟投入的金额,是否构成关联交易等。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简要说明董事会审议</w:t>
      </w:r>
      <w:r>
        <w:rPr>
          <w:rFonts w:hint="eastAsia" w:ascii="仿宋" w:hAnsi="仿宋" w:eastAsia="仿宋"/>
          <w:color w:val="000000"/>
          <w:sz w:val="32"/>
          <w:szCs w:val="32"/>
          <w:lang w:eastAsia="zh-CN"/>
        </w:rPr>
        <w:t>改变募集资金</w:t>
      </w:r>
      <w:r>
        <w:rPr>
          <w:rFonts w:hint="eastAsia" w:ascii="仿宋" w:hAnsi="仿宋" w:eastAsia="仿宋"/>
          <w:color w:val="000000"/>
          <w:sz w:val="32"/>
          <w:szCs w:val="32"/>
        </w:rPr>
        <w:t>投资项目(以下简称募投项目)议案的表决情况及结果，提示本议案尚需提交股东会审议。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新项目投资需向国家有关部门履行报批或备案程序的，应说明是否已履行有关程序。</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原募投项目计划和实际投资情况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简要说明原募投项目计划投资情况，包括原募投项目立项批准时间、项目实施主体、拟投入金额、资金投入明细构成、计划投入进度、计划建成时间和预计效益等。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原募投项目实际投资情况，包括实际实施主体、累计已投入金额、实际投入明细构成、项目建设进度、投资成效（如新增产能或实现的经济效益）、未使用募集资金余额及专户存储情况、项目建设已形成资产的后续使用安排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终止原募投项目的原因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原因进行分析，说明当时确定原募投项目的原因、影响原项目可行性的主要因素发生的重大变化、项目实施存在的具体困难以及按原计划投入是否能够达到预期目标。对影响原项目可行性的主要因素的重大变化的说明，应提供有说服力的背景、依据和数据。</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三、新募投项目情况说明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应说明新项目的基本情况、投资计划、可行性分析、经济效益分析等内容。如涉及将原募投项目改变为合资经营方式实施的，应说明合资的必要性、公司控股情况等。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项目基本情况和投资计划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应说明项目投资概算、预计投资规模、项目资金的具体用途（包括用于购置设备、土地使用权、技术以及补充流动资金等方面的具体支出等）、分年度投资计划等。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项目可行性分析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（1）项目的背景情况，如所在行业的发展趋势、产品竞争情况、项目新增产能的市场前景等；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（2）投资项目的选址、拟占用土地的面积、取得方式及土地用途；</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（3）项目实施面临的风险及应对措施，如项目因市场、技术、环保、财务等因素引致的风险，股权投资及与他人合作的风险，项目管理和组织实施的风险等及拟采取的对策。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项目经济效益分析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项目能独立核算的，应说明预计达产时间和经济效益（包括产品产量、收入、净利润、投资回收期、预计收益率等）；项目不能独立核算的，应分析项目对上市公司财务状况及经营成果的影响。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如用于对外投资，结合</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上市公司对外（含委托）投资公告格式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的要求披露。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如用于购买企业，结合</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上市公司购买、出售资产公告格式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的要求披露。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如果投资新募投项目构成关联交易，董事会应发布专门的关联交易公告或在本公告中披露</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上市公司关联交易公告格式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要求的内容。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四、保荐人</w:t>
      </w:r>
      <w:r>
        <w:rPr>
          <w:rFonts w:hint="eastAsia" w:ascii="仿宋" w:hAnsi="仿宋" w:eastAsia="仿宋"/>
          <w:b/>
          <w:color w:val="000000"/>
          <w:sz w:val="32"/>
          <w:szCs w:val="32"/>
          <w:lang w:eastAsia="zh-CN"/>
        </w:rPr>
        <w:t>或者独立财务顾问</w:t>
      </w:r>
      <w:r>
        <w:rPr>
          <w:rFonts w:hint="eastAsia" w:ascii="仿宋" w:hAnsi="仿宋" w:eastAsia="仿宋"/>
          <w:b/>
          <w:color w:val="000000"/>
          <w:sz w:val="32"/>
          <w:szCs w:val="32"/>
        </w:rPr>
        <w:t>（如适用）对</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募投项目的意见</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分别说明保荐人或者独立财务顾问对</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募投项目的结论性意见。</w:t>
      </w:r>
      <w:r>
        <w:rPr>
          <w:rFonts w:hint="eastAsia" w:ascii="仿宋" w:hAnsi="仿宋" w:eastAsia="仿宋" w:cs="Times New Roman"/>
          <w:b w:val="0"/>
          <w:bCs w:val="0"/>
          <w:color w:val="000000"/>
          <w:sz w:val="32"/>
          <w:szCs w:val="32"/>
        </w:rPr>
        <w:t>取消或者终止原募集资金投资项目，实施新项目或者永久补充流动资金的，保荐人应当结合前期披露的募集资金相关文件，具体说明募集资金投资项目发生较大变化的主要原因及前期保荐意见的合理性。</w:t>
      </w:r>
    </w:p>
    <w:p>
      <w:pPr>
        <w:spacing w:line="560" w:lineRule="exact"/>
        <w:ind w:firstLine="640" w:firstLineChars="200"/>
        <w:rPr>
          <w:rFonts w:ascii="仿宋" w:hAnsi="仿宋" w:eastAsia="仿宋"/>
          <w:color w:val="000000"/>
          <w:sz w:val="32"/>
          <w:szCs w:val="32"/>
        </w:rPr>
      </w:pPr>
    </w:p>
    <w:p>
      <w:pPr>
        <w:spacing w:line="56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XXXXXX股份有限公司董事会</w:t>
      </w:r>
    </w:p>
    <w:p>
      <w:pPr>
        <w:widowControl/>
        <w:jc w:val="right"/>
        <w:rPr>
          <w:rFonts w:ascii="仿宋" w:hAnsi="仿宋" w:eastAsia="仿宋"/>
          <w:color w:val="000000"/>
          <w:sz w:val="32"/>
          <w:szCs w:val="32"/>
        </w:rPr>
      </w:pPr>
      <w:r>
        <w:rPr>
          <w:rFonts w:hint="eastAsia" w:ascii="仿宋" w:hAnsi="仿宋" w:eastAsia="仿宋"/>
          <w:color w:val="000000"/>
          <w:sz w:val="32"/>
          <w:szCs w:val="32"/>
        </w:rPr>
        <w:t>年  月  日</w:t>
      </w:r>
    </w:p>
    <w:p>
      <w:pPr>
        <w:widowControl/>
        <w:jc w:val="right"/>
        <w:rPr>
          <w:rFonts w:ascii="仿宋" w:hAnsi="仿宋" w:eastAsia="仿宋"/>
          <w:color w:val="000000"/>
          <w:sz w:val="32"/>
          <w:szCs w:val="32"/>
        </w:rPr>
      </w:pPr>
    </w:p>
    <w:p>
      <w:pPr>
        <w:widowControl/>
        <w:jc w:val="right"/>
        <w:rPr>
          <w:rFonts w:ascii="仿宋" w:hAnsi="仿宋" w:eastAsia="仿宋"/>
          <w:color w:val="000000"/>
          <w:sz w:val="32"/>
          <w:szCs w:val="32"/>
        </w:rPr>
      </w:pPr>
    </w:p>
    <w:p>
      <w:pPr>
        <w:widowControl/>
        <w:jc w:val="right"/>
        <w:rPr>
          <w:rFonts w:ascii="仿宋" w:hAnsi="仿宋" w:eastAsia="仿宋"/>
          <w:color w:val="000000"/>
          <w:sz w:val="32"/>
          <w:szCs w:val="32"/>
        </w:rPr>
      </w:pPr>
    </w:p>
    <w:p>
      <w:pPr>
        <w:spacing w:line="560" w:lineRule="exact"/>
        <w:ind w:firstLine="640"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1</w:t>
      </w:r>
      <w:r>
        <w:rPr>
          <w:rFonts w:hint="eastAsia" w:ascii="仿宋" w:hAnsi="仿宋" w:eastAsia="仿宋"/>
          <w:color w:val="000000"/>
          <w:sz w:val="32"/>
          <w:szCs w:val="32"/>
        </w:rPr>
        <w:t>. 保荐人或者独立财务顾问意见（如适用）；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2</w:t>
      </w:r>
      <w:r>
        <w:rPr>
          <w:rFonts w:hint="eastAsia" w:ascii="仿宋" w:hAnsi="仿宋" w:eastAsia="仿宋"/>
          <w:color w:val="000000"/>
          <w:sz w:val="32"/>
          <w:szCs w:val="32"/>
        </w:rPr>
        <w:t>. 新项目的可行性研究报告；</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3</w:t>
      </w:r>
      <w:r>
        <w:rPr>
          <w:rFonts w:hint="eastAsia" w:ascii="仿宋" w:hAnsi="仿宋" w:eastAsia="仿宋"/>
          <w:color w:val="000000"/>
          <w:sz w:val="32"/>
          <w:szCs w:val="32"/>
        </w:rPr>
        <w:t>. 有关部门的批文（如有）</w:t>
      </w:r>
      <w:r>
        <w:rPr>
          <w:rFonts w:hint="eastAsia" w:ascii="仿宋" w:hAnsi="仿宋" w:eastAsia="仿宋"/>
          <w:color w:val="000000"/>
          <w:sz w:val="32"/>
          <w:szCs w:val="32"/>
          <w:lang w:eastAsia="zh"/>
        </w:rPr>
        <w:t>。</w:t>
      </w: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24" w:name="_Toc5187"/>
      <w:bookmarkStart w:id="25" w:name="_Toc164973702"/>
      <w:bookmarkStart w:id="26" w:name="_Toc8752"/>
      <w:r>
        <w:rPr>
          <w:rFonts w:hint="eastAsia" w:ascii="方正小标宋简体" w:hAnsi="仿宋" w:eastAsia="方正小标宋简体"/>
          <w:kern w:val="44"/>
          <w:sz w:val="44"/>
          <w:szCs w:val="44"/>
        </w:rPr>
        <w:t>第9号 上市公司股票交易异常波动/严重异常波动公告格式</w:t>
      </w:r>
      <w:bookmarkEnd w:id="24"/>
      <w:bookmarkEnd w:id="25"/>
      <w:bookmarkEnd w:id="26"/>
    </w:p>
    <w:p>
      <w:pPr>
        <w:autoSpaceDE w:val="0"/>
        <w:autoSpaceDN w:val="0"/>
        <w:adjustRightIn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XXXXXX股份有限公司股票交易异常波动公告</w:t>
      </w:r>
    </w:p>
    <w:p>
      <w:pPr>
        <w:autoSpaceDE w:val="0"/>
        <w:autoSpaceDN w:val="0"/>
        <w:adjustRightInd w:val="0"/>
        <w:spacing w:line="560" w:lineRule="exact"/>
        <w:ind w:right="360"/>
        <w:rPr>
          <w:rFonts w:ascii="仿宋" w:hAnsi="仿宋" w:eastAsia="仿宋" w:cs="宋体"/>
          <w:color w:val="000000"/>
          <w:kern w:val="0"/>
          <w:sz w:val="32"/>
          <w:szCs w:val="32"/>
        </w:rPr>
      </w:pPr>
      <w:r>
        <mc:AlternateContent>
          <mc:Choice Requires="wps">
            <w:drawing>
              <wp:anchor distT="0" distB="0" distL="114300" distR="114300" simplePos="0" relativeHeight="251681792" behindDoc="0" locked="0" layoutInCell="1" allowOverlap="1">
                <wp:simplePos x="0" y="0"/>
                <wp:positionH relativeFrom="column">
                  <wp:posOffset>38100</wp:posOffset>
                </wp:positionH>
                <wp:positionV relativeFrom="paragraph">
                  <wp:posOffset>203835</wp:posOffset>
                </wp:positionV>
                <wp:extent cx="5715000" cy="1552575"/>
                <wp:effectExtent l="4445" t="5080" r="14605" b="4445"/>
                <wp:wrapNone/>
                <wp:docPr id="115" name="矩形 115"/>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pt;margin-top:16.05pt;height:122.25pt;width:450pt;z-index:251681792;mso-width-relative:page;mso-height-relative:page;" fillcolor="#FFFFFF" filled="t" stroked="t" coordsize="21600,21600" o:gfxdata="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oIrCtYAAAAIAQAADwAAAAAAAAABACAAAAAiAAAA&#10;ZHJzL2Rvd25yZXYueG1sUEsBAhQAFAAAAAgAh07iQBBPrbdCAgAAjQQAAA4AAAAAAAAAAQAgAAAA&#10;JQ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cs="宋体"/>
          <w:color w:val="000000"/>
          <w:kern w:val="0"/>
          <w:sz w:val="32"/>
          <w:szCs w:val="32"/>
        </w:rPr>
      </w:pPr>
    </w:p>
    <w:p>
      <w:pPr>
        <w:autoSpaceDE w:val="0"/>
        <w:autoSpaceDN w:val="0"/>
        <w:adjustRightInd w:val="0"/>
        <w:spacing w:line="560" w:lineRule="exact"/>
        <w:ind w:right="360"/>
        <w:rPr>
          <w:rFonts w:ascii="仿宋" w:hAnsi="仿宋" w:eastAsia="仿宋" w:cs="宋体"/>
          <w:color w:val="000000"/>
          <w:kern w:val="0"/>
          <w:sz w:val="32"/>
          <w:szCs w:val="32"/>
        </w:rPr>
      </w:pPr>
    </w:p>
    <w:p>
      <w:pPr>
        <w:autoSpaceDE w:val="0"/>
        <w:autoSpaceDN w:val="0"/>
        <w:adjustRightInd w:val="0"/>
        <w:spacing w:line="560" w:lineRule="exact"/>
        <w:ind w:right="360"/>
        <w:rPr>
          <w:rFonts w:ascii="仿宋" w:hAnsi="仿宋" w:eastAsia="仿宋"/>
          <w:color w:val="000000"/>
          <w:sz w:val="32"/>
          <w:szCs w:val="32"/>
        </w:rPr>
      </w:pPr>
    </w:p>
    <w:p>
      <w:pPr>
        <w:autoSpaceDE w:val="0"/>
        <w:autoSpaceDN w:val="0"/>
        <w:adjustRightInd w:val="0"/>
        <w:spacing w:line="560" w:lineRule="exact"/>
        <w:ind w:right="360"/>
        <w:rPr>
          <w:rFonts w:ascii="仿宋" w:hAnsi="仿宋" w:eastAsia="仿宋"/>
          <w:color w:val="000000"/>
          <w:sz w:val="32"/>
          <w:szCs w:val="32"/>
        </w:rPr>
      </w:pPr>
    </w:p>
    <w:p>
      <w:pPr>
        <w:spacing w:line="560" w:lineRule="exact"/>
        <w:ind w:firstLine="640"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重要内容提示：</w:t>
      </w:r>
    </w:p>
    <w:p>
      <w:pPr>
        <w:spacing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color w:val="000000"/>
          <w:sz w:val="32"/>
          <w:szCs w:val="32"/>
          <w:highlight w:val="none"/>
          <w:lang w:eastAsia="zh-CN"/>
        </w:rPr>
        <w:t>股票交易异常波动</w:t>
      </w:r>
      <w:r>
        <w:rPr>
          <w:rFonts w:hint="eastAsia" w:ascii="仿宋" w:hAnsi="仿宋" w:eastAsia="仿宋"/>
          <w:color w:val="000000"/>
          <w:sz w:val="32"/>
          <w:szCs w:val="32"/>
          <w:highlight w:val="none"/>
          <w:lang w:val="en-US" w:eastAsia="zh-CN"/>
        </w:rPr>
        <w:t>/严重异常波动的情况</w:t>
      </w:r>
      <w:r>
        <w:rPr>
          <w:rFonts w:hint="eastAsia" w:ascii="仿宋" w:hAnsi="仿宋" w:eastAsia="仿宋"/>
          <w:color w:val="000000"/>
          <w:sz w:val="32"/>
          <w:szCs w:val="32"/>
          <w:highlight w:val="none"/>
        </w:rPr>
        <w:t>。</w:t>
      </w:r>
    </w:p>
    <w:p>
      <w:pPr>
        <w:spacing w:line="56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2. 公司关注、核查发现的重大事项和风险事项。</w:t>
      </w:r>
    </w:p>
    <w:p>
      <w:pPr>
        <w:spacing w:line="560" w:lineRule="exact"/>
        <w:ind w:firstLine="640" w:firstLineChars="200"/>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3. 风险提示。例如涉及热点概念炒作的，应当视情况结合概念事项与公司实际经营业务的关联性、对公司整体经营和财务的具体影响、业务实际开展情况和可持续性等，就其中的不确定性和可能存在的风险等向投资者充分提示。上市公司股票存在股价处于历史高位/低位，换手率较高，股票市盈率、市净率显著高/低于行业平均水平的，应当结合具体情况披露同行业比较情况等并提示相关风险。上市公司经营业绩无明显变化的，还应当明确说明该情况，并提示市场交易变化无对应盈利能力变化支撑的风险。</w:t>
      </w:r>
    </w:p>
    <w:p>
      <w:pPr>
        <w:snapToGrid w:val="0"/>
        <w:spacing w:line="560" w:lineRule="exact"/>
        <w:ind w:firstLine="640" w:firstLineChars="200"/>
        <w:rPr>
          <w:rFonts w:ascii="仿宋" w:hAnsi="仿宋" w:eastAsia="仿宋"/>
          <w:b/>
          <w:sz w:val="32"/>
          <w:szCs w:val="32"/>
        </w:rPr>
      </w:pPr>
      <w:r>
        <w:rPr>
          <w:rFonts w:hint="eastAsia" w:ascii="仿宋" w:hAnsi="仿宋" w:eastAsia="仿宋"/>
          <w:b/>
          <w:sz w:val="32"/>
          <w:szCs w:val="32"/>
        </w:rPr>
        <w:t>一、股票交易异常波动/严重异常波动的具体情况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说明股票交易异常波动/严重异常波动的具体情形及发生时间等。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触及本所《交易</w:t>
      </w:r>
      <w:r>
        <w:rPr>
          <w:rFonts w:hint="eastAsia" w:ascii="仿宋" w:hAnsi="仿宋" w:eastAsia="仿宋"/>
          <w:sz w:val="32"/>
          <w:szCs w:val="32"/>
          <w:lang w:eastAsia="zh-CN"/>
        </w:rPr>
        <w:t>规则</w:t>
      </w:r>
      <w:r>
        <w:rPr>
          <w:rFonts w:hint="eastAsia" w:ascii="仿宋" w:hAnsi="仿宋" w:eastAsia="仿宋"/>
          <w:sz w:val="32"/>
          <w:szCs w:val="32"/>
        </w:rPr>
        <w:t>》规定的异常波动标准的，公司可参考以下表述描述股票交易异常情形：①公司股票交易连续3个交易日内日收盘价格涨（跌）幅偏离值累计达到±30%；②中国证监会或本所认为属于异常波动的其他情形。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触及《交易</w:t>
      </w:r>
      <w:r>
        <w:rPr>
          <w:rFonts w:hint="eastAsia" w:ascii="仿宋" w:hAnsi="仿宋" w:eastAsia="仿宋"/>
          <w:sz w:val="32"/>
          <w:szCs w:val="32"/>
          <w:lang w:eastAsia="zh-CN"/>
        </w:rPr>
        <w:t>规则</w:t>
      </w:r>
      <w:r>
        <w:rPr>
          <w:rFonts w:hint="eastAsia" w:ascii="仿宋" w:hAnsi="仿宋" w:eastAsia="仿宋"/>
          <w:sz w:val="32"/>
          <w:szCs w:val="32"/>
        </w:rPr>
        <w:t>》规定的严重异常波动标准的，公司可参考以下表述描述股票交易严重异常情形：①公司股票交易连续10个交易日内3次出现同向股票交易异常波动情形；②公司股票交易连续10个交易日内日收盘价格涨（跌）幅偏离值累计达到+100%（-50%）；③公司股票交易连续30个交易日内日收盘价格涨（跌）幅偏离值累计达到+200%（-70%）；④中国证监会或者本所认定属于严重异常波动的其他情形。如上市公司股票交易出现严重异常波动的多种情形，应当列明出现的所有情形。</w:t>
      </w:r>
    </w:p>
    <w:p>
      <w:pPr>
        <w:spacing w:line="560" w:lineRule="exact"/>
        <w:ind w:firstLine="640" w:firstLineChars="200"/>
        <w:rPr>
          <w:rFonts w:ascii="仿宋" w:hAnsi="仿宋" w:eastAsia="仿宋"/>
          <w:sz w:val="32"/>
          <w:szCs w:val="32"/>
        </w:rPr>
      </w:pPr>
      <w:r>
        <w:rPr>
          <w:rFonts w:hint="eastAsia" w:ascii="仿宋" w:hAnsi="仿宋" w:eastAsia="仿宋"/>
          <w:b/>
          <w:sz w:val="32"/>
          <w:szCs w:val="32"/>
        </w:rPr>
        <w:t>二、说明关注、核实情况</w:t>
      </w:r>
    </w:p>
    <w:p>
      <w:pPr>
        <w:spacing w:line="560" w:lineRule="exact"/>
        <w:ind w:firstLine="656" w:firstLineChars="205"/>
        <w:rPr>
          <w:rFonts w:hint="eastAsia" w:ascii="仿宋" w:hAnsi="仿宋" w:eastAsia="仿宋"/>
          <w:sz w:val="32"/>
          <w:szCs w:val="32"/>
        </w:rPr>
      </w:pPr>
      <w:r>
        <w:rPr>
          <w:rFonts w:hint="eastAsia" w:ascii="仿宋" w:hAnsi="仿宋" w:eastAsia="仿宋"/>
          <w:sz w:val="32"/>
          <w:szCs w:val="32"/>
        </w:rPr>
        <w:t>1. 说明关注问题、核实对象、核实方式、核实结论等。关注问题包括</w:t>
      </w:r>
      <w:r>
        <w:rPr>
          <w:rFonts w:hint="eastAsia" w:ascii="仿宋" w:hAnsi="仿宋" w:eastAsia="仿宋"/>
          <w:sz w:val="32"/>
          <w:szCs w:val="32"/>
          <w:lang w:eastAsia="zh-CN"/>
        </w:rPr>
        <w:t>但</w:t>
      </w:r>
      <w:r>
        <w:rPr>
          <w:rFonts w:hint="eastAsia" w:ascii="仿宋" w:hAnsi="仿宋" w:eastAsia="仿宋"/>
          <w:sz w:val="32"/>
          <w:szCs w:val="32"/>
        </w:rPr>
        <w:t>不限于：</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）生产经营情况。</w:t>
      </w:r>
      <w:r>
        <w:rPr>
          <w:rFonts w:hint="eastAsia" w:ascii="仿宋" w:hAnsi="仿宋" w:eastAsia="仿宋"/>
          <w:sz w:val="32"/>
          <w:szCs w:val="32"/>
          <w:highlight w:val="none"/>
        </w:rPr>
        <w:t>近期公司经营情况及内外部经营环境是否或预计将要发生重大变化</w:t>
      </w:r>
      <w:r>
        <w:rPr>
          <w:rFonts w:hint="eastAsia" w:ascii="仿宋" w:hAnsi="仿宋" w:eastAsia="仿宋"/>
          <w:sz w:val="32"/>
          <w:szCs w:val="32"/>
          <w:highlight w:val="none"/>
          <w:lang w:eastAsia="zh-CN"/>
        </w:rPr>
        <w:t>。如涉及市场热点，应当说明相关业务的实际开展情况、投入计划和进展、竞争和其他壁垒风险，短期内对公司经营业绩的影响等，并结合公司目前业绩提示相关经营风险。</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）重大事项情况。公司、控股股东和实际控制人等是否有</w:t>
      </w:r>
      <w:r>
        <w:rPr>
          <w:rFonts w:hint="eastAsia" w:ascii="仿宋" w:hAnsi="仿宋" w:eastAsia="仿宋"/>
          <w:sz w:val="32"/>
          <w:szCs w:val="32"/>
          <w:highlight w:val="none"/>
        </w:rPr>
        <w:t>处于筹划阶段的重大事项</w:t>
      </w:r>
      <w:r>
        <w:rPr>
          <w:rFonts w:hint="eastAsia" w:ascii="仿宋" w:hAnsi="仿宋" w:eastAsia="仿宋"/>
          <w:sz w:val="32"/>
          <w:szCs w:val="32"/>
          <w:highlight w:val="none"/>
          <w:lang w:eastAsia="zh-CN"/>
        </w:rPr>
        <w:t>，确有筹划前述重大事项的，应当披露进展情况，存在重大不确定性的，应当提示重大调整、无法按期进行、终止等风险。</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媒体报道、市场传闻、热点概念情况。是否存在可能或已经对公司股票交易价格产生影响的媒体报道或市场传闻，是否涉及热点概念事项等。如是，公司应当进行针对性说明，包括相关事项是否客观存在，与公司有无关联，相关业务所处阶段，对公司生产经营的具体影响，包括营业收入或净利润占比，公司是否具备相关业务开展所需的资金、人员、设备、技术、资质等。</w:t>
      </w:r>
    </w:p>
    <w:p>
      <w:pPr>
        <w:spacing w:line="560" w:lineRule="exact"/>
        <w:ind w:firstLine="640" w:firstLineChars="200"/>
        <w:rPr>
          <w:rFonts w:ascii="仿宋" w:hAnsi="仿宋" w:eastAsia="仿宋"/>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）其他事项。是否出现其他可能对公司股价产生较大影响的重大事件。例如</w:t>
      </w:r>
      <w:r>
        <w:rPr>
          <w:rFonts w:hint="eastAsia" w:ascii="仿宋" w:hAnsi="仿宋" w:eastAsia="仿宋"/>
          <w:sz w:val="32"/>
          <w:szCs w:val="32"/>
        </w:rPr>
        <w:t>前期披露的信息是否存在需要更正、补充之处</w:t>
      </w:r>
      <w:r>
        <w:rPr>
          <w:rFonts w:hint="eastAsia" w:ascii="仿宋" w:hAnsi="仿宋" w:eastAsia="仿宋"/>
          <w:sz w:val="32"/>
          <w:szCs w:val="32"/>
          <w:lang w:eastAsia="zh-CN"/>
        </w:rPr>
        <w:t>，</w:t>
      </w:r>
      <w:r>
        <w:rPr>
          <w:rFonts w:hint="eastAsia" w:ascii="仿宋" w:hAnsi="仿宋" w:eastAsia="仿宋"/>
          <w:sz w:val="32"/>
          <w:szCs w:val="32"/>
        </w:rPr>
        <w:t>公司、控股股东和实际控制人是否存在关于本公司的应披露而未披露的重大事项，以及股票异常波动期间控股股东、实际控制人是否买卖公司股票。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在关注、核实过程中发现涉及其他应披露事项的，要参照相关公告格式对有关事项逐项作出说明和披露。</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t xml:space="preserve"> </w:t>
      </w:r>
      <w:r>
        <w:rPr>
          <w:rFonts w:hint="eastAsia" w:ascii="仿宋" w:hAnsi="仿宋" w:eastAsia="仿宋"/>
          <w:sz w:val="32"/>
          <w:szCs w:val="32"/>
        </w:rPr>
        <w:t>传闻内容虽非涉及公司未公开重大信息，但可能或已经对公司股票交易价格产生较大影响的，真实、准确、完整的说明相关情况对公司的影响并进行风险提示。中国证监会及本所另有要求的除外。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若公司股票交易出现严重异常波动情形的，公司或者相关信息披露义务人还应当核查并披露下列事项：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（1） </w:t>
      </w:r>
      <w:r>
        <w:rPr>
          <w:rFonts w:hint="eastAsia" w:ascii="仿宋" w:hAnsi="仿宋" w:eastAsia="仿宋"/>
          <w:sz w:val="32"/>
          <w:szCs w:val="32"/>
        </w:rPr>
        <w:t>公司是否存在导致股票交易严重异常波动的未披露事项。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公司股价是否严重偏离同行业上市公司合理估值。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公司是否存在重大风险事项。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公司是否存在其他可能导致股票交易严重异常波动的事项。</w:t>
      </w:r>
    </w:p>
    <w:p>
      <w:pPr>
        <w:snapToGrid w:val="0"/>
        <w:spacing w:line="560" w:lineRule="exact"/>
        <w:ind w:firstLine="640" w:firstLineChars="200"/>
        <w:rPr>
          <w:rFonts w:ascii="仿宋" w:hAnsi="仿宋" w:eastAsia="仿宋"/>
          <w:b/>
          <w:sz w:val="32"/>
          <w:szCs w:val="32"/>
        </w:rPr>
      </w:pPr>
      <w:r>
        <w:rPr>
          <w:rFonts w:hint="eastAsia" w:ascii="仿宋" w:hAnsi="仿宋" w:eastAsia="仿宋"/>
          <w:b/>
          <w:sz w:val="32"/>
          <w:szCs w:val="32"/>
        </w:rPr>
        <w:t>三、是否存在应披露而未披露信息的说明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董事会确认，本公司目前没有任何根据《创业板股票上市规则》等有关规定应予以披露而未披露的事项或与该事项有关的筹划、商谈、意向、协议等；董事会也未获悉本公司有根据《创业板股票上市规则》等有关规定应予以披露而未披露的、对本公司股票及其衍生品种交易价格产生较大影响的信息；公司前期披露的信息不存在需要更正、补充之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或：本公司董事会确认，除前述事项（指第二部分涉及的披露事项）外，本公司目前没有任何根据《创业板股票上市规则》规定应予以披露而未披露的事项或与该事项有关的筹划、商谈、意向、协议等；董事会也未获悉本公司有根据《创业板股票上市规则》的规定应予以披露而未披露的、对本公司股票及其衍生品种交易价格产生较大影响的信息；公司前期披露的信息不存在需要更正、补充之处。</w:t>
      </w:r>
    </w:p>
    <w:p>
      <w:pPr>
        <w:snapToGrid w:val="0"/>
        <w:spacing w:line="560" w:lineRule="exact"/>
        <w:ind w:firstLine="640" w:firstLineChars="200"/>
        <w:rPr>
          <w:rFonts w:ascii="仿宋" w:hAnsi="仿宋" w:eastAsia="仿宋"/>
          <w:sz w:val="32"/>
          <w:szCs w:val="32"/>
        </w:rPr>
      </w:pPr>
      <w:r>
        <w:rPr>
          <w:rFonts w:hint="eastAsia" w:ascii="仿宋" w:hAnsi="仿宋" w:eastAsia="仿宋"/>
          <w:b/>
          <w:sz w:val="32"/>
          <w:szCs w:val="32"/>
        </w:rPr>
        <w:t>四、上市公司认为必要的风险提示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公司应自查是否存在违反信息公平披露的情形，并在公告中予以明确说明。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 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56" w:firstLineChars="205"/>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 如果公司</w:t>
      </w:r>
      <w:r>
        <w:rPr>
          <w:rFonts w:hint="eastAsia" w:ascii="仿宋" w:hAnsi="仿宋" w:eastAsia="仿宋"/>
          <w:sz w:val="32"/>
          <w:szCs w:val="32"/>
          <w:highlight w:val="none"/>
          <w:lang w:eastAsia="zh-CN"/>
        </w:rPr>
        <w:t>涉及热点概念事项，</w:t>
      </w:r>
      <w:r>
        <w:rPr>
          <w:rFonts w:hint="eastAsia" w:ascii="仿宋" w:hAnsi="仿宋" w:eastAsia="仿宋"/>
          <w:sz w:val="32"/>
          <w:szCs w:val="32"/>
          <w:highlight w:val="none"/>
          <w:lang w:val="en-US" w:eastAsia="zh-CN"/>
        </w:rPr>
        <w:t>应当结合实际情况提示风险，例如相关业务尚处于磋商或起步阶段，其推进或者实施存在不确定性，尚不具备商业化的条件，行业壁垒较低竞争压力较大，以及对公司营业收入、利润增长没有实质或者重大影响等。</w:t>
      </w:r>
    </w:p>
    <w:p>
      <w:pPr>
        <w:spacing w:line="560" w:lineRule="exact"/>
        <w:ind w:firstLine="656" w:firstLineChars="205"/>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 如果公司股价连续多日涨/跌停、股价涨/跌幅大于行业内大部分公司涨/跌幅、股价剔除大盘和板块整体因素后的实际波动幅度较大、股价处于历史高/低位或者换手率较高，应当说明相关情况并提示风险。</w:t>
      </w:r>
    </w:p>
    <w:p>
      <w:pPr>
        <w:spacing w:line="560" w:lineRule="exact"/>
        <w:ind w:firstLine="656" w:firstLineChars="205"/>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 如果公司股票市盈率、市净率显著高/低于行业平均水平，应当披露市盈率、市净率同行业比较的具体情况并提示相关风险。</w:t>
      </w:r>
    </w:p>
    <w:p>
      <w:pPr>
        <w:pStyle w:val="2"/>
      </w:pP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 在公告中郑重提醒广大投资者：“《XXXX报》和XXX网站为公司选定的信息披露媒体，公司所有信息均以在上述指定媒体刊登的信息为准，请广大投资者理性投资，注意风险。”</w:t>
      </w:r>
    </w:p>
    <w:p>
      <w:pPr>
        <w:spacing w:line="560" w:lineRule="exact"/>
        <w:ind w:firstLine="640" w:firstLineChars="200"/>
        <w:rPr>
          <w:rFonts w:ascii="仿宋" w:hAnsi="仿宋" w:eastAsia="仿宋"/>
          <w:sz w:val="32"/>
          <w:szCs w:val="32"/>
        </w:rPr>
      </w:pPr>
    </w:p>
    <w:p>
      <w:pPr>
        <w:snapToGrid w:val="0"/>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keepNext/>
        <w:keepLines/>
        <w:spacing w:line="560" w:lineRule="exact"/>
        <w:ind w:firstLine="640" w:firstLineChars="200"/>
        <w:jc w:val="left"/>
        <w:outlineLvl w:val="9"/>
        <w:rPr>
          <w:rFonts w:hint="eastAsia" w:ascii="仿宋" w:hAnsi="仿宋" w:eastAsia="仿宋"/>
          <w:sz w:val="32"/>
          <w:szCs w:val="32"/>
          <w:highlight w:val="none"/>
        </w:rPr>
      </w:pPr>
      <w:r>
        <w:rPr>
          <w:rFonts w:hint="eastAsia" w:ascii="仿宋" w:hAnsi="仿宋" w:eastAsia="仿宋"/>
          <w:sz w:val="32"/>
          <w:szCs w:val="32"/>
          <w:highlight w:val="none"/>
        </w:rPr>
        <w:t>公司向有关人员的核实函及回函。</w:t>
      </w:r>
    </w:p>
    <w:p>
      <w:pPr>
        <w:keepNext/>
        <w:keepLines/>
        <w:spacing w:line="560" w:lineRule="exact"/>
        <w:ind w:firstLine="640" w:firstLineChars="200"/>
        <w:jc w:val="center"/>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27" w:name="_Toc164973703"/>
      <w:bookmarkStart w:id="28" w:name="_Toc8352"/>
      <w:bookmarkStart w:id="29" w:name="_Toc12171"/>
      <w:r>
        <w:rPr>
          <w:rFonts w:hint="eastAsia" w:ascii="方正小标宋简体" w:hAnsi="仿宋" w:eastAsia="方正小标宋简体"/>
          <w:kern w:val="44"/>
          <w:sz w:val="44"/>
          <w:szCs w:val="44"/>
        </w:rPr>
        <w:t>第10号 上市公司澄清公告格式</w:t>
      </w:r>
      <w:bookmarkEnd w:id="27"/>
      <w:bookmarkEnd w:id="28"/>
      <w:bookmarkEnd w:id="29"/>
    </w:p>
    <w:p>
      <w:pPr>
        <w:snapToGri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XXXXXX股份有限公司澄清公告</w:t>
      </w:r>
    </w:p>
    <w:p>
      <w:pPr>
        <w:spacing w:line="560" w:lineRule="exact"/>
        <w:rPr>
          <w:rFonts w:ascii="仿宋" w:hAnsi="仿宋" w:eastAsia="仿宋" w:cs="宋体"/>
          <w:color w:val="000000"/>
          <w:kern w:val="0"/>
          <w:sz w:val="32"/>
          <w:szCs w:val="32"/>
        </w:rPr>
      </w:pPr>
      <w:r>
        <mc:AlternateContent>
          <mc:Choice Requires="wps">
            <w:drawing>
              <wp:anchor distT="0" distB="0" distL="114300" distR="114300" simplePos="0" relativeHeight="251682816" behindDoc="0" locked="0" layoutInCell="1" allowOverlap="1">
                <wp:simplePos x="0" y="0"/>
                <wp:positionH relativeFrom="column">
                  <wp:posOffset>-85725</wp:posOffset>
                </wp:positionH>
                <wp:positionV relativeFrom="paragraph">
                  <wp:posOffset>26035</wp:posOffset>
                </wp:positionV>
                <wp:extent cx="5715000" cy="1552575"/>
                <wp:effectExtent l="4445" t="5080" r="14605" b="4445"/>
                <wp:wrapNone/>
                <wp:docPr id="114" name="矩形 114"/>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75pt;margin-top:2.05pt;height:122.25pt;width:450pt;z-index:251682816;mso-width-relative:page;mso-height-relative:page;" fillcolor="#FFFFFF" filled="t" stroked="t" coordsize="21600,21600" o:gfxdata="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&#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4eamNcAAAAJAQAADwAAAAAAAAABACAAAAAiAAAA&#10;ZHJzL2Rvd25yZXYueG1sUEsBAhQAFAAAAAgAh07iQABy1O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rPr>
          <w:rFonts w:ascii="仿宋" w:hAnsi="仿宋" w:eastAsia="仿宋" w:cs="宋体"/>
          <w:color w:val="000000"/>
          <w:kern w:val="0"/>
          <w:sz w:val="32"/>
          <w:szCs w:val="32"/>
        </w:rPr>
      </w:pPr>
    </w:p>
    <w:p>
      <w:pPr>
        <w:spacing w:line="560" w:lineRule="exact"/>
        <w:rPr>
          <w:rFonts w:ascii="仿宋" w:hAnsi="仿宋" w:eastAsia="仿宋" w:cs="宋体"/>
          <w:color w:val="000000"/>
          <w:kern w:val="0"/>
          <w:sz w:val="32"/>
          <w:szCs w:val="32"/>
        </w:rPr>
      </w:pPr>
    </w:p>
    <w:p>
      <w:pPr>
        <w:spacing w:line="560" w:lineRule="exact"/>
        <w:rPr>
          <w:rFonts w:ascii="仿宋" w:hAnsi="仿宋" w:eastAsia="仿宋"/>
          <w:sz w:val="32"/>
          <w:szCs w:val="32"/>
        </w:rPr>
      </w:pPr>
    </w:p>
    <w:p>
      <w:pPr>
        <w:spacing w:line="560" w:lineRule="exact"/>
        <w:ind w:firstLine="640" w:firstLineChars="200"/>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一、传闻情况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简要说明传闻涉及媒体名称、传播时间、媒体报道或研究报告署名单位和个人、文章标题、主要涉及事项等。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传闻（1）：……</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传闻（2）：……</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传闻情况部分应注意：①传闻涉及事项应分条说明；②传闻较多或传闻篇幅较大的，应经归纳、提炼后说明要点及涉及的相关媒体、传播时间等。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二、澄清说明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经核实，本公司针对上述传闻事项说明如下：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传闻（1）是否属实，公司相关真实情况。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传闻（2）是否属实，公司相关真实情况。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澄清说明部分应注意：①上市公司董事会应针对传闻的起因、传闻内容是否属实、结论能否成立、传闻的影响、相关责任人等事项进行认真调查、核实；②针对传闻事项逐条说明；③传闻与事实不符的，应同时说明相关事项当前状态、未来可能的发展、对公司影响及其他可能影响投资者判断信息；④传闻涉及分析的，说明假设条件是否成立、逻辑推理是否严谨、结论是否成立；⑤确有充分理由无法判断传闻是否属实的，应说明前期查实情况、无法判断的理由、有无进一步查实的计划等；</w:t>
      </w:r>
      <w:r>
        <w:rPr>
          <w:rFonts w:hint="eastAsia" w:ascii="仿宋" w:hAnsi="仿宋" w:eastAsia="仿宋"/>
          <w:sz w:val="32"/>
          <w:szCs w:val="32"/>
          <w:lang w:eastAsia="zh-CN"/>
        </w:rPr>
        <w:t>⑥</w:t>
      </w:r>
      <w:r>
        <w:rPr>
          <w:rFonts w:hint="eastAsia" w:ascii="仿宋" w:hAnsi="仿宋" w:eastAsia="仿宋"/>
          <w:sz w:val="32"/>
          <w:szCs w:val="32"/>
        </w:rPr>
        <w:t>传闻涉及筹划中的重大事项，应说明该事项目前的基本情况、后续计划及不确定性；</w:t>
      </w:r>
      <w:r>
        <w:rPr>
          <w:rFonts w:hint="eastAsia" w:ascii="仿宋" w:hAnsi="仿宋" w:eastAsia="仿宋"/>
          <w:sz w:val="32"/>
          <w:szCs w:val="32"/>
          <w:lang w:eastAsia="zh-CN"/>
        </w:rPr>
        <w:t>⑦</w:t>
      </w:r>
      <w:r>
        <w:rPr>
          <w:rFonts w:hint="eastAsia" w:ascii="仿宋" w:hAnsi="仿宋" w:eastAsia="仿宋"/>
          <w:sz w:val="32"/>
          <w:szCs w:val="32"/>
        </w:rPr>
        <w:t>传闻涉及已披露信息的，公告可以提示披露媒体、时间、标题，方便投资者查阅，也可以在突出澄清重点的原则下复述。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传闻与上市公司以外的第三方有关的，公司应在履行必要的核实程序作出说明。</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三、其他说明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1．因上市公司或其他信息披露义务人违反信息披露原则而产生传闻的（如适用），说明违反信息披露原则的情形及责任追究情况。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2．因媒体、证券分析师误解而产生传闻的（如适用），公司应在澄清公告中对媒体、证券分析师纠正情况进行说明，并提请投资者予以关注。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因相关机构或个人散布谣言、报道误导性消息、发布误导性分析结果而产生传闻的（如适用），公司应明确说明对相关机构或个人散布谣言、报道误导性消息、发布误导性分析结果的立场和观点。公司可以谴责相关当事人不负责任的行为，声明保留追究法律责任的权利。</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四、必要的提示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1．与传闻涉及事项有关的风险提示（如适用）；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2．无法判断</w:t>
      </w:r>
      <w:r>
        <w:rPr>
          <w:rFonts w:hint="eastAsia" w:ascii="仿宋" w:hAnsi="仿宋" w:eastAsia="仿宋"/>
          <w:sz w:val="32"/>
          <w:szCs w:val="32"/>
          <w:lang w:eastAsia="zh"/>
        </w:rPr>
        <w:t>传闻</w:t>
      </w:r>
      <w:r>
        <w:rPr>
          <w:rFonts w:hint="eastAsia" w:ascii="仿宋" w:hAnsi="仿宋" w:eastAsia="仿宋"/>
          <w:sz w:val="32"/>
          <w:szCs w:val="32"/>
        </w:rPr>
        <w:t>是否属实的风险提示（如适用）；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3．《××××报》、（网站）…… 为本公司指定的信息披露媒体，公司所有信息均以公司在上述媒体刊登的公告为准。</w:t>
      </w:r>
    </w:p>
    <w:p>
      <w:pPr>
        <w:spacing w:line="560" w:lineRule="exact"/>
        <w:ind w:firstLine="640" w:firstLineChars="200"/>
        <w:rPr>
          <w:rFonts w:ascii="仿宋" w:hAnsi="仿宋" w:eastAsia="仿宋"/>
          <w:b/>
          <w:sz w:val="32"/>
          <w:szCs w:val="32"/>
        </w:rPr>
      </w:pPr>
    </w:p>
    <w:p>
      <w:pPr>
        <w:spacing w:line="560" w:lineRule="exact"/>
        <w:ind w:firstLine="540"/>
        <w:rPr>
          <w:rFonts w:ascii="仿宋" w:hAnsi="仿宋" w:eastAsia="仿宋"/>
          <w:sz w:val="32"/>
          <w:szCs w:val="32"/>
        </w:rPr>
      </w:pPr>
    </w:p>
    <w:p>
      <w:pPr>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rPr>
          <w:rFonts w:ascii="仿宋" w:hAnsi="仿宋" w:eastAsia="仿宋"/>
          <w:sz w:val="32"/>
          <w:szCs w:val="32"/>
        </w:rPr>
      </w:pPr>
      <w:r>
        <w:rPr>
          <w:rFonts w:hint="eastAsia" w:ascii="仿宋" w:hAnsi="仿宋" w:eastAsia="仿宋"/>
          <w:sz w:val="32"/>
          <w:szCs w:val="32"/>
        </w:rPr>
        <w:t>XXXX年XX月XX日</w:t>
      </w: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tabs>
          <w:tab w:val="left" w:pos="2310"/>
        </w:tabs>
        <w:jc w:val="left"/>
        <w:rPr>
          <w:rFonts w:ascii="仿宋" w:hAnsi="仿宋" w:eastAsia="仿宋"/>
          <w:sz w:val="32"/>
          <w:szCs w:val="32"/>
        </w:rPr>
      </w:pPr>
      <w:r>
        <w:rPr>
          <w:rFonts w:hint="eastAsia" w:ascii="仿宋" w:hAnsi="仿宋" w:eastAsia="仿宋"/>
          <w:sz w:val="32"/>
          <w:szCs w:val="32"/>
        </w:rPr>
        <w:tab/>
      </w: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30" w:name="_Toc32317"/>
      <w:bookmarkStart w:id="31" w:name="_Toc19736"/>
      <w:bookmarkStart w:id="32" w:name="_Toc164973704"/>
      <w:r>
        <w:rPr>
          <w:rFonts w:hint="eastAsia" w:ascii="方正小标宋简体" w:hAnsi="仿宋" w:eastAsia="方正小标宋简体"/>
          <w:kern w:val="44"/>
          <w:sz w:val="44"/>
          <w:szCs w:val="44"/>
        </w:rPr>
        <w:t>第11号 上市公司重大诉讼、仲裁公告格式</w:t>
      </w:r>
      <w:bookmarkEnd w:id="30"/>
      <w:bookmarkEnd w:id="31"/>
      <w:bookmarkEnd w:id="32"/>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XXXXXX股份有限公司重大诉讼、仲裁公告</w:t>
      </w:r>
    </w:p>
    <w:p>
      <w:pPr>
        <w:tabs>
          <w:tab w:val="left" w:pos="1500"/>
        </w:tabs>
        <w:spacing w:line="560" w:lineRule="exact"/>
        <w:ind w:firstLine="420" w:firstLineChars="200"/>
        <w:rPr>
          <w:rFonts w:ascii="仿宋" w:hAnsi="仿宋" w:eastAsia="仿宋" w:cs="宋体"/>
          <w:color w:val="000000"/>
          <w:kern w:val="0"/>
          <w:sz w:val="32"/>
          <w:szCs w:val="32"/>
        </w:rPr>
      </w:pPr>
      <w:r>
        <mc:AlternateContent>
          <mc:Choice Requires="wps">
            <w:drawing>
              <wp:anchor distT="0" distB="0" distL="114300" distR="114300" simplePos="0" relativeHeight="251683840" behindDoc="0" locked="0" layoutInCell="1" allowOverlap="1">
                <wp:simplePos x="0" y="0"/>
                <wp:positionH relativeFrom="column">
                  <wp:posOffset>-95250</wp:posOffset>
                </wp:positionH>
                <wp:positionV relativeFrom="paragraph">
                  <wp:posOffset>16510</wp:posOffset>
                </wp:positionV>
                <wp:extent cx="5715000" cy="1552575"/>
                <wp:effectExtent l="4445" t="5080" r="14605" b="4445"/>
                <wp:wrapNone/>
                <wp:docPr id="113" name="矩形 113"/>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1.3pt;height:122.25pt;width:450pt;z-index:251683840;mso-width-relative:page;mso-height-relative:page;" fillcolor="#FFFFFF" filled="t" stroked="t" coordsize="21600,21600" o:gfxdata="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&#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VOtXtYAAAAJAQAADwAAAAAAAAABACAAAAAiAAAA&#10;ZHJzL2Rvd25yZXYueG1sUEsBAhQAFAAAAAgAh07iQDHHyrdCAgAAjQQAAA4AAAAAAAAAAQAgAAAA&#10;JQ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重要内容提示:</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1. 案件所处的诉讼（仲裁）阶段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2. 上市公司所处的当事人地位</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3. 涉案的金额</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4. 对上市公司损益产生的影响</w:t>
      </w:r>
    </w:p>
    <w:p>
      <w:pPr>
        <w:tabs>
          <w:tab w:val="left" w:pos="1500"/>
        </w:tabs>
        <w:spacing w:line="560" w:lineRule="exact"/>
        <w:ind w:firstLine="640" w:firstLineChars="200"/>
        <w:rPr>
          <w:rFonts w:ascii="仿宋" w:hAnsi="仿宋" w:eastAsia="仿宋"/>
          <w:b/>
          <w:sz w:val="32"/>
          <w:szCs w:val="32"/>
        </w:rPr>
      </w:pP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一、简要介绍本次重大诉讼或仲裁事项受理的基本情况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说明公司提起本次诉讼或仲裁的受理日期、诉讼或仲裁机构名称及所在地、诉讼或仲裁各方当事人、代理人及其单位的姓名或名称。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公司被起诉或被申请仲裁的，说明公司收到起诉状或申请书的时间，诉讼或仲裁机构名称及所在地，诉讼或仲裁各方当事人、代理人及其单位的姓名或名称。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二、有关本案的基本情况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简要介绍本案的基本情况，包括案件事实、有关纠纷的起因、诉讼或仲裁的请求内容、理由等，本方或对方的答辩、反诉或反请求内容及其理由（如有）。</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三、判决或裁决情况（适用于判决或裁决阶段）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包括判决</w:t>
      </w:r>
      <w:r>
        <w:rPr>
          <w:rFonts w:hint="eastAsia" w:ascii="仿宋" w:hAnsi="仿宋" w:eastAsia="仿宋"/>
          <w:sz w:val="32"/>
          <w:szCs w:val="32"/>
          <w:lang w:eastAsia="zh-CN"/>
        </w:rPr>
        <w:t>或</w:t>
      </w:r>
      <w:r>
        <w:rPr>
          <w:rFonts w:hint="eastAsia" w:ascii="仿宋" w:hAnsi="仿宋" w:eastAsia="仿宋"/>
          <w:sz w:val="32"/>
          <w:szCs w:val="32"/>
        </w:rPr>
        <w:t>裁决的日期、判决</w:t>
      </w:r>
      <w:r>
        <w:rPr>
          <w:rFonts w:hint="eastAsia" w:ascii="仿宋" w:hAnsi="仿宋" w:eastAsia="仿宋"/>
          <w:sz w:val="32"/>
          <w:szCs w:val="32"/>
          <w:lang w:eastAsia="zh-CN"/>
        </w:rPr>
        <w:t>或</w:t>
      </w:r>
      <w:r>
        <w:rPr>
          <w:rFonts w:hint="eastAsia" w:ascii="仿宋" w:hAnsi="仿宋" w:eastAsia="仿宋"/>
          <w:sz w:val="32"/>
          <w:szCs w:val="32"/>
        </w:rPr>
        <w:t>裁决的结果，判决或裁决是否生效以及各方当事人对结果的意见（如有）。</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四、简要说明是否有其他尚未披露的诉讼仲裁事项</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简要介绍本次公告前公司（包括控股公司在内）尚未披露的小额诉讼、仲裁事项。若没有，也需明确说明。</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简要说明公司（包括控股公司在内）是否有应披露而未披露的其他诉讼、仲裁事项。若没有，也需明确说明。</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五、本次公告的诉讼、仲裁对公司本期利润或期后利润的可能影响</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六、其他应注意事项</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上市公司在披露有关诉讼起诉、仲裁申请后，应按分阶段披露原则持续披露案件进展情况，如一审、二审（如有）、再审（如有）、执行等后续进展情况，以及其他对诉讼有重大影响的相关情况。</w:t>
      </w:r>
    </w:p>
    <w:p>
      <w:pPr>
        <w:tabs>
          <w:tab w:val="left" w:pos="1500"/>
        </w:tabs>
        <w:spacing w:line="560" w:lineRule="exact"/>
        <w:ind w:firstLine="640" w:firstLineChars="200"/>
        <w:rPr>
          <w:rFonts w:ascii="仿宋" w:hAnsi="仿宋" w:eastAsia="仿宋"/>
          <w:b/>
          <w:sz w:val="32"/>
          <w:szCs w:val="32"/>
        </w:rPr>
      </w:pPr>
    </w:p>
    <w:p>
      <w:pPr>
        <w:tabs>
          <w:tab w:val="left" w:pos="1500"/>
        </w:tabs>
        <w:spacing w:line="560" w:lineRule="exact"/>
        <w:ind w:firstLine="640" w:firstLineChars="200"/>
        <w:rPr>
          <w:rFonts w:ascii="仿宋" w:hAnsi="仿宋" w:eastAsia="仿宋"/>
          <w:b/>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方正小标宋简体" w:hAnsi="仿宋" w:eastAsia="方正小标宋简体"/>
          <w:kern w:val="44"/>
          <w:sz w:val="44"/>
          <w:szCs w:val="44"/>
        </w:rPr>
      </w:pPr>
      <w:r>
        <w:rPr>
          <w:rFonts w:hint="eastAsia" w:ascii="仿宋" w:hAnsi="仿宋" w:eastAsia="仿宋"/>
          <w:sz w:val="32"/>
          <w:szCs w:val="32"/>
        </w:rPr>
        <w:t>XXXX年XX月XX日</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备查文件</w:t>
      </w:r>
    </w:p>
    <w:p>
      <w:pPr>
        <w:tabs>
          <w:tab w:val="left" w:pos="1500"/>
        </w:tabs>
        <w:spacing w:line="560" w:lineRule="exact"/>
        <w:ind w:firstLine="640" w:firstLineChars="200"/>
        <w:rPr>
          <w:rFonts w:hint="eastAsia" w:ascii="仿宋" w:hAnsi="仿宋" w:eastAsia="仿宋"/>
          <w:sz w:val="32"/>
          <w:szCs w:val="32"/>
          <w:lang w:eastAsia="zh"/>
        </w:rPr>
      </w:pPr>
      <w:r>
        <w:rPr>
          <w:rFonts w:hint="eastAsia" w:ascii="仿宋" w:hAnsi="仿宋" w:eastAsia="仿宋"/>
          <w:sz w:val="32"/>
          <w:szCs w:val="32"/>
        </w:rPr>
        <w:t>判决或裁决文书</w:t>
      </w:r>
      <w:r>
        <w:rPr>
          <w:rFonts w:hint="eastAsia" w:ascii="仿宋" w:hAnsi="仿宋" w:eastAsia="仿宋"/>
          <w:sz w:val="32"/>
          <w:szCs w:val="32"/>
          <w:lang w:eastAsia="zh"/>
        </w:rPr>
        <w:t>。</w:t>
      </w:r>
    </w:p>
    <w:p>
      <w:pPr>
        <w:tabs>
          <w:tab w:val="left" w:pos="1500"/>
        </w:tabs>
        <w:spacing w:line="560" w:lineRule="exact"/>
        <w:ind w:firstLine="640" w:firstLineChars="200"/>
        <w:rPr>
          <w:rFonts w:ascii="仿宋" w:hAnsi="仿宋" w:eastAsia="仿宋"/>
          <w:sz w:val="32"/>
          <w:szCs w:val="32"/>
        </w:rPr>
      </w:pPr>
    </w:p>
    <w:p>
      <w:pPr>
        <w:keepNext/>
        <w:keepLines/>
        <w:spacing w:line="560" w:lineRule="exact"/>
        <w:jc w:val="center"/>
        <w:outlineLvl w:val="2"/>
        <w:rPr>
          <w:rFonts w:ascii="方正小标宋简体" w:hAnsi="仿宋" w:eastAsia="方正小标宋简体"/>
          <w:kern w:val="44"/>
          <w:sz w:val="44"/>
          <w:szCs w:val="44"/>
        </w:rPr>
      </w:pPr>
      <w:r>
        <w:br w:type="page"/>
      </w:r>
      <w:bookmarkStart w:id="33" w:name="_Toc3958"/>
      <w:bookmarkStart w:id="34" w:name="_Toc164973705"/>
      <w:bookmarkStart w:id="35" w:name="_Toc9354"/>
      <w:r>
        <w:rPr>
          <w:rFonts w:hint="eastAsia" w:ascii="方正小标宋简体" w:hAnsi="仿宋" w:eastAsia="方正小标宋简体"/>
          <w:kern w:val="44"/>
          <w:sz w:val="44"/>
          <w:szCs w:val="44"/>
        </w:rPr>
        <w:t>第12号 上市公司债务重组公告格式</w:t>
      </w:r>
      <w:bookmarkEnd w:id="33"/>
      <w:bookmarkEnd w:id="34"/>
      <w:bookmarkEnd w:id="35"/>
    </w:p>
    <w:p>
      <w:pPr>
        <w:tabs>
          <w:tab w:val="left" w:pos="0"/>
        </w:tabs>
        <w:spacing w:line="560" w:lineRule="exact"/>
        <w:jc w:val="center"/>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上市公司债务重组事项触及《创业板股票上市规则》规定的信息披露义务的，适用本公告格式。</w:t>
      </w:r>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XXXXXX股份有限公司债务重组公告</w:t>
      </w:r>
    </w:p>
    <w:p>
      <w:pPr>
        <w:spacing w:line="560" w:lineRule="exact"/>
        <w:ind w:firstLine="420" w:firstLineChars="200"/>
        <w:jc w:val="left"/>
        <w:rPr>
          <w:rFonts w:ascii="仿宋" w:hAnsi="仿宋" w:eastAsia="仿宋"/>
          <w:b/>
          <w:color w:val="000000"/>
          <w:sz w:val="32"/>
          <w:szCs w:val="32"/>
        </w:rPr>
      </w:pPr>
      <w:r>
        <mc:AlternateContent>
          <mc:Choice Requires="wps">
            <w:drawing>
              <wp:anchor distT="0" distB="0" distL="114300" distR="114300" simplePos="0" relativeHeight="251684864" behindDoc="0" locked="0" layoutInCell="1" allowOverlap="1">
                <wp:simplePos x="0" y="0"/>
                <wp:positionH relativeFrom="column">
                  <wp:posOffset>-152400</wp:posOffset>
                </wp:positionH>
                <wp:positionV relativeFrom="paragraph">
                  <wp:posOffset>22860</wp:posOffset>
                </wp:positionV>
                <wp:extent cx="5715000" cy="1552575"/>
                <wp:effectExtent l="4445" t="5080" r="14605" b="4445"/>
                <wp:wrapNone/>
                <wp:docPr id="112" name="矩形 11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1.8pt;height:122.25pt;width:450pt;z-index:251684864;mso-width-relative:page;mso-height-relative:page;" fillcolor="#FFFFFF" filled="t" stroked="t" coordsize="21600,21600" o:gfxdata="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&#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oYqpNcAAAAJAQAADwAAAAAAAAABACAAAAAiAAAA&#10;ZHJzL2Rvd25yZXYueG1sUEsBAhQAFAAAAAgAh07iQCH6s+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r>
        <w:rPr>
          <w:rFonts w:hint="eastAsia" w:ascii="仿宋" w:hAnsi="仿宋" w:eastAsia="仿宋"/>
          <w:b/>
          <w:color w:val="000000"/>
          <w:sz w:val="32"/>
          <w:szCs w:val="32"/>
        </w:rPr>
        <w:t>特别风险提示（如适用）：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债务重组存在较大重组风险，或重组完成后对上市公司产生较大风险的，应当以“特别提示”的形式逐项披露重组风险和重组完成后可能给上市公司带来的风险因素，包括但不限于涉及资产的估值风险、权属风险、重组债务审批风险、政策风险等。</w:t>
      </w:r>
    </w:p>
    <w:p>
      <w:pPr>
        <w:spacing w:line="560" w:lineRule="exact"/>
        <w:ind w:firstLine="640" w:firstLineChars="200"/>
        <w:rPr>
          <w:rFonts w:ascii="仿宋" w:hAnsi="仿宋" w:eastAsia="仿宋"/>
          <w:b/>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一、债务重组概述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简要介绍债务重组的基本情况，包括债务重组各方当事人名称、债务重组事项、涉及债务和资产概况及相关金额、是否构成关联交易、协议签署日期等。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简要说明董事会审议债务重组议案的表决情况；债务重组生效所必需的审批及其他程序（如是否需经过股东会或政府有关部门批准、是否需征得债权人同意、是否需征得其他第三方同意等）以及公司履行程序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如债务重组实施所必须的审批及其他相关程序尚未完成，或交易尚存在重大法律障碍（如作为债务重组涉及标的资产产权权属瑕疵等），应作出详细说明。</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二、债务重组对方的基本情况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债务重组对方的姓名或名称、企业性质、注册地、主要办公地点、法定代表人、注册资本、主营业务、主要股东，该交易需获得股东会批准的还应当披露其实际控制人。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债务重组对方与上市公司及上市公司前十名股东在产权、业务、资产、债权债务、人员等方面的关系以及其他可能或已经造成上市公司对其利益倾斜的其他关系。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最近一年财务会计报表；如果交易对方成立时间不足一年或是专为本次交易而设立的，则应当披露交易对方的实际控制人或者控股方的财务资料。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三、债务重组方案</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重组涉及债务的情况，主要包括债权人姓名或名称、债权债务金额、期限、发生日期、发生原因等。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债务重组方案的主要内容，主要包括债务重组的具体方式（如以货币资金以外的方式偿债、减免债务、停息或减息、改变债务条件等）、条款和相关金额。</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涉及债务豁免或转移债务的，还应当说明已经取得债权人的书面认可，以及是否已获得必要的授权审批等。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债务重组存在以资抵债等涉及资产标的的，上市公司还应当按照</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上市公司购买、出售资产公告格式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披露相关标的资产的情况。</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四、债务重组协议的主要内容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债务重组金额、支付方式（如现金、股权、资产置换等）、支付期限或分期付款的安排、协议的生效条件、生效时间以及有效期限等；交易协议有任何形式的附加或保留条款，应当予以特别说明。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涉及相关标的资产的，其定价依据，成交价格与</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涉及款项支付的，应当披露支出款项的资金来源。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涉及相关标的资产的，其交易标的的交付状态、交付和过户时间；存在过渡期安排的，还应当对过渡期相关标的资产产生的损益归属作出明确说明。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五、涉及债务重组的其他安排（如适用）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主要介绍债务重组所涉及的人员安置、土地租赁，交易完成后可能产生关联交易或同业竞争的说明以及解决措施等情况。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六、债务重组目的和对公司的影响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详细披露本次债务重组的背景、目的或原因。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本次债务重组对上市公司本期和未来财务状况和经营成果的具体影响。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债务重组涉及其他方为上市公司承担债务的，董事会应当结合债务承担方的主要财务数据和资信情况对债务承担方的承担能力作出判断和说明。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上市公司在债务重组中聘任中介机构（包括但不限于律师、财务顾问）出具专业意见的，应明确披露中介机构对本次资产交易的专业意见结论。</w:t>
      </w:r>
    </w:p>
    <w:p>
      <w:pPr>
        <w:spacing w:line="560" w:lineRule="exact"/>
        <w:ind w:firstLine="640" w:firstLineChars="200"/>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1．债务重组意向书、协议或合同；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．涉及资产的财务报表（如有）；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．审计报告（如有）；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4</w:t>
      </w:r>
      <w:r>
        <w:rPr>
          <w:rFonts w:hint="eastAsia" w:ascii="仿宋" w:hAnsi="仿宋" w:eastAsia="仿宋"/>
          <w:sz w:val="32"/>
          <w:szCs w:val="32"/>
          <w:highlight w:val="none"/>
        </w:rPr>
        <w:t>．评估报告（如有）；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5</w:t>
      </w:r>
      <w:r>
        <w:rPr>
          <w:rFonts w:hint="eastAsia" w:ascii="仿宋" w:hAnsi="仿宋" w:eastAsia="仿宋"/>
          <w:sz w:val="32"/>
          <w:szCs w:val="32"/>
          <w:highlight w:val="none"/>
        </w:rPr>
        <w:t>．法律意见书（如有）；</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eastAsia="zh"/>
        </w:rPr>
        <w:t>6</w:t>
      </w:r>
      <w:r>
        <w:rPr>
          <w:rFonts w:hint="eastAsia" w:ascii="仿宋" w:hAnsi="仿宋" w:eastAsia="仿宋" w:cs="Times New Roman"/>
          <w:sz w:val="32"/>
          <w:szCs w:val="32"/>
          <w:highlight w:val="none"/>
        </w:rPr>
        <w:t>．财务顾问报告（如有）；</w:t>
      </w:r>
    </w:p>
    <w:p>
      <w:pPr>
        <w:spacing w:line="560" w:lineRule="exact"/>
        <w:ind w:firstLine="640" w:firstLineChars="200"/>
      </w:pPr>
      <w:r>
        <w:rPr>
          <w:rFonts w:hint="eastAsia" w:ascii="仿宋" w:hAnsi="仿宋" w:eastAsia="仿宋" w:cs="Times New Roman"/>
          <w:sz w:val="32"/>
          <w:szCs w:val="32"/>
          <w:highlight w:val="none"/>
          <w:lang w:eastAsia="zh"/>
        </w:rPr>
        <w:t>7</w:t>
      </w:r>
      <w:r>
        <w:rPr>
          <w:rFonts w:hint="eastAsia" w:ascii="仿宋" w:hAnsi="仿宋" w:eastAsia="仿宋" w:cs="Times New Roman"/>
          <w:sz w:val="32"/>
          <w:szCs w:val="32"/>
          <w:highlight w:val="none"/>
        </w:rPr>
        <w:t>．有权机构的批文（如有）。</w:t>
      </w:r>
    </w:p>
    <w:p>
      <w:pPr>
        <w:keepNext/>
        <w:keepLines/>
        <w:spacing w:line="560" w:lineRule="exact"/>
        <w:jc w:val="center"/>
        <w:outlineLvl w:val="2"/>
        <w:rPr>
          <w:rFonts w:ascii="方正小标宋简体" w:hAnsi="仿宋" w:eastAsia="方正小标宋简体"/>
          <w:kern w:val="44"/>
          <w:sz w:val="44"/>
          <w:szCs w:val="44"/>
        </w:rPr>
      </w:pPr>
      <w:r>
        <w:br w:type="page"/>
      </w:r>
      <w:bookmarkStart w:id="36" w:name="_Toc1806"/>
      <w:bookmarkStart w:id="37" w:name="_Toc164973706"/>
      <w:bookmarkStart w:id="38" w:name="_Toc19220"/>
      <w:r>
        <w:rPr>
          <w:rFonts w:hint="eastAsia" w:ascii="方正小标宋简体" w:hAnsi="仿宋" w:eastAsia="方正小标宋简体"/>
          <w:kern w:val="44"/>
          <w:sz w:val="44"/>
          <w:szCs w:val="44"/>
        </w:rPr>
        <w:t>第13号 上市公司</w:t>
      </w:r>
      <w:r>
        <w:rPr>
          <w:rFonts w:hint="eastAsia" w:ascii="方正小标宋简体" w:hAnsi="仿宋" w:eastAsia="方正小标宋简体"/>
          <w:kern w:val="44"/>
          <w:sz w:val="44"/>
          <w:szCs w:val="44"/>
          <w:lang w:eastAsia="zh-CN"/>
        </w:rPr>
        <w:t>（</w:t>
      </w:r>
      <w:r>
        <w:rPr>
          <w:rFonts w:hint="eastAsia" w:ascii="方正小标宋简体" w:hAnsi="仿宋" w:eastAsia="方正小标宋简体"/>
          <w:kern w:val="44"/>
          <w:sz w:val="44"/>
          <w:szCs w:val="44"/>
        </w:rPr>
        <w:t>拟</w:t>
      </w:r>
      <w:r>
        <w:rPr>
          <w:rFonts w:hint="eastAsia" w:ascii="方正小标宋简体" w:hAnsi="仿宋" w:eastAsia="方正小标宋简体"/>
          <w:kern w:val="44"/>
          <w:sz w:val="44"/>
          <w:szCs w:val="44"/>
          <w:lang w:eastAsia="zh-CN"/>
        </w:rPr>
        <w:t>）</w:t>
      </w:r>
      <w:r>
        <w:rPr>
          <w:rFonts w:hint="eastAsia" w:ascii="方正小标宋简体" w:hAnsi="仿宋" w:eastAsia="方正小标宋简体"/>
          <w:kern w:val="44"/>
          <w:sz w:val="44"/>
          <w:szCs w:val="44"/>
        </w:rPr>
        <w:t>变更公司名称（含证券简称）的公告格式</w:t>
      </w:r>
      <w:bookmarkEnd w:id="36"/>
      <w:bookmarkEnd w:id="37"/>
      <w:bookmarkEnd w:id="38"/>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XXXXXX股份有限公司拟变更公司名称（含证券简称）公告</w:t>
      </w:r>
    </w:p>
    <w:p>
      <w:pPr>
        <w:spacing w:line="560" w:lineRule="exact"/>
        <w:ind w:firstLine="420" w:firstLineChars="200"/>
        <w:rPr>
          <w:rFonts w:ascii="仿宋" w:hAnsi="仿宋" w:eastAsia="仿宋" w:cs="宋体"/>
          <w:color w:val="000000"/>
          <w:kern w:val="0"/>
          <w:sz w:val="32"/>
          <w:szCs w:val="32"/>
        </w:rPr>
      </w:pPr>
      <w:r>
        <mc:AlternateContent>
          <mc:Choice Requires="wps">
            <w:drawing>
              <wp:anchor distT="0" distB="0" distL="114300" distR="114300" simplePos="0" relativeHeight="251685888" behindDoc="0" locked="0" layoutInCell="1" allowOverlap="1">
                <wp:simplePos x="0" y="0"/>
                <wp:positionH relativeFrom="column">
                  <wp:posOffset>-133350</wp:posOffset>
                </wp:positionH>
                <wp:positionV relativeFrom="paragraph">
                  <wp:posOffset>41910</wp:posOffset>
                </wp:positionV>
                <wp:extent cx="5715000" cy="2179955"/>
                <wp:effectExtent l="4445" t="5080" r="14605" b="5715"/>
                <wp:wrapNone/>
                <wp:docPr id="111" name="矩形 111"/>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adjustRightInd w:val="0"/>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5pt;margin-top:3.3pt;height:171.65pt;width:450pt;z-index:251685888;mso-width-relative:page;mso-height-relative:page;" fillcolor="#FFFFFF" filled="t" stroked="t" coordsize="21600,21600" o:gfxdata="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&#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IsbFdcAAAAJAQAADwAAAAAAAAABACAAAAAiAAAA&#10;ZHJzL2Rvd25yZXYueG1sUEsBAhQAFAAAAAgAh07iQBG9OAFBAgAAjQQAAA4AAAAAAAAAAQAgAAAA&#10;JgEAAGRycy9lMm9Eb2MueG1sUEsFBgAAAAAGAAYAWQEAANkFAAAAAA==&#10;">
                <v:fill on="t" focussize="0,0"/>
                <v:stroke color="#000000" miterlimit="8" joinstyle="miter"/>
                <v:imagedata o:title=""/>
                <o:lock v:ext="edit" aspectratio="f"/>
                <v:textbox>
                  <w:txbxContent>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adjustRightInd w:val="0"/>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b/>
          <w:color w:val="000000"/>
          <w:sz w:val="32"/>
          <w:szCs w:val="32"/>
        </w:rPr>
      </w:pPr>
    </w:p>
    <w:p>
      <w:pPr>
        <w:tabs>
          <w:tab w:val="left" w:pos="1260"/>
        </w:tabs>
        <w:spacing w:line="560" w:lineRule="exact"/>
        <w:ind w:firstLine="640" w:firstLineChars="200"/>
        <w:rPr>
          <w:rFonts w:ascii="仿宋" w:hAnsi="仿宋" w:eastAsia="仿宋"/>
          <w:b/>
          <w:sz w:val="32"/>
          <w:szCs w:val="32"/>
        </w:rPr>
      </w:pPr>
    </w:p>
    <w:p>
      <w:pPr>
        <w:tabs>
          <w:tab w:val="left" w:pos="1260"/>
        </w:tabs>
        <w:spacing w:line="560" w:lineRule="exact"/>
        <w:ind w:firstLine="0" w:firstLineChars="0"/>
        <w:rPr>
          <w:rFonts w:ascii="仿宋" w:hAnsi="仿宋" w:eastAsia="仿宋"/>
          <w:b/>
          <w:sz w:val="32"/>
          <w:szCs w:val="32"/>
        </w:rPr>
      </w:pP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一、拟变更公司名称（含证券简称）的说明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说明本次上市公司拟变更的是公司名称还是公司名称和证券简称两者都变更，变更前后的公司全称、证券简称，已履行和尚需履行的审批程序。 </w:t>
      </w: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二、公司名称（含证券简称）变更原因说明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说明本次变更的原因，如：公司发生了重大资产重组、公司的主营业务发生变化等。结合公司主营业务构成及经营情况、未来发展战略等说明变更后的公司名称或证券简称与公司主营业务是否相匹配。</w:t>
      </w: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三、其他事项说明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说明公司拟变更证券简称的申请是否已经本所同意，公司证券代码不变。</w:t>
      </w:r>
    </w:p>
    <w:p>
      <w:pPr>
        <w:tabs>
          <w:tab w:val="left" w:pos="1260"/>
        </w:tabs>
        <w:spacing w:line="560" w:lineRule="exact"/>
        <w:ind w:firstLine="640" w:firstLineChars="200"/>
        <w:jc w:val="left"/>
        <w:rPr>
          <w:rFonts w:ascii="仿宋" w:hAnsi="仿宋" w:eastAsia="仿宋"/>
          <w:sz w:val="32"/>
          <w:szCs w:val="32"/>
        </w:rPr>
      </w:pPr>
    </w:p>
    <w:p>
      <w:pPr>
        <w:tabs>
          <w:tab w:val="left" w:pos="1260"/>
        </w:tabs>
        <w:spacing w:line="560" w:lineRule="exact"/>
        <w:ind w:firstLine="640" w:firstLineChars="200"/>
        <w:jc w:val="right"/>
        <w:rPr>
          <w:rFonts w:ascii="仿宋" w:hAnsi="仿宋" w:eastAsia="仿宋"/>
          <w:sz w:val="32"/>
          <w:szCs w:val="32"/>
        </w:rPr>
      </w:pPr>
    </w:p>
    <w:p>
      <w:pPr>
        <w:tabs>
          <w:tab w:val="left" w:pos="1260"/>
        </w:tabs>
        <w:spacing w:line="560" w:lineRule="exact"/>
        <w:ind w:firstLine="640" w:firstLineChars="200"/>
        <w:jc w:val="right"/>
        <w:rPr>
          <w:rFonts w:ascii="仿宋" w:hAnsi="仿宋" w:eastAsia="仿宋"/>
          <w:sz w:val="32"/>
          <w:szCs w:val="32"/>
        </w:rPr>
      </w:pPr>
      <w:r>
        <w:rPr>
          <w:rFonts w:hint="eastAsia" w:ascii="仿宋" w:hAnsi="仿宋" w:eastAsia="仿宋"/>
          <w:sz w:val="32"/>
          <w:szCs w:val="32"/>
        </w:rPr>
        <w:t>XXXXX股份有限公司董事会</w:t>
      </w:r>
    </w:p>
    <w:p>
      <w:pPr>
        <w:tabs>
          <w:tab w:val="left" w:pos="1260"/>
        </w:tabs>
        <w:spacing w:line="560" w:lineRule="exact"/>
        <w:ind w:firstLine="640" w:firstLineChars="20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仿宋" w:hAnsi="仿宋" w:eastAsia="仿宋"/>
          <w:sz w:val="32"/>
          <w:szCs w:val="32"/>
        </w:rPr>
        <w:sectPr>
          <w:pgSz w:w="11906" w:h="16838"/>
          <w:pgMar w:top="1440" w:right="1274" w:bottom="1440" w:left="1797" w:header="851" w:footer="992" w:gutter="0"/>
          <w:cols w:space="720" w:num="1"/>
          <w:formProt w:val="1"/>
          <w:docGrid w:type="linesAndChars" w:linePitch="516" w:charSpace="0"/>
        </w:sect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kern w:val="44"/>
          <w:sz w:val="32"/>
          <w:szCs w:val="32"/>
        </w:rPr>
        <w:t>XXXXXX股份有限公司变更公司名称（含证券简称）的公告</w:t>
      </w:r>
    </w:p>
    <w:p>
      <w:pPr>
        <w:snapToGrid w:val="0"/>
        <w:spacing w:line="560" w:lineRule="exact"/>
        <w:rPr>
          <w:rFonts w:ascii="仿宋" w:hAnsi="仿宋" w:eastAsia="仿宋"/>
          <w:kern w:val="0"/>
          <w:sz w:val="32"/>
          <w:szCs w:val="32"/>
        </w:rPr>
      </w:pPr>
      <w:r>
        <mc:AlternateContent>
          <mc:Choice Requires="wps">
            <w:drawing>
              <wp:anchor distT="0" distB="0" distL="114300" distR="114300" simplePos="0" relativeHeight="251705344" behindDoc="0" locked="0" layoutInCell="1" allowOverlap="1">
                <wp:simplePos x="0" y="0"/>
                <wp:positionH relativeFrom="column">
                  <wp:posOffset>-144780</wp:posOffset>
                </wp:positionH>
                <wp:positionV relativeFrom="paragraph">
                  <wp:posOffset>108585</wp:posOffset>
                </wp:positionV>
                <wp:extent cx="5715000" cy="1552575"/>
                <wp:effectExtent l="4445" t="5080" r="14605" b="4445"/>
                <wp:wrapNone/>
                <wp:docPr id="110" name="矩形 110"/>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pt;margin-top:8.55pt;height:122.25pt;width:450pt;z-index:251705344;mso-width-relative:page;mso-height-relative:page;" fillcolor="#FFFFFF" filled="t" stroked="t" coordsize="21600,21600" o:gfxdata="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nn6tgAAAAKAQAADwAAAAAAAAABACAAAAAiAAAA&#10;ZHJzL2Rvd25yZXYueG1sUEsBAhQAFAAAAAgAh07iQAGAQVpAAgAAjQ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kern w:val="0"/>
          <w:sz w:val="32"/>
          <w:szCs w:val="32"/>
        </w:rPr>
      </w:pPr>
    </w:p>
    <w:p>
      <w:pPr>
        <w:snapToGrid w:val="0"/>
        <w:spacing w:line="560" w:lineRule="exact"/>
        <w:rPr>
          <w:rFonts w:ascii="仿宋" w:hAnsi="仿宋" w:eastAsia="仿宋"/>
          <w:kern w:val="0"/>
          <w:sz w:val="32"/>
          <w:szCs w:val="32"/>
        </w:rPr>
      </w:pPr>
    </w:p>
    <w:p>
      <w:pPr>
        <w:spacing w:line="560" w:lineRule="exact"/>
        <w:ind w:right="480" w:firstLine="3430"/>
        <w:rPr>
          <w:rFonts w:ascii="仿宋" w:hAnsi="仿宋" w:eastAsia="仿宋"/>
          <w:sz w:val="32"/>
          <w:szCs w:val="32"/>
        </w:rPr>
      </w:pPr>
    </w:p>
    <w:p>
      <w:pPr>
        <w:spacing w:line="560" w:lineRule="exact"/>
        <w:ind w:firstLine="643" w:firstLineChars="200"/>
        <w:rPr>
          <w:rFonts w:ascii="仿宋" w:hAnsi="仿宋" w:eastAsia="仿宋"/>
          <w:b/>
          <w:sz w:val="32"/>
          <w:szCs w:val="32"/>
        </w:rPr>
      </w:pP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一、公司名称</w:t>
      </w:r>
      <w:r>
        <w:rPr>
          <w:rFonts w:hint="eastAsia" w:ascii="仿宋" w:hAnsi="仿宋" w:eastAsia="仿宋"/>
          <w:b/>
          <w:kern w:val="0"/>
          <w:sz w:val="32"/>
          <w:szCs w:val="32"/>
        </w:rPr>
        <w:t>（含证券简称）</w:t>
      </w:r>
      <w:r>
        <w:rPr>
          <w:rFonts w:hint="eastAsia" w:ascii="仿宋" w:hAnsi="仿宋" w:eastAsia="仿宋"/>
          <w:b/>
          <w:sz w:val="32"/>
          <w:szCs w:val="32"/>
        </w:rPr>
        <w:t>变更的说明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说明本次上市公司变更的是公司名称还是证券简称或两者都变更，变更前后的公司全称、证券简称，已履行的审批程序，列明同意变更公司全称的股东会届次，并说明全称变更经工商管理部门登记的情况（如适用）。</w:t>
      </w: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二、公司名称</w:t>
      </w:r>
      <w:r>
        <w:rPr>
          <w:rFonts w:hint="eastAsia" w:ascii="仿宋" w:hAnsi="仿宋" w:eastAsia="仿宋"/>
          <w:b/>
          <w:kern w:val="0"/>
          <w:sz w:val="32"/>
          <w:szCs w:val="32"/>
        </w:rPr>
        <w:t>（含证券简称）</w:t>
      </w:r>
      <w:r>
        <w:rPr>
          <w:rFonts w:hint="eastAsia" w:ascii="仿宋" w:hAnsi="仿宋" w:eastAsia="仿宋"/>
          <w:b/>
          <w:sz w:val="32"/>
          <w:szCs w:val="32"/>
        </w:rPr>
        <w:t>变更的原因说明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说明本次变更的原因，如：公司发生了重大资产重组、公司的主营业务发生变化等。结合公司主营业务构成及经营情况、未来发展战略等说明变更后的公司名称或证券简称与公司主营业务是否相匹配。</w:t>
      </w: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三、其他事项说明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1．说明公司变更证券简称的申请已经本所同意，并说明公司证券代码不变。</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2．仅变更公司名称的情形，说明公司证券代码和证券简称不变。</w:t>
      </w:r>
    </w:p>
    <w:p>
      <w:pPr>
        <w:tabs>
          <w:tab w:val="left" w:pos="1260"/>
        </w:tabs>
        <w:spacing w:line="56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ascii="仿宋" w:hAnsi="仿宋" w:eastAsia="仿宋"/>
          <w:sz w:val="32"/>
          <w:szCs w:val="32"/>
        </w:rPr>
      </w:pPr>
      <w:r>
        <w:rPr>
          <w:rFonts w:hint="eastAsia" w:ascii="仿宋" w:hAnsi="仿宋" w:eastAsia="仿宋"/>
          <w:sz w:val="32"/>
          <w:szCs w:val="32"/>
        </w:rPr>
        <w:t>XXXX年XX月XX日</w:t>
      </w:r>
    </w:p>
    <w:p>
      <w:pPr>
        <w:keepNext/>
        <w:keepLines/>
        <w:spacing w:line="560" w:lineRule="exact"/>
        <w:jc w:val="center"/>
        <w:outlineLvl w:val="2"/>
        <w:rPr>
          <w:rFonts w:ascii="仿宋" w:hAnsi="仿宋" w:eastAsia="仿宋"/>
          <w:b/>
        </w:rPr>
      </w:pPr>
      <w:r>
        <w:br w:type="page"/>
      </w:r>
      <w:bookmarkStart w:id="39" w:name="_Toc164973707"/>
      <w:bookmarkStart w:id="40" w:name="_Toc18049"/>
      <w:bookmarkStart w:id="41" w:name="_Toc29933"/>
      <w:r>
        <w:rPr>
          <w:rFonts w:hint="eastAsia" w:ascii="方正小标宋简体" w:hAnsi="仿宋" w:eastAsia="方正小标宋简体"/>
          <w:kern w:val="44"/>
          <w:sz w:val="44"/>
          <w:szCs w:val="44"/>
        </w:rPr>
        <w:t>第14号 上市公司独立董事提名人及候选人声明与承诺公告格式</w:t>
      </w:r>
      <w:bookmarkEnd w:id="39"/>
      <w:bookmarkEnd w:id="40"/>
      <w:bookmarkEnd w:id="41"/>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
          <w:sz w:val="32"/>
          <w:szCs w:val="32"/>
        </w:rPr>
      </w:pPr>
      <w:r>
        <w:rPr>
          <w:rFonts w:hint="eastAsia" w:ascii="仿宋" w:hAnsi="仿宋" w:eastAsia="仿宋"/>
          <w:b/>
          <w:sz w:val="32"/>
          <w:szCs w:val="32"/>
        </w:rPr>
        <w:t>XXXXXX股份有限公司独立董事提名人声明与承诺</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提名人XXX 现就提名  XXX  为XXXXXX股份有限公司第 XX 届董事会独立董事候选人发表公开声明。被提名人已书面同意作为XXXXXX股份有限公司第 XX 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一、被提名人已经通过XXXXXX股份有限公司第XX届董事会提名委员会或者独立董事专门会议资格审查，提名人与被提名人不存在利害关系或者其他可能影响独立履职情形的密切关系。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二、被提名人不存在《中华人民共和国公司法》第一百</w:t>
      </w:r>
      <w:r>
        <w:rPr>
          <w:rFonts w:hint="eastAsia" w:ascii="仿宋" w:hAnsi="仿宋" w:eastAsia="仿宋"/>
          <w:sz w:val="32"/>
          <w:szCs w:val="32"/>
          <w:lang w:eastAsia="zh-CN"/>
        </w:rPr>
        <w:t>七十八</w:t>
      </w:r>
      <w:r>
        <w:rPr>
          <w:rFonts w:hint="eastAsia" w:ascii="仿宋" w:hAnsi="仿宋" w:eastAsia="仿宋"/>
          <w:sz w:val="32"/>
          <w:szCs w:val="32"/>
        </w:rPr>
        <w:t>条等规定不得担任公司董事的情形。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三、被提名人符合中国证监会《上市公司独立董事管理办法》和深圳证券交易所业务规则规定的独立董事任职资格和条件。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四、被提名人符合公司章程规定的独立董事任职条件。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五、被提名人已经参加培训并取得证券交易所认可的相关培训证明材料（如有）。</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六、被提名人担任独立董事不会违反《中华人民共和国公务员法》的相关规定。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七、被提名人担任独立董事不会违反中共中央纪委《关于规范中管干部辞去公职或者退（离）休后担任上市公司、基金管理公司独立董事、独立监事的通知》的相关规定。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八、被提名人担任独立董事不会违反中共中央组织部《关于进一步规范党政领导干部在企业兼职（任职）问题的意见》的相关规定。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九、被提名人担任独立董事不会违反中共中央纪委、教育部、监察部《关于加强高等学校反腐倡廉建设的意见》的相关规定。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十、被提名人担任独立董事不会违反中国人民银行《股份制商业银行独立董事和外部监事制度指引》的相关规定。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十一、被提名人担任独立董事不会违反中国证监会《证券基金经营机构董事、监事、高级管理人员及从业人员监督管理办法》的相关规定。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十二、被提名人担任独立董事不会违反《银行业金融机构董事（理事）和高级管理人员任职资格管理办法》的相关规定。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十三、被提名人担任独立董事不会违反《保险公司董事、监事和高级管理人员任职资格管理规定》《保险机构独立董事管理办法》的相关规定。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十四、被提名人担任独立董事不会违反其他法律、行政法规、部门规章、规范性文件和深圳证券交易所业务规则等对于独立董事任职资格的相关规定。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snapToGrid w:val="0"/>
        <w:spacing w:line="560" w:lineRule="exact"/>
        <w:ind w:left="147" w:firstLine="640" w:firstLineChars="200"/>
        <w:rPr>
          <w:rFonts w:ascii="仿宋" w:hAnsi="仿宋" w:eastAsia="仿宋"/>
          <w:sz w:val="32"/>
          <w:szCs w:val="32"/>
        </w:rPr>
      </w:pPr>
      <w:r>
        <w:rPr>
          <w:rFonts w:hint="eastAsia" w:ascii="仿宋" w:hAnsi="仿宋" w:eastAsia="仿宋"/>
          <w:sz w:val="32"/>
          <w:szCs w:val="32"/>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r>
        <w:rPr>
          <w:rFonts w:hint="eastAsia" w:ascii="仿宋" w:hAnsi="仿宋" w:eastAsia="仿宋"/>
          <w:sz w:val="32"/>
          <w:szCs w:val="32"/>
        </w:rPr>
        <w:tab/>
      </w:r>
      <w:r>
        <w:rPr>
          <w:rFonts w:hint="eastAsia" w:ascii="仿宋" w:hAnsi="仿宋" w:eastAsia="仿宋"/>
          <w:sz w:val="32"/>
          <w:szCs w:val="32"/>
        </w:rPr>
        <w:t xml:space="preserve">□ 不适用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十七、被提名人及其直系亲属、主要社会关系均不在公司及其附属企业任职。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十八、被提名人及其直系亲属不是直接或间接持有公司已发行股份1%以上的股东，也不是上市公司前十名股东中自然人股东。</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十九、被提名人及其直系亲属不在直接或间接持有公司已发行股份5%以上的股东任职，也不在上市公司前五名股东任职。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二十、被提名人及其直系亲属不在公司控股股东、实际控制人的附属企业任职。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一、被提名人不是为公司及其控股股东、实际控制人或者其各自的附属企业提供财务、法律、咨询、保荐等服务的人员，包括但不限于提供服务的中介机构的项目组全体人员、各级复核人员、在报告上签字的人员、合伙人、董事、高级管理人员及主要负责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二十二、被提名人与上市公司及其控股股东、实际控制人或者其各自的附属企业不存在重大业务往来，也不在有重大业务往来的单位及其控股股东、实际控制人任职。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二十三、被提名人在最近十二个月内不具有第十七项至第二十二项所列任一种情形。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二十四、被提名人不是被中国证监会采取不得担任上市公司董事、高级管理人员的证券市场禁入措施，且期限尚未届满的人员。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二十五、被提名人不是被证券交易场所公开认定不适合担任上市公司董事、高级管理人员，且期限尚未届满的人员。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二十六、被提名人不是最近三十六个月内因证券期货犯罪，受到司法机关刑事处罚或者中国证监会行政处罚的人员。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二十七、被提名人不是因涉嫌证券期货违法犯罪，被中国证监会立案调查或者被司法机关立案侦查，尚未有明确结论意见的人员。</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二十八、被提名人最近三十六个月未受到证券交易所公开谴责或三次以上通报批评。</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二十九、被提名人不存在重大失信等不良记录。</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三十、被提名人不是过往任职独立董事期间因连续两次未能亲自出席也不委托其他董事出席董事会会议被董事会提请股东会予以解除职务，未满十二个月的人员。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三十一、包括本次提名的公司在内，被提名人担任独立董事的境内上市公司数量不超过三家。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三十二、被提名人在公司连续担任独立董事未超过六年。</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提名人郑重承诺：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一、本提名人保证上述声明真实、准确、完整，没有虚假记载、误导性陈述或重大遗漏；否则，本提名人愿意承担由此引起的法律责任和接受深圳证券交易所的自律监管措施或纪律处分。</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二、本提名人授权公司董事会秘书将本声明的内容通过深圳证券交易所创业板业务专区录入、报送给深圳证券交易所或对外公告，董事会秘书的上述行为视同为本提名人行为，由本提名人承担相应的法律责任。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三、被提名人担任独立董事期间，如出现不符合独立性要求及独立董事任职资格情形的，本提名人将及时向公司董事会报告并督促被提名人立即辞去独立董事职务。</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提名人（签署/盖章）：</w:t>
      </w: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XXXX年XX月XX日</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3" w:firstLineChars="200"/>
        <w:rPr>
          <w:rFonts w:ascii="仿宋" w:hAnsi="仿宋" w:eastAsia="仿宋"/>
          <w:b/>
          <w:sz w:val="32"/>
          <w:szCs w:val="32"/>
        </w:rPr>
      </w:pPr>
      <w:r>
        <w:rPr>
          <w:rFonts w:hint="eastAsia" w:ascii="仿宋" w:hAnsi="仿宋" w:eastAsia="仿宋"/>
          <w:b/>
          <w:sz w:val="32"/>
          <w:szCs w:val="32"/>
        </w:rPr>
        <w:t>备查文件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1. 提名人签署的声明与承诺；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2. 提名人的身份证明文件；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3. 董事会提名委员会或者独立董事专门会议对任职资格的审查意见。 </w:t>
      </w:r>
    </w:p>
    <w:p>
      <w:pPr>
        <w:pStyle w:val="9"/>
        <w:snapToGrid w:val="0"/>
        <w:spacing w:after="0" w:line="560" w:lineRule="exact"/>
        <w:ind w:left="560" w:leftChars="0" w:firstLine="640" w:firstLineChars="200"/>
        <w:rPr>
          <w:rFonts w:ascii="仿宋" w:hAnsi="仿宋" w:eastAsia="仿宋"/>
          <w:sz w:val="32"/>
          <w:szCs w:val="32"/>
        </w:rPr>
      </w:pPr>
    </w:p>
    <w:p>
      <w:pPr>
        <w:widowControl/>
        <w:spacing w:beforeAutospacing="1" w:afterAutospacing="1"/>
        <w:jc w:val="left"/>
        <w:rPr>
          <w:rFonts w:ascii="仿宋" w:hAnsi="仿宋" w:eastAsia="仿宋"/>
          <w:color w:val="000000"/>
          <w:sz w:val="32"/>
          <w:szCs w:val="32"/>
        </w:rPr>
        <w:sectPr>
          <w:pgSz w:w="11906" w:h="16838"/>
          <w:pgMar w:top="1440" w:right="1800" w:bottom="1440" w:left="1800" w:header="851" w:footer="992" w:gutter="0"/>
          <w:cols w:space="720" w:num="1"/>
          <w:formProt w:val="1"/>
          <w:docGrid w:type="lines" w:linePitch="312" w:charSpace="0"/>
        </w:sect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pStyle w:val="9"/>
        <w:snapToGrid w:val="0"/>
        <w:spacing w:after="0" w:line="560" w:lineRule="exact"/>
        <w:ind w:left="149" w:leftChars="71"/>
        <w:rPr>
          <w:rFonts w:ascii="仿宋" w:hAnsi="仿宋" w:eastAsia="仿宋"/>
          <w:sz w:val="32"/>
          <w:szCs w:val="32"/>
        </w:rPr>
      </w:pPr>
    </w:p>
    <w:p>
      <w:pPr>
        <w:pStyle w:val="9"/>
        <w:snapToGrid w:val="0"/>
        <w:spacing w:after="0" w:line="560" w:lineRule="exact"/>
        <w:ind w:leftChars="0"/>
        <w:jc w:val="center"/>
        <w:rPr>
          <w:rFonts w:ascii="仿宋" w:hAnsi="仿宋" w:eastAsia="仿宋"/>
          <w:b/>
          <w:sz w:val="32"/>
          <w:szCs w:val="32"/>
        </w:rPr>
      </w:pPr>
      <w:r>
        <w:rPr>
          <w:rFonts w:hint="eastAsia" w:ascii="仿宋" w:hAnsi="仿宋" w:eastAsia="仿宋"/>
          <w:b/>
          <w:sz w:val="32"/>
          <w:szCs w:val="32"/>
        </w:rPr>
        <w:t>XXXXXX股份有限公司独立董事候选人声明与承诺</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声明人XXX作为XXXXXX股份有限公司第 XX 届董事会独立董事候选人，已充分了解并同意由提名人XXXX提名为XXXX股份有限公司（以下简称该公司）第XX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一、本人已经通过XXXXXX股份有限公司第XX届董事会提名委员会或者独立董事专门会议资格审查，提名人与本人不存在利害关系或者其他可能影响独立履职情形的密切关系。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Chars="0"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二、本人不存在《中华人民共和国公司法》第一百</w:t>
      </w:r>
      <w:r>
        <w:rPr>
          <w:rFonts w:hint="eastAsia" w:ascii="仿宋" w:hAnsi="仿宋" w:eastAsia="仿宋"/>
          <w:sz w:val="32"/>
          <w:szCs w:val="32"/>
          <w:lang w:eastAsia="zh-CN"/>
        </w:rPr>
        <w:t>七十八</w:t>
      </w:r>
      <w:r>
        <w:rPr>
          <w:rFonts w:hint="eastAsia" w:ascii="仿宋" w:hAnsi="仿宋" w:eastAsia="仿宋"/>
          <w:sz w:val="32"/>
          <w:szCs w:val="32"/>
        </w:rPr>
        <w:t>条等规定不得担任公司董事的情形。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三、本人符合中国证监会《上市公司独立董事管理办法》和深圳证券交易所业务规则规定的独立董事任职资格和条件。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四、本人符合该公司章程规定的独立董事任职条件。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五、本人已经参加培训并取得证券交易所认可的相关培训证明材料（如有）。</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六、本人担任独立董事不会违反《中华人民共和国公务员法》的相关规定。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七、本人担任独立董事不会违反中共中央纪委《关于规范中管干部辞去公职或者退（离）休后担任上市公司、基金管理公司独立董事、独立监事的通知》的相关规定。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八、本人担任独立董事不会违反中共中央组织部《关于进一步规范党政领导干部在企业兼职（任职）问题的意见》的相关规定。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九、本人担任独立董事不会违反中共中央纪委、教育部、监察部《关于加强高等学校反腐倡廉建设的意见》的相关规定。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十、本人担任独立董事不会违反中国人民银行《股份制商业银行独立董事和外部监事制度指引》的相关规定。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十一、本人担任独立董事不会违反中国证监会《证券基金经营机构董事、监事、高级管理人员及从业人员监督管理办法》的相关规定。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十二、本人担任独立董事不会违反《银行业金融机构董事（理事）和高级管理人员任职资格管理办法》的相关规定。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十三、本人担任独立董事不会违反《保险公司董事、监事和高级管理人员任职资格管理规定》《保险机构独立董事管理办法》的相关规定。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十四、本人担任独立董事不会违反其他法律、行政法规、部门规章、规范性文件和深圳证券交易所业务规则等对于独立董事任职资格的相关规定。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六、以会计专业人士被提名的，候选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r>
        <w:rPr>
          <w:rFonts w:hint="eastAsia" w:ascii="仿宋" w:hAnsi="仿宋" w:eastAsia="仿宋"/>
          <w:sz w:val="32"/>
          <w:szCs w:val="32"/>
        </w:rPr>
        <w:tab/>
      </w:r>
      <w:r>
        <w:rPr>
          <w:rFonts w:hint="eastAsia" w:ascii="仿宋" w:hAnsi="仿宋" w:eastAsia="仿宋"/>
          <w:sz w:val="32"/>
          <w:szCs w:val="32"/>
        </w:rPr>
        <w:t xml:space="preserve">□ 不适用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十七、本人及本人直系亲属、主要社会关系均不在该公司及其附属企业任职。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十八、本人及本人直系亲属不是直接或间接持有该公司已发行股份1%以上的股东，也不是该上市公司前十名股东中自然人股东。</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十九、本人及本人直系亲属不在直接或间接持有该公司已发行股份5%以上的股东任职，也不在该上市公司前五名股东任职。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二十、本人及本人直系亲属不在该公司控股股东、实际控制人的附属企业任职。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二十一、本人不是为该公司及其控股股东、实际控制人或者其各自的附属企业提供财务、法律、咨询、保荐等服务的人员，</w:t>
      </w:r>
      <w:r>
        <w:rPr>
          <w:rFonts w:hint="eastAsia" w:ascii="仿宋" w:hAnsi="仿宋" w:eastAsia="仿宋"/>
          <w:color w:val="000000"/>
          <w:sz w:val="32"/>
          <w:szCs w:val="32"/>
        </w:rPr>
        <w:t>包括但不限于提供服务的中介机构的项目组全体人员、各级复核人员、在报告上签字的人员、合伙人、董事、高级管理人员及主要负责人</w:t>
      </w:r>
      <w:r>
        <w:rPr>
          <w:rFonts w:hint="eastAsia" w:ascii="仿宋" w:hAnsi="仿宋" w:eastAsia="仿宋"/>
          <w:sz w:val="32"/>
          <w:szCs w:val="32"/>
        </w:rPr>
        <w:t>。</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二十二、本人与上市公司及其控股股东、实际控制人或者其各自的附属企业不存在重大业务往来，也不在有重大业务往来的单位及其控股股东、实际控制人任职。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二十三、本人在最近十二个月内不具有第十七项至第二十二项所列任一种情形。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二十四、本人不是被中国证监会采取不得担任上市公司董事、高级管理人员证券市场禁入措施，且期限尚未届满的人员。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二十五、本人不是被证券交易场所公开认定不适合担任上市公司董事、高级管理人员，且期限尚未届满的人员。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二十六、本人不是最近三十六个月内因证券期货犯罪，受到司法机关刑事处罚或者中国证监会行政处罚的人员。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二十七、本人不是因涉嫌证券期货违法犯罪，被中国证监会立案调查或者被司法机关立案侦查，尚未有明确结论意见的人员。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二十八、本人最近三十六个月未受到证券交易所公开谴责或三次以上通报批评。</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二十九、本人不存在重大失信等不良记录。</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三十、本人不是过往任职独立董事期间因连续两次未能亲自出席也不委托其他董事出席董事会会议被董事会提请股东会予以撤换，未满十二个月的人员。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三十一、包括该公司在内，本人担任独立董事的境内上市公司数量不超过三家。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三十二、本人在该公司连续担任独立董事未超过六年。</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候选人郑重承诺：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人在担任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三、本人担任该公司独立董事期间，如出现不符合独立董事任职资格情形的，本人将及时向公司董事会报告并立即辞去该公司独立董事职务。</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本人授权该公司董事会秘书将本声明的内容及其他有关本人的信息通过深圳证券交易所创业板业务专区录入、报送给深圳证券交易所或对外公告，董事会秘书的上述行为视同为本人行为，由本人承担相应的法律责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五、如任职期间因本人辞职导致独立董事比例不符合相关规定或欠缺会计专业人士的，本人将持续履行职责，不以辞职为由拒绝履职。</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 xml:space="preserve">候选人（签署）：           </w:t>
      </w: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XXXX年XX月XX日</w:t>
      </w:r>
    </w:p>
    <w:p>
      <w:pPr>
        <w:snapToGrid w:val="0"/>
        <w:spacing w:line="560" w:lineRule="exact"/>
        <w:rPr>
          <w:rFonts w:ascii="仿宋" w:hAnsi="仿宋" w:eastAsia="仿宋"/>
          <w:sz w:val="32"/>
          <w:szCs w:val="32"/>
        </w:rPr>
      </w:pPr>
    </w:p>
    <w:p>
      <w:pPr>
        <w:pStyle w:val="9"/>
        <w:snapToGrid w:val="0"/>
        <w:spacing w:after="0" w:line="560" w:lineRule="exact"/>
        <w:ind w:left="149" w:leftChars="71" w:firstLine="643" w:firstLineChars="200"/>
        <w:rPr>
          <w:rFonts w:ascii="仿宋" w:hAnsi="仿宋" w:eastAsia="仿宋"/>
          <w:b/>
          <w:sz w:val="32"/>
          <w:szCs w:val="32"/>
        </w:rPr>
      </w:pPr>
      <w:r>
        <w:rPr>
          <w:rFonts w:hint="eastAsia" w:ascii="仿宋" w:hAnsi="仿宋" w:eastAsia="仿宋"/>
          <w:b/>
          <w:sz w:val="32"/>
          <w:szCs w:val="32"/>
        </w:rPr>
        <w:t>备查文件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1. 本人填写的履历表；</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2. 本人签署的声明与承诺。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42" w:name="_Toc26121"/>
      <w:bookmarkStart w:id="43" w:name="_Toc27147"/>
      <w:bookmarkStart w:id="44" w:name="_Toc164973708"/>
      <w:r>
        <w:rPr>
          <w:rFonts w:hint="eastAsia" w:ascii="方正小标宋简体" w:hAnsi="仿宋" w:eastAsia="方正小标宋简体"/>
          <w:kern w:val="44"/>
          <w:sz w:val="44"/>
          <w:szCs w:val="44"/>
        </w:rPr>
        <w:t>第15号 上市公司业绩预告及修正公告格式</w:t>
      </w:r>
      <w:bookmarkEnd w:id="42"/>
      <w:bookmarkEnd w:id="43"/>
      <w:bookmarkEnd w:id="44"/>
    </w:p>
    <w:p>
      <w:pPr>
        <w:widowControl/>
        <w:adjustRightInd w:val="0"/>
        <w:snapToGrid w:val="0"/>
        <w:spacing w:line="560" w:lineRule="exact"/>
        <w:ind w:right="360" w:firstLine="540"/>
        <w:jc w:val="center"/>
        <w:rPr>
          <w:rFonts w:ascii="仿宋" w:hAnsi="仿宋" w:eastAsia="仿宋" w:cs="宋体"/>
          <w:color w:val="000000"/>
          <w:kern w:val="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股份有限公司XX年度业绩预告</w:t>
      </w:r>
    </w:p>
    <w:p>
      <w:pPr>
        <w:pStyle w:val="9"/>
        <w:snapToGrid w:val="0"/>
        <w:spacing w:line="560" w:lineRule="exact"/>
        <w:ind w:left="420" w:leftChars="0" w:firstLine="420" w:firstLineChars="200"/>
        <w:rPr>
          <w:rFonts w:ascii="仿宋" w:hAnsi="仿宋" w:eastAsia="仿宋"/>
          <w:b/>
          <w:color w:val="000000"/>
          <w:sz w:val="32"/>
          <w:szCs w:val="32"/>
        </w:rPr>
      </w:pPr>
      <w:r>
        <mc:AlternateContent>
          <mc:Choice Requires="wps">
            <w:drawing>
              <wp:anchor distT="0" distB="0" distL="114300" distR="114300" simplePos="0" relativeHeight="251686912" behindDoc="0" locked="0" layoutInCell="1" allowOverlap="1">
                <wp:simplePos x="0" y="0"/>
                <wp:positionH relativeFrom="column">
                  <wp:posOffset>-104775</wp:posOffset>
                </wp:positionH>
                <wp:positionV relativeFrom="paragraph">
                  <wp:posOffset>168910</wp:posOffset>
                </wp:positionV>
                <wp:extent cx="5715000" cy="1552575"/>
                <wp:effectExtent l="4445" t="5080" r="14605" b="4445"/>
                <wp:wrapNone/>
                <wp:docPr id="109" name="矩形 109"/>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董事XXX因（具体和明确的理由）不能保证公告内容真实、准确、完整。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13.3pt;height:122.25pt;width:450pt;z-index:251686912;mso-width-relative:page;mso-height-relative:page;" fillcolor="#FFFFFF" filled="t" stroked="t" coordsize="21600,21600" o:gfxdata="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94dkjYAAAACgEAAA8AAAAAAAAAAQAgAAAAIgAA&#10;AGRycy9kb3ducmV2LnhtbFBLAQIUABQAAAAIAIdO4kALNo6q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董事XXX因（具体和明确的理由）不能保证公告内容真实、准确、完整。</w:t>
                      </w:r>
                    </w:p>
                  </w:txbxContent>
                </v:textbox>
              </v:rect>
            </w:pict>
          </mc:Fallback>
        </mc:AlternateContent>
      </w: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一、本期业绩预计情况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（一）业绩预告期间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XXXX年1月1日至XXXX年12月31日。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（二）业绩预告情况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公司应当根据适用的情形，选择以下应披露的具体内容。</w:t>
      </w:r>
    </w:p>
    <w:p>
      <w:pPr>
        <w:tabs>
          <w:tab w:val="left" w:pos="3240"/>
        </w:tabs>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 xml:space="preserve">1. </w:t>
      </w:r>
      <w:r>
        <w:rPr>
          <w:rFonts w:ascii="仿宋" w:hAnsi="仿宋" w:eastAsia="仿宋"/>
          <w:sz w:val="32"/>
          <w:szCs w:val="32"/>
        </w:rPr>
        <w:sym w:font="Symbol" w:char="F0F0"/>
      </w:r>
      <w:r>
        <w:rPr>
          <w:rFonts w:hint="eastAsia" w:ascii="仿宋" w:hAnsi="仿宋" w:eastAsia="仿宋"/>
          <w:sz w:val="32"/>
          <w:szCs w:val="32"/>
        </w:rPr>
        <w:t>预计净利润为负值；</w:t>
      </w:r>
    </w:p>
    <w:p>
      <w:pPr>
        <w:tabs>
          <w:tab w:val="left" w:pos="3240"/>
        </w:tabs>
        <w:spacing w:line="560" w:lineRule="exact"/>
        <w:ind w:firstLine="1120" w:firstLineChars="350"/>
        <w:rPr>
          <w:rFonts w:ascii="仿宋" w:hAnsi="仿宋" w:eastAsia="仿宋"/>
          <w:sz w:val="32"/>
          <w:szCs w:val="32"/>
        </w:rPr>
      </w:pPr>
      <w:r>
        <w:rPr>
          <w:rFonts w:ascii="仿宋" w:hAnsi="仿宋" w:eastAsia="仿宋"/>
          <w:sz w:val="32"/>
          <w:szCs w:val="32"/>
        </w:rPr>
        <w:sym w:font="Symbol" w:char="F0F0"/>
      </w:r>
      <w:r>
        <w:rPr>
          <w:rFonts w:hint="eastAsia" w:ascii="仿宋" w:hAnsi="仿宋" w:eastAsia="仿宋"/>
          <w:sz w:val="32"/>
          <w:szCs w:val="32"/>
        </w:rPr>
        <w:t>预计利润总额、净利润或者</w:t>
      </w:r>
      <w:r>
        <w:rPr>
          <w:rFonts w:hint="eastAsia" w:ascii="仿宋" w:hAnsi="仿宋" w:eastAsia="仿宋"/>
          <w:color w:val="000000"/>
          <w:sz w:val="32"/>
          <w:szCs w:val="32"/>
        </w:rPr>
        <w:t>扣除非经常性损益后的净利润三者孰低为负值，且按照本所《创业板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上市规则》第10.3.2条规定扣除与主营业务无关的业务收入和不具备商业实质的收入后的营业收入低于一亿元。</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2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本报告期</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利润总额（如适用）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盈利/亏损：__万元–__万元</w:t>
            </w:r>
          </w:p>
        </w:tc>
        <w:tc>
          <w:tcPr>
            <w:tcW w:w="203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比上年同期增长/下降：__% - __%</w:t>
            </w:r>
          </w:p>
        </w:tc>
        <w:tc>
          <w:tcPr>
            <w:tcW w:w="203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0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2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0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扣除后营业收入（如适用）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r>
    </w:tbl>
    <w:p>
      <w:pPr>
        <w:spacing w:line="560" w:lineRule="exact"/>
        <w:ind w:firstLine="480" w:firstLineChars="200"/>
        <w:rPr>
          <w:rFonts w:ascii="仿宋" w:hAnsi="仿宋" w:eastAsia="仿宋"/>
          <w:color w:val="000000"/>
          <w:sz w:val="32"/>
          <w:szCs w:val="32"/>
        </w:rPr>
      </w:pPr>
      <w:r>
        <w:rPr>
          <w:rFonts w:hint="eastAsia" w:ascii="仿宋" w:hAnsi="仿宋" w:eastAsia="仿宋"/>
          <w:color w:val="000000"/>
          <w:sz w:val="24"/>
          <w:szCs w:val="24"/>
        </w:rPr>
        <w:t>注：①本公告格式中的“元”均指人民币元；②扣除后营业收入指</w:t>
      </w:r>
      <w:r>
        <w:rPr>
          <w:rFonts w:hint="eastAsia" w:ascii="仿宋" w:hAnsi="仿宋" w:eastAsia="仿宋"/>
          <w:sz w:val="24"/>
          <w:szCs w:val="24"/>
        </w:rPr>
        <w:t>按照本所《创业板股票上市规则》第10.3.2条规定</w:t>
      </w:r>
      <w:r>
        <w:rPr>
          <w:rFonts w:hint="eastAsia" w:ascii="仿宋" w:hAnsi="仿宋" w:eastAsia="仿宋"/>
          <w:color w:val="000000"/>
          <w:sz w:val="24"/>
          <w:szCs w:val="24"/>
        </w:rPr>
        <w:t>扣除后的营业收入；③公司应当在业绩预告中披露业绩变动范围，上下限区间最大不得超过50％，即[(上限金额-下限金额)/下限金额] 的绝对值应不超过50%，鼓励不超过30%；④如报告期业绩为亏损或扭亏为盈，可不计算同比增长或下降的比例；⑤当年完成重大资产重组的公司，应同时列示重组前、后的上年同期数据。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t xml:space="preserve"> </w:t>
      </w:r>
      <w:r>
        <w:rPr>
          <w:rFonts w:hint="eastAsia" w:ascii="仿宋" w:hAnsi="仿宋" w:eastAsia="仿宋"/>
          <w:color w:val="000000"/>
          <w:sz w:val="32"/>
          <w:szCs w:val="32"/>
        </w:rPr>
        <w:t>预计净利润为正值且属于下列情形之一：</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sym w:font="Symbol" w:char="F0F0"/>
      </w:r>
      <w:r>
        <w:rPr>
          <w:rFonts w:hint="eastAsia" w:ascii="仿宋" w:hAnsi="仿宋" w:eastAsia="仿宋"/>
          <w:color w:val="000000"/>
          <w:sz w:val="32"/>
          <w:szCs w:val="32"/>
        </w:rPr>
        <w:t xml:space="preserve">扭亏为盈  </w:t>
      </w:r>
      <w:r>
        <w:rPr>
          <w:rFonts w:ascii="仿宋" w:hAnsi="仿宋" w:eastAsia="仿宋"/>
          <w:color w:val="000000"/>
          <w:sz w:val="32"/>
          <w:szCs w:val="32"/>
        </w:rPr>
        <w:sym w:font="Symbol" w:char="F0F0"/>
      </w:r>
      <w:r>
        <w:rPr>
          <w:rFonts w:hint="eastAsia" w:ascii="仿宋" w:hAnsi="仿宋" w:eastAsia="仿宋"/>
          <w:color w:val="000000"/>
          <w:sz w:val="32"/>
          <w:szCs w:val="32"/>
        </w:rPr>
        <w:t xml:space="preserve">同向上升  </w:t>
      </w:r>
      <w:r>
        <w:rPr>
          <w:rFonts w:ascii="仿宋" w:hAnsi="仿宋" w:eastAsia="仿宋"/>
          <w:color w:val="000000"/>
          <w:sz w:val="32"/>
          <w:szCs w:val="32"/>
        </w:rPr>
        <w:sym w:font="Symbol" w:char="F0F0"/>
      </w:r>
      <w:r>
        <w:rPr>
          <w:rFonts w:hint="eastAsia" w:ascii="仿宋" w:hAnsi="仿宋" w:eastAsia="仿宋"/>
          <w:color w:val="000000"/>
          <w:sz w:val="32"/>
          <w:szCs w:val="32"/>
        </w:rPr>
        <w:t xml:space="preserve">同向下降 </w:t>
      </w:r>
    </w:p>
    <w:tbl>
      <w:tblPr>
        <w:tblStyle w:val="28"/>
        <w:tblW w:w="837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52"/>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本报告期</w:t>
            </w:r>
          </w:p>
        </w:tc>
        <w:tc>
          <w:tcPr>
            <w:tcW w:w="2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注：①公司应当在业绩预告中披露业绩变动范围，上下限区间最大不得超过50％，即[(上限金额-下限金额)/下限金额] 的绝对值应不超过50%，鼓励不超过30%；②如报告期业绩为扭亏为盈，可不计算同比增长或下降的比例；③当年完成重大资产重组的公司，应同时列示重组前、后的上年同期数据。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预计期末净资产为负值的公司：</w:t>
      </w:r>
    </w:p>
    <w:tbl>
      <w:tblPr>
        <w:tblStyle w:val="28"/>
        <w:tblW w:w="840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3260"/>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680"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项  目</w:t>
            </w:r>
          </w:p>
        </w:tc>
        <w:tc>
          <w:tcPr>
            <w:tcW w:w="3260"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szCs w:val="24"/>
              </w:rPr>
            </w:pPr>
            <w:r>
              <w:rPr>
                <w:rFonts w:hint="eastAsia" w:ascii="仿宋" w:hAnsi="仿宋" w:eastAsia="仿宋"/>
                <w:sz w:val="24"/>
                <w:szCs w:val="24"/>
              </w:rPr>
              <w:t>本会计年度末</w:t>
            </w:r>
          </w:p>
        </w:tc>
        <w:tc>
          <w:tcPr>
            <w:tcW w:w="2459"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rPr>
                <w:rFonts w:ascii="仿宋" w:hAnsi="仿宋" w:eastAsia="仿宋"/>
                <w:sz w:val="24"/>
                <w:szCs w:val="24"/>
              </w:rPr>
            </w:pPr>
            <w:r>
              <w:rPr>
                <w:rFonts w:hint="eastAsia" w:ascii="仿宋" w:hAnsi="仿宋" w:eastAsia="仿宋"/>
                <w:sz w:val="24"/>
                <w:szCs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0"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rPr>
            </w:pPr>
            <w:r>
              <w:rPr>
                <w:rFonts w:hint="eastAsia" w:ascii="仿宋" w:hAnsi="仿宋" w:eastAsia="仿宋" w:cs="宋体"/>
                <w:color w:val="000000"/>
                <w:kern w:val="0"/>
                <w:sz w:val="24"/>
                <w:szCs w:val="24"/>
              </w:rPr>
              <w:t>归属于上市公司股东的所有者权益</w:t>
            </w:r>
          </w:p>
        </w:tc>
        <w:tc>
          <w:tcPr>
            <w:tcW w:w="3260"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__万元–__万元</w:t>
            </w:r>
          </w:p>
        </w:tc>
        <w:tc>
          <w:tcPr>
            <w:tcW w:w="2459"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rPr>
                <w:rFonts w:ascii="仿宋" w:hAnsi="仿宋" w:eastAsia="仿宋"/>
                <w:sz w:val="24"/>
                <w:szCs w:val="24"/>
              </w:rPr>
            </w:pPr>
            <w:r>
              <w:rPr>
                <w:rFonts w:hint="eastAsia" w:ascii="仿宋" w:hAnsi="仿宋" w:eastAsia="仿宋"/>
                <w:sz w:val="24"/>
                <w:szCs w:val="24"/>
              </w:rPr>
              <w:t>__万元</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因触及《创业板股票上市规则》第10.3.1条规定的情形，股票交易已被实施退市风险警示的公司：</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836"/>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w:t>
            </w:r>
          </w:p>
        </w:tc>
        <w:tc>
          <w:tcPr>
            <w:tcW w:w="2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sz w:val="24"/>
              </w:rPr>
              <w:t>利润总额</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rPr>
              <w:t>盈利/亏损：__万元–__万元</w:t>
            </w:r>
          </w:p>
        </w:tc>
        <w:tc>
          <w:tcPr>
            <w:tcW w:w="2594" w:type="dxa"/>
            <w:vMerge w:val="restart"/>
            <w:tcBorders>
              <w:top w:val="single" w:color="auto" w:sz="4" w:space="0"/>
              <w:left w:val="single" w:color="auto" w:sz="4" w:space="0"/>
              <w:right w:val="single" w:color="auto" w:sz="4" w:space="0"/>
            </w:tcBorders>
            <w:vAlign w:val="center"/>
          </w:tcPr>
          <w:p>
            <w:pPr>
              <w:widowControl/>
              <w:rPr>
                <w:rFonts w:ascii="仿宋" w:hAnsi="仿宋" w:eastAsia="仿宋"/>
                <w:sz w:val="24"/>
                <w:szCs w:val="24"/>
              </w:rPr>
            </w:pPr>
            <w:r>
              <w:rPr>
                <w:rFonts w:hint="eastAsia" w:ascii="仿宋" w:hAnsi="仿宋" w:eastAsia="仿宋"/>
                <w:sz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rPr>
              <w:t>比上年同期增长/下降：__% - __%</w:t>
            </w:r>
          </w:p>
        </w:tc>
        <w:tc>
          <w:tcPr>
            <w:tcW w:w="2594"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4"/>
                <w:szCs w:val="24"/>
              </w:rPr>
            </w:pPr>
            <w:r>
              <w:rPr>
                <w:rFonts w:hint="eastAsia" w:ascii="仿宋" w:hAnsi="仿宋" w:eastAsia="仿宋"/>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扣除后营业收入</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sz w:val="24"/>
                <w:szCs w:val="24"/>
              </w:rPr>
              <w:t>项  目</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本会计年度末</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rPr>
            </w:pPr>
            <w:r>
              <w:rPr>
                <w:rFonts w:hint="eastAsia" w:ascii="仿宋" w:hAnsi="仿宋" w:eastAsia="仿宋" w:cs="宋体"/>
                <w:color w:val="000000"/>
                <w:kern w:val="0"/>
                <w:sz w:val="24"/>
                <w:szCs w:val="24"/>
              </w:rPr>
              <w:t>归属于上市公司股东的所有者权益</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bl>
    <w:p>
      <w:pPr>
        <w:spacing w:line="560" w:lineRule="exact"/>
        <w:ind w:firstLine="480" w:firstLineChars="200"/>
        <w:rPr>
          <w:rFonts w:ascii="仿宋" w:hAnsi="仿宋" w:eastAsia="仿宋"/>
          <w:color w:val="000000"/>
          <w:sz w:val="32"/>
          <w:szCs w:val="32"/>
        </w:rPr>
      </w:pPr>
      <w:r>
        <w:rPr>
          <w:rFonts w:hint="eastAsia" w:ascii="仿宋" w:hAnsi="仿宋" w:eastAsia="仿宋"/>
          <w:color w:val="000000"/>
          <w:sz w:val="24"/>
          <w:szCs w:val="24"/>
        </w:rPr>
        <w:t>注：①扣除后营业收入指</w:t>
      </w:r>
      <w:r>
        <w:rPr>
          <w:rFonts w:hint="eastAsia" w:ascii="仿宋" w:hAnsi="仿宋" w:eastAsia="仿宋"/>
          <w:sz w:val="24"/>
          <w:szCs w:val="24"/>
        </w:rPr>
        <w:t>按照本所《创业板</w:t>
      </w:r>
      <w:r>
        <w:rPr>
          <w:rFonts w:hint="eastAsia" w:ascii="仿宋" w:hAnsi="仿宋" w:eastAsia="仿宋"/>
          <w:sz w:val="24"/>
          <w:szCs w:val="24"/>
          <w:lang w:eastAsia="zh-CN"/>
        </w:rPr>
        <w:t>股票</w:t>
      </w:r>
      <w:r>
        <w:rPr>
          <w:rFonts w:hint="eastAsia" w:ascii="仿宋" w:hAnsi="仿宋" w:eastAsia="仿宋"/>
          <w:sz w:val="24"/>
          <w:szCs w:val="24"/>
        </w:rPr>
        <w:t>上市规则》第10.3.2条规定</w:t>
      </w:r>
      <w:r>
        <w:rPr>
          <w:rFonts w:hint="eastAsia" w:ascii="仿宋" w:hAnsi="仿宋" w:eastAsia="仿宋"/>
          <w:color w:val="000000"/>
          <w:sz w:val="24"/>
          <w:szCs w:val="24"/>
        </w:rPr>
        <w:t>扣除后的营业收入；②公司应当在业绩预告中披露业绩变动范围，上下限区间最大不得超过50％，即[(上限金额-下限金额)/下限金额] 的绝对值应不超过50%，鼓励不超过30%；③如报告期业绩为亏损或扭亏为盈，可不计算同比增长或下降的比例；④当年完成重大资产重组的公司，应同时列示重组前、后的上年同期数据。</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二、与会计师事务所沟通情况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公司应当说明就业绩预告有关事项与会计师事务所进行预沟通的情况，说明公司与会计师事务所在业绩预告方面是否存在分歧及分歧所在。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业绩预告经过注册会计师预审计的，应说明预审计的会计师事务所名称及其对公司作出业绩预告的依据及过程是否适当和审慎的意见。</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三、业绩变动原因说明</w:t>
      </w:r>
    </w:p>
    <w:p>
      <w:pPr>
        <w:tabs>
          <w:tab w:val="left" w:pos="3240"/>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应当列明经营业绩或财务状况出现重大变动的主要原因，例如计提减值准备、停产、补交税费等。</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sz w:val="32"/>
          <w:szCs w:val="32"/>
        </w:rPr>
        <w:t>业绩变动主要源于非经常性损益的，需说明影响金额范围，并明确指出相关项目属于非经常性损益。</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四、其他相关说明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（一）本次业绩预告的有关决策程序（如适用）。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（二）关于公司股票在年报后可能被实施或撤销</w:t>
      </w:r>
      <w:r>
        <w:rPr>
          <w:rFonts w:hint="eastAsia" w:ascii="仿宋" w:hAnsi="仿宋" w:eastAsia="仿宋" w:cs="宋体"/>
          <w:color w:val="000000"/>
          <w:kern w:val="0"/>
          <w:sz w:val="32"/>
          <w:szCs w:val="32"/>
        </w:rPr>
        <w:t>风险警示、</w:t>
      </w:r>
      <w:r>
        <w:rPr>
          <w:rFonts w:hint="eastAsia" w:ascii="仿宋" w:hAnsi="仿宋" w:eastAsia="仿宋"/>
          <w:color w:val="000000"/>
          <w:sz w:val="32"/>
          <w:szCs w:val="32"/>
        </w:rPr>
        <w:t>终止上市的说明（如适用）。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（三）如存在可能影响本次业绩预告内容准确性的不确定因素，应当说明是否就不确定因素与年审会计师进行沟通及沟通情况，并对可能造成的影响进行合理、量化分析。</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（四）其他情况。</w:t>
      </w:r>
    </w:p>
    <w:p>
      <w:pPr>
        <w:pStyle w:val="9"/>
        <w:snapToGrid w:val="0"/>
        <w:spacing w:line="560" w:lineRule="exact"/>
        <w:ind w:left="420" w:leftChars="0" w:firstLine="640" w:firstLineChars="200"/>
        <w:rPr>
          <w:rFonts w:ascii="仿宋" w:hAnsi="仿宋" w:eastAsia="仿宋"/>
          <w:color w:val="000000"/>
          <w:sz w:val="32"/>
          <w:szCs w:val="32"/>
        </w:rPr>
      </w:pPr>
    </w:p>
    <w:p>
      <w:pPr>
        <w:widowControl/>
        <w:adjustRightInd w:val="0"/>
        <w:spacing w:line="560" w:lineRule="exact"/>
        <w:ind w:right="420"/>
        <w:rPr>
          <w:rFonts w:ascii="仿宋" w:hAnsi="仿宋" w:eastAsia="仿宋" w:cs="宋体"/>
          <w:color w:val="000000"/>
          <w:kern w:val="0"/>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640" w:firstLineChars="200"/>
        <w:jc w:val="right"/>
        <w:rPr>
          <w:rFonts w:ascii="仿宋" w:hAnsi="仿宋" w:eastAsia="仿宋"/>
          <w:sz w:val="32"/>
          <w:szCs w:val="32"/>
        </w:rPr>
      </w:pPr>
      <w:r>
        <w:rPr>
          <w:rFonts w:hint="eastAsia" w:ascii="仿宋" w:hAnsi="仿宋" w:eastAsia="仿宋"/>
          <w:sz w:val="32"/>
          <w:szCs w:val="32"/>
        </w:rPr>
        <w:t>XXXX年XX月XX日</w:t>
      </w:r>
    </w:p>
    <w:p>
      <w:pPr>
        <w:widowControl/>
        <w:tabs>
          <w:tab w:val="left" w:pos="1080"/>
        </w:tabs>
        <w:spacing w:line="560" w:lineRule="exact"/>
        <w:ind w:firstLine="6666" w:firstLineChars="2075"/>
        <w:rPr>
          <w:rFonts w:ascii="仿宋" w:hAnsi="仿宋" w:eastAsia="仿宋" w:cs="宋体"/>
          <w:b/>
          <w:bCs/>
          <w:color w:val="000000"/>
          <w:kern w:val="0"/>
          <w:sz w:val="32"/>
          <w:szCs w:val="32"/>
        </w:rPr>
      </w:pPr>
    </w:p>
    <w:p>
      <w:pPr>
        <w:widowControl/>
        <w:spacing w:line="560" w:lineRule="exact"/>
        <w:jc w:val="left"/>
        <w:rPr>
          <w:rFonts w:ascii="仿宋" w:hAnsi="仿宋" w:eastAsia="仿宋" w:cs="宋体"/>
          <w:b/>
          <w:bCs/>
          <w:color w:val="000000"/>
          <w:kern w:val="0"/>
          <w:sz w:val="32"/>
          <w:szCs w:val="32"/>
        </w:rPr>
      </w:pPr>
    </w:p>
    <w:p>
      <w:pPr>
        <w:pStyle w:val="9"/>
        <w:snapToGrid w:val="0"/>
        <w:spacing w:after="0" w:line="560" w:lineRule="exact"/>
        <w:ind w:left="0" w:leftChars="0"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pStyle w:val="9"/>
        <w:snapToGrid w:val="0"/>
        <w:spacing w:after="0" w:line="560" w:lineRule="exact"/>
        <w:ind w:left="0" w:leftChars="0"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注册会计师对公司作出业绩预告的依据及过程是否适当和审慎的意见（如适用）</w:t>
      </w:r>
      <w:r>
        <w:rPr>
          <w:rFonts w:hint="eastAsia" w:ascii="仿宋" w:hAnsi="仿宋" w:eastAsia="仿宋"/>
          <w:color w:val="000000"/>
          <w:sz w:val="32"/>
          <w:szCs w:val="32"/>
          <w:lang w:eastAsia="zh"/>
        </w:rPr>
        <w:t>。</w:t>
      </w:r>
    </w:p>
    <w:p>
      <w:pPr>
        <w:widowControl/>
        <w:spacing w:line="560" w:lineRule="exact"/>
        <w:jc w:val="left"/>
        <w:rPr>
          <w:rFonts w:ascii="仿宋" w:hAnsi="仿宋" w:eastAsia="仿宋" w:cs="宋体"/>
          <w:b/>
          <w:bCs/>
          <w:color w:val="000000"/>
          <w:kern w:val="0"/>
          <w:sz w:val="32"/>
          <w:szCs w:val="32"/>
        </w:rPr>
      </w:pPr>
    </w:p>
    <w:p>
      <w:pPr>
        <w:widowControl/>
        <w:spacing w:line="560" w:lineRule="exact"/>
        <w:jc w:val="left"/>
        <w:rPr>
          <w:rFonts w:ascii="仿宋" w:hAnsi="仿宋" w:eastAsia="仿宋"/>
          <w:color w:val="000000"/>
          <w:sz w:val="32"/>
          <w:szCs w:val="32"/>
        </w:rPr>
      </w:pPr>
      <w:r>
        <w:rPr>
          <w:rFonts w:hint="eastAsia" w:ascii="仿宋" w:hAnsi="仿宋" w:eastAsia="仿宋" w:cs="宋体"/>
          <w:b/>
          <w:bCs/>
          <w:color w:val="000000"/>
          <w:kern w:val="0"/>
          <w:sz w:val="32"/>
          <w:szCs w:val="32"/>
        </w:rPr>
        <w:br w:type="page"/>
      </w:r>
      <w:r>
        <w:rPr>
          <w:rFonts w:hint="eastAsia" w:ascii="仿宋" w:hAnsi="仿宋" w:eastAsia="仿宋" w:cs="宋体"/>
          <w:b/>
          <w:bCs/>
          <w:color w:val="000000"/>
          <w:kern w:val="0"/>
          <w:sz w:val="32"/>
          <w:szCs w:val="32"/>
        </w:rPr>
        <w:t xml:space="preserve">    </w:t>
      </w: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334" w:rightChars="-159"/>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股份有限公司XX年度业绩预告修正公告</w:t>
      </w:r>
    </w:p>
    <w:p>
      <w:pPr>
        <w:widowControl/>
        <w:pBdr>
          <w:top w:val="single" w:color="auto" w:sz="4" w:space="1"/>
          <w:left w:val="single" w:color="auto" w:sz="4" w:space="4"/>
          <w:bottom w:val="single" w:color="auto" w:sz="4" w:space="1"/>
          <w:right w:val="single" w:color="auto" w:sz="4" w:space="5"/>
        </w:pBdr>
        <w:spacing w:line="4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本公司及董事会全体成员（或除董事XXX、XXX外的董事会全体成员）保证信息披露的内容真实、准确、完整，没有虚假记载、误导性陈述或重大遗漏。</w:t>
      </w:r>
    </w:p>
    <w:p>
      <w:pPr>
        <w:widowControl/>
        <w:pBdr>
          <w:top w:val="single" w:color="auto" w:sz="4" w:space="1"/>
          <w:left w:val="single" w:color="auto" w:sz="4" w:space="4"/>
          <w:bottom w:val="single" w:color="auto" w:sz="4" w:space="1"/>
          <w:right w:val="single" w:color="auto" w:sz="4" w:space="5"/>
        </w:pBdr>
        <w:spacing w:line="4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董事XXX、XXX因         （具体和明确的理由）不能保证公告内容真实、准确、完整。</w:t>
      </w:r>
    </w:p>
    <w:p>
      <w:pPr>
        <w:pStyle w:val="9"/>
        <w:snapToGrid w:val="0"/>
        <w:spacing w:after="0" w:line="560" w:lineRule="exact"/>
        <w:ind w:leftChars="0" w:firstLine="787" w:firstLineChars="245"/>
        <w:rPr>
          <w:rFonts w:ascii="仿宋" w:hAnsi="仿宋" w:eastAsia="仿宋"/>
          <w:b/>
          <w:color w:val="000000"/>
          <w:sz w:val="32"/>
          <w:szCs w:val="32"/>
        </w:rPr>
      </w:pP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一、预计的本期业绩情况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（一）业绩预告期间：XXXX年1月1日至XXXX年12月31日。</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（二）前次业绩预告情况：应说明前次业绩预告的披露时间、披露方式（在定期报告中披露或以临时公告的方式披露）及预计的业绩。</w:t>
      </w:r>
    </w:p>
    <w:p>
      <w:pPr>
        <w:pStyle w:val="9"/>
        <w:snapToGrid w:val="0"/>
        <w:spacing w:afterLines="5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（三）修正后的预计业绩</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2145"/>
        <w:gridCol w:w="2306"/>
        <w:gridCol w:w="133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451" w:type="dxa"/>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原预计</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最新预计</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rPr>
              <w:t>利润总额</w:t>
            </w:r>
            <w:r>
              <w:rPr>
                <w:rFonts w:hint="eastAsia" w:ascii="仿宋" w:hAnsi="仿宋" w:eastAsia="仿宋"/>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盈利/亏损：__万元–__万元</w:t>
            </w:r>
          </w:p>
        </w:tc>
        <w:tc>
          <w:tcPr>
            <w:tcW w:w="1331"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w:t>
            </w:r>
          </w:p>
        </w:tc>
        <w:tc>
          <w:tcPr>
            <w:tcW w:w="1167"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466"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比上年同期增长/下降：__% - __%</w:t>
            </w:r>
          </w:p>
        </w:tc>
        <w:tc>
          <w:tcPr>
            <w:tcW w:w="1331"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c>
          <w:tcPr>
            <w:tcW w:w="1167"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净利润</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净利润</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w:t>
            </w:r>
          </w:p>
        </w:tc>
        <w:tc>
          <w:tcPr>
            <w:tcW w:w="4451" w:type="dxa"/>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本会计年度末</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上年末</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原预计</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最新预计</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归属于上市公司股东的所有者权益</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bl>
    <w:p>
      <w:pPr>
        <w:pStyle w:val="9"/>
        <w:snapToGrid w:val="0"/>
        <w:spacing w:after="0" w:line="560" w:lineRule="exact"/>
        <w:ind w:left="0" w:leftChars="0" w:firstLine="480" w:firstLineChars="200"/>
        <w:rPr>
          <w:rFonts w:ascii="仿宋" w:hAnsi="仿宋" w:eastAsia="仿宋"/>
          <w:color w:val="000000"/>
          <w:sz w:val="24"/>
        </w:rPr>
      </w:pPr>
      <w:r>
        <w:rPr>
          <w:rFonts w:hint="eastAsia" w:ascii="仿宋" w:hAnsi="仿宋" w:eastAsia="仿宋"/>
          <w:color w:val="000000"/>
          <w:sz w:val="24"/>
        </w:rPr>
        <w:t>注：①上市公司应当根据已披露的业绩预告，列示有关财务指标的修正情况，未修正的财务指标，也需进行列示；②扣除后营业收入指按照本所《创业板股票上市规则》第10.3.2条规定扣除后的营业收入；③公司应当在业绩预告中披露业绩变动范围，上下限区间最大不得超过50％，即[(上限金额-下限金额)/下限金额] 的绝对值应不超过50%，鼓励不超过30%；④如报告期业绩为亏损或扭亏为盈，可不计算同比增长或下降的比例；⑤当年完成重大资产重组的公司，应同时列示重组前、后的上年同期数据。</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二、与会计师事务所沟通情况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公司应当说明就业绩预告修正有关事项与会计师事务所进行预沟通的情况，说明公司与会计师事务所在业绩预告修正方面是否存在分歧和分歧所在。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业绩预告修正经过注册会计师预审计的，应说明预审计的会计师事务所名称及其对公司作出业绩预告修正的依据及过程是否适当和审慎的意见。</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三、业绩修正原因说明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（一）应当列明导致业绩预告出现重大差异的具体原因，例如计提减值准备、停产、补交税费等。</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（二）董事会对造成上述重大差异的责任人的认定情况和处理结果说明（如适用）。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（三）如业绩修正主要源于非经常性损益项目的影响，需说明影响金额范围，并明确指出相关项目属于非经常性损益。</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四、其他相关说明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（一）本次业绩预告修正的有关决策程序（如适用）；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（二）关于公司股票在年报后可能被实施或撤销风险警示、终止上市的说明（如适用）；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（三）如存在可能影响本次业绩预告内容准确性的不确定因素，应当说明是否就不确定因素与年审会计师进行沟通及沟通情况，并对可能造成的影响进行合理、量化分析；</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（四）其他情况。</w:t>
      </w:r>
    </w:p>
    <w:p>
      <w:pPr>
        <w:pStyle w:val="9"/>
        <w:snapToGrid w:val="0"/>
        <w:spacing w:line="560" w:lineRule="exact"/>
        <w:ind w:left="420" w:leftChars="0" w:firstLine="640" w:firstLineChars="200"/>
        <w:rPr>
          <w:rFonts w:ascii="仿宋" w:hAnsi="仿宋" w:eastAsia="仿宋"/>
          <w:color w:val="000000"/>
          <w:sz w:val="32"/>
          <w:szCs w:val="32"/>
        </w:rPr>
      </w:pPr>
    </w:p>
    <w:p>
      <w:pPr>
        <w:widowControl/>
        <w:adjustRightInd w:val="0"/>
        <w:spacing w:line="560" w:lineRule="exact"/>
        <w:ind w:left="360" w:right="420"/>
        <w:rPr>
          <w:rFonts w:ascii="仿宋" w:hAnsi="仿宋" w:eastAsia="仿宋"/>
          <w:color w:val="000000"/>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640" w:firstLineChars="200"/>
        <w:jc w:val="right"/>
        <w:rPr>
          <w:rFonts w:hint="eastAsia" w:ascii="仿宋" w:hAnsi="仿宋" w:eastAsia="仿宋"/>
          <w:sz w:val="32"/>
          <w:szCs w:val="32"/>
        </w:rPr>
      </w:pPr>
      <w:r>
        <w:rPr>
          <w:rFonts w:hint="eastAsia" w:ascii="仿宋" w:hAnsi="仿宋" w:eastAsia="仿宋"/>
          <w:sz w:val="32"/>
          <w:szCs w:val="32"/>
        </w:rPr>
        <w:t>XXXX年XX月XX日</w:t>
      </w:r>
    </w:p>
    <w:p>
      <w:pPr>
        <w:pStyle w:val="2"/>
        <w:rPr>
          <w:rFonts w:hint="eastAsia" w:ascii="仿宋" w:hAnsi="仿宋" w:eastAsia="仿宋"/>
          <w:sz w:val="32"/>
          <w:szCs w:val="32"/>
        </w:rPr>
      </w:pPr>
    </w:p>
    <w:p>
      <w:pPr>
        <w:pStyle w:val="9"/>
        <w:snapToGrid w:val="0"/>
        <w:spacing w:after="0" w:line="560" w:lineRule="exact"/>
        <w:ind w:left="0" w:leftChars="0"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pStyle w:val="9"/>
        <w:snapToGrid w:val="0"/>
        <w:spacing w:after="0" w:line="560" w:lineRule="exact"/>
        <w:ind w:left="0" w:leftChars="0"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注册会计师对公司修正其业绩预告的依据及过程是否适当和审慎的意见（如适用）</w:t>
      </w:r>
      <w:r>
        <w:rPr>
          <w:rFonts w:hint="eastAsia" w:ascii="仿宋" w:hAnsi="仿宋" w:eastAsia="仿宋"/>
          <w:color w:val="000000"/>
          <w:sz w:val="32"/>
          <w:szCs w:val="32"/>
          <w:lang w:eastAsia="zh"/>
        </w:rPr>
        <w:t>。</w:t>
      </w:r>
    </w:p>
    <w:p>
      <w:pPr>
        <w:pStyle w:val="2"/>
        <w:rPr>
          <w:rFonts w:hint="eastAsia" w:ascii="仿宋" w:hAnsi="仿宋" w:eastAsia="仿宋"/>
          <w:sz w:val="32"/>
          <w:szCs w:val="32"/>
        </w:rPr>
      </w:pP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45" w:name="_Toc164973709"/>
      <w:bookmarkStart w:id="46" w:name="_Toc22643"/>
      <w:bookmarkStart w:id="47" w:name="_Toc30005"/>
      <w:r>
        <w:rPr>
          <w:rFonts w:hint="eastAsia" w:ascii="方正小标宋简体" w:hAnsi="仿宋" w:eastAsia="方正小标宋简体"/>
          <w:kern w:val="44"/>
          <w:sz w:val="44"/>
          <w:szCs w:val="44"/>
        </w:rPr>
        <w:t>第16号 上市公司业绩快报及修正公告格式</w:t>
      </w:r>
      <w:bookmarkEnd w:id="45"/>
      <w:bookmarkEnd w:id="46"/>
      <w:bookmarkEnd w:id="47"/>
    </w:p>
    <w:p>
      <w:pPr>
        <w:widowControl/>
        <w:adjustRightInd w:val="0"/>
        <w:snapToGrid w:val="0"/>
        <w:spacing w:line="560" w:lineRule="exact"/>
        <w:jc w:val="center"/>
        <w:rPr>
          <w:rFonts w:ascii="仿宋" w:hAnsi="仿宋" w:eastAsia="仿宋"/>
          <w:color w:val="000000"/>
          <w:sz w:val="32"/>
          <w:szCs w:val="32"/>
        </w:rPr>
      </w:pPr>
    </w:p>
    <w:p>
      <w:pPr>
        <w:widowControl/>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股份有限公司XX年度（半年度、第一季度、前三季度）</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业绩快报</w:t>
      </w:r>
    </w:p>
    <w:p>
      <w:pPr>
        <w:autoSpaceDE w:val="0"/>
        <w:autoSpaceDN w:val="0"/>
        <w:adjustRightInd w:val="0"/>
        <w:spacing w:line="560" w:lineRule="exact"/>
        <w:rPr>
          <w:rFonts w:ascii="仿宋" w:hAnsi="仿宋" w:eastAsia="仿宋"/>
          <w:color w:val="000000"/>
          <w:sz w:val="32"/>
          <w:szCs w:val="32"/>
        </w:rPr>
      </w:pPr>
      <w:r>
        <mc:AlternateContent>
          <mc:Choice Requires="wps">
            <w:drawing>
              <wp:anchor distT="0" distB="0" distL="114300" distR="114300" simplePos="0" relativeHeight="251686912" behindDoc="0" locked="0" layoutInCell="1" allowOverlap="1">
                <wp:simplePos x="0" y="0"/>
                <wp:positionH relativeFrom="column">
                  <wp:posOffset>-123825</wp:posOffset>
                </wp:positionH>
                <wp:positionV relativeFrom="paragraph">
                  <wp:posOffset>80010</wp:posOffset>
                </wp:positionV>
                <wp:extent cx="5715000" cy="1552575"/>
                <wp:effectExtent l="4445" t="5080" r="14605" b="4445"/>
                <wp:wrapNone/>
                <wp:docPr id="108" name="矩形 108"/>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6.3pt;height:122.25pt;width:450pt;z-index:251686912;mso-width-relative:page;mso-height-relative:page;" fillcolor="#FFFFFF" filled="t" stroked="t" coordsize="21600,21600" o:gfxdata="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l6EenYAAAACgEAAA8AAAAAAAAAAQAgAAAAIgAA&#10;AGRycy9kb3ducmV2LnhtbFBLAQIUABQAAAAIAIdO4kAbC/fx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特别提示：</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告所载XX年度（或半年度、第一季度、前三季度）的财务数据仅为初步核算数据，已经公司内部审计部门审计（如适用），未经会计师事务所审计，与年度报告（或半年度报告、第一季报、第三季报）中披露的最终数据可能存在差异，请投资者注意投资风险。</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一、XXXX年度（或半年度、第一季度、前三季度）主要财务数据和指标</w:t>
      </w:r>
    </w:p>
    <w:p>
      <w:pPr>
        <w:snapToGrid w:val="0"/>
        <w:spacing w:line="560" w:lineRule="exact"/>
        <w:ind w:firstLine="617" w:firstLineChars="192"/>
        <w:jc w:val="right"/>
        <w:rPr>
          <w:rFonts w:ascii="仿宋" w:hAnsi="仿宋" w:eastAsia="仿宋" w:cs="宋体"/>
          <w:color w:val="000000"/>
          <w:kern w:val="0"/>
          <w:sz w:val="32"/>
          <w:szCs w:val="32"/>
        </w:rPr>
      </w:pPr>
      <w:r>
        <w:rPr>
          <w:rFonts w:hint="eastAsia" w:ascii="仿宋" w:hAnsi="仿宋" w:eastAsia="仿宋"/>
          <w:b/>
          <w:color w:val="000000"/>
          <w:sz w:val="32"/>
          <w:szCs w:val="32"/>
        </w:rPr>
        <w:t xml:space="preserve">                                         </w:t>
      </w:r>
      <w:r>
        <w:rPr>
          <w:rFonts w:hint="eastAsia" w:ascii="仿宋" w:hAnsi="仿宋" w:eastAsia="仿宋" w:cs="宋体"/>
          <w:color w:val="000000"/>
          <w:kern w:val="0"/>
          <w:sz w:val="32"/>
          <w:szCs w:val="32"/>
        </w:rPr>
        <w:t>单位：</w:t>
      </w:r>
    </w:p>
    <w:tbl>
      <w:tblPr>
        <w:tblStyle w:val="28"/>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799"/>
        <w:gridCol w:w="2339"/>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color w:val="000000"/>
                <w:sz w:val="24"/>
              </w:rPr>
            </w:pPr>
            <w:r>
              <w:rPr>
                <w:rFonts w:hint="eastAsia" w:ascii="仿宋" w:hAnsi="仿宋" w:eastAsia="仿宋"/>
                <w:color w:val="000000"/>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扣除非经常性损益后的归属于上市公司股东的净利润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color w:val="000000"/>
                <w:sz w:val="24"/>
              </w:rPr>
            </w:pPr>
            <w:r>
              <w:rPr>
                <w:rFonts w:hint="eastAsia" w:ascii="仿宋" w:hAnsi="仿宋" w:eastAsia="仿宋"/>
                <w:color w:val="000000"/>
                <w:sz w:val="24"/>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color w:val="000000"/>
                <w:sz w:val="24"/>
              </w:rPr>
            </w:pPr>
            <w:r>
              <w:rPr>
                <w:rFonts w:hint="eastAsia" w:ascii="仿宋" w:hAnsi="仿宋" w:eastAsia="仿宋"/>
                <w:color w:val="000000"/>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总资产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股本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bl>
    <w:p>
      <w:pPr>
        <w:autoSpaceDE w:val="0"/>
        <w:autoSpaceDN w:val="0"/>
        <w:adjustRightInd w:val="0"/>
        <w:spacing w:line="560" w:lineRule="exact"/>
        <w:ind w:firstLine="560"/>
        <w:rPr>
          <w:rFonts w:ascii="仿宋" w:hAnsi="仿宋" w:eastAsia="仿宋"/>
          <w:kern w:val="0"/>
          <w:sz w:val="24"/>
          <w:szCs w:val="24"/>
        </w:rPr>
      </w:pPr>
      <w:r>
        <w:rPr>
          <w:rFonts w:hint="eastAsia" w:ascii="仿宋" w:hAnsi="仿宋" w:eastAsia="仿宋"/>
          <w:kern w:val="0"/>
          <w:sz w:val="24"/>
          <w:szCs w:val="24"/>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二、经营业绩和财务状况情况说明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应简要说明报告期的经营情况、财务状况及影响经营业绩的主要因素。</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上表中有关项目增减变动幅度达30%以上的，应说明增减变动的主要原因。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三、与前次业绩预计的差异说明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公司应说明本次业绩快报披露的经营业绩是否与前次披露的业绩预告、业绩预告修正公告、盈利预测公告中预计的业绩存在差异。若存在，应说明前次业绩预计的披露时间、方式（在发行上市文件中披露、在定期报告中披露或以临时公告的方式披露）、预计的业绩以及本次业绩快报与前次业绩预计出现差异的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四、业绩泄漏原因和股价异动情况分析（如适用）</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出现业绩提前泄漏的，应当说明事件原因和公司董事会对内部责任人的认定及处理情况。</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出现因外界业绩传闻导致公司股票及其衍生品种出现异动的，公司董事会应当对消息来源和引发证券异动的原因进行解释和分析。</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五、其他说明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根据本次业绩快报，预计定期报告公告后公司股票可能被实施或撤销风险警示、终止上市的，应作出说明并提示风险。</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公司或本所认为需说明的事项。</w:t>
      </w:r>
    </w:p>
    <w:p>
      <w:pPr>
        <w:pStyle w:val="14"/>
        <w:spacing w:line="560" w:lineRule="exact"/>
        <w:ind w:leftChars="0" w:right="560"/>
        <w:rPr>
          <w:rFonts w:ascii="仿宋" w:hAnsi="仿宋" w:eastAsia="仿宋" w:cs="宋体"/>
          <w:color w:val="000000"/>
          <w:kern w:val="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jc w:val="left"/>
        <w:rPr>
          <w:rFonts w:ascii="仿宋" w:hAnsi="仿宋" w:eastAsia="仿宋"/>
          <w:sz w:val="32"/>
          <w:szCs w:val="32"/>
        </w:rPr>
      </w:pPr>
    </w:p>
    <w:p>
      <w:pPr>
        <w:autoSpaceDE w:val="0"/>
        <w:autoSpaceDN w:val="0"/>
        <w:adjustRightInd w:val="0"/>
        <w:spacing w:line="560" w:lineRule="exact"/>
        <w:ind w:firstLine="643" w:firstLineChars="200"/>
        <w:rPr>
          <w:rFonts w:hint="eastAsia" w:ascii="仿宋" w:hAnsi="仿宋" w:eastAsia="仿宋" w:cs="宋体"/>
          <w:b/>
          <w:color w:val="000000"/>
          <w:kern w:val="0"/>
          <w:sz w:val="32"/>
          <w:szCs w:val="32"/>
          <w:lang w:eastAsia="zh"/>
        </w:rPr>
      </w:pPr>
      <w:r>
        <w:rPr>
          <w:rFonts w:hint="eastAsia" w:ascii="仿宋" w:hAnsi="仿宋" w:eastAsia="仿宋" w:cs="宋体"/>
          <w:b/>
          <w:color w:val="000000"/>
          <w:kern w:val="0"/>
          <w:sz w:val="32"/>
          <w:szCs w:val="32"/>
        </w:rPr>
        <w:t>备查文件</w:t>
      </w:r>
    </w:p>
    <w:p>
      <w:pPr>
        <w:autoSpaceDE w:val="0"/>
        <w:autoSpaceDN w:val="0"/>
        <w:adjustRightInd w:val="0"/>
        <w:spacing w:line="560" w:lineRule="exact"/>
        <w:ind w:firstLine="640" w:firstLineChars="200"/>
        <w:rPr>
          <w:rFonts w:hint="eastAsia" w:ascii="仿宋" w:hAnsi="仿宋" w:eastAsia="仿宋" w:cs="宋体"/>
          <w:color w:val="000000"/>
          <w:kern w:val="0"/>
          <w:sz w:val="32"/>
          <w:szCs w:val="32"/>
          <w:lang w:eastAsia="zh"/>
        </w:rPr>
      </w:pPr>
      <w:r>
        <w:rPr>
          <w:rFonts w:hint="eastAsia" w:ascii="仿宋" w:hAnsi="仿宋" w:eastAsia="仿宋" w:cs="宋体"/>
          <w:color w:val="000000"/>
          <w:kern w:val="0"/>
          <w:sz w:val="32"/>
          <w:szCs w:val="32"/>
        </w:rPr>
        <w:t>经公司现任法定代表人、主管会计工作的负责人、总会计师（如有）、会计机构负责人（会计主管人员）签字并盖章的比较式资产负债表和利润表</w:t>
      </w:r>
      <w:r>
        <w:rPr>
          <w:rFonts w:hint="eastAsia" w:ascii="仿宋" w:hAnsi="仿宋" w:eastAsia="仿宋" w:cs="宋体"/>
          <w:color w:val="000000"/>
          <w:kern w:val="0"/>
          <w:sz w:val="32"/>
          <w:szCs w:val="32"/>
          <w:lang w:eastAsia="zh"/>
        </w:rPr>
        <w:t>。</w:t>
      </w:r>
    </w:p>
    <w:p>
      <w:pPr>
        <w:pStyle w:val="2"/>
        <w:sectPr>
          <w:pgSz w:w="11906" w:h="16838"/>
          <w:pgMar w:top="1440" w:right="1800" w:bottom="1440" w:left="1800" w:header="851" w:footer="992" w:gutter="0"/>
          <w:cols w:space="720" w:num="1"/>
          <w:formProt w:val="1"/>
        </w:sectPr>
      </w:pPr>
    </w:p>
    <w:p>
      <w:pPr>
        <w:pStyle w:val="14"/>
        <w:spacing w:after="0" w:line="560" w:lineRule="exact"/>
        <w:ind w:left="0" w:leftChars="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153" w:rightChars="-73"/>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股份有限公司XX年度（半年度、第一季度、前三季度）</w:t>
      </w:r>
    </w:p>
    <w:p>
      <w:pPr>
        <w:autoSpaceDE w:val="0"/>
        <w:autoSpaceDN w:val="0"/>
        <w:adjustRightInd w:val="0"/>
        <w:spacing w:line="560" w:lineRule="exact"/>
        <w:ind w:right="-153" w:rightChars="-73"/>
        <w:jc w:val="center"/>
        <w:rPr>
          <w:rFonts w:ascii="仿宋" w:hAnsi="仿宋" w:eastAsia="仿宋"/>
          <w:color w:val="000000"/>
          <w:sz w:val="32"/>
          <w:szCs w:val="32"/>
        </w:rPr>
      </w:pPr>
      <w:r>
        <w:rPr>
          <w:rFonts w:hint="eastAsia" w:ascii="仿宋" w:hAnsi="仿宋" w:eastAsia="仿宋"/>
          <w:color w:val="000000"/>
          <w:sz w:val="32"/>
          <w:szCs w:val="32"/>
        </w:rPr>
        <w:t>业绩快报修正公告</w:t>
      </w:r>
    </w:p>
    <w:p>
      <w:pPr>
        <w:autoSpaceDE w:val="0"/>
        <w:autoSpaceDN w:val="0"/>
        <w:adjustRightInd w:val="0"/>
        <w:spacing w:line="560" w:lineRule="exact"/>
        <w:ind w:firstLine="420" w:firstLineChars="200"/>
        <w:rPr>
          <w:rFonts w:ascii="仿宋" w:hAnsi="仿宋" w:eastAsia="仿宋" w:cs="宋体"/>
          <w:b/>
          <w:color w:val="000000"/>
          <w:kern w:val="0"/>
          <w:sz w:val="32"/>
          <w:szCs w:val="32"/>
        </w:rPr>
      </w:pPr>
      <w:r>
        <mc:AlternateContent>
          <mc:Choice Requires="wps">
            <w:drawing>
              <wp:anchor distT="0" distB="0" distL="114300" distR="114300" simplePos="0" relativeHeight="251706368" behindDoc="0" locked="0" layoutInCell="1" allowOverlap="1">
                <wp:simplePos x="0" y="0"/>
                <wp:positionH relativeFrom="column">
                  <wp:posOffset>-66675</wp:posOffset>
                </wp:positionH>
                <wp:positionV relativeFrom="paragraph">
                  <wp:posOffset>153035</wp:posOffset>
                </wp:positionV>
                <wp:extent cx="5715000" cy="1552575"/>
                <wp:effectExtent l="4445" t="5080" r="14605" b="4445"/>
                <wp:wrapNone/>
                <wp:docPr id="107" name="矩形 107"/>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12.05pt;height:122.25pt;width:450pt;z-index:251706368;mso-width-relative:page;mso-height-relative:page;" fillcolor="#FFFFFF" filled="t" stroked="t" coordsize="21600,21600" o:gfxdata="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UhayLYAAAACgEAAA8AAAAAAAAAAQAgAAAAIgAA&#10;AGRycy9kb3ducmV2LnhtbFBLAQIUABQAAAAIAIdO4kBpXLMc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特别提示：</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告所载XX年度（或半年度、第一季度、前三季度）的财务数据仅为初步核算数据，已经公司内部审计部门审计（如适用），未经会计师事务所审计，与年度报告（或半年度报告、第一季报、第三季报）中披露的最终数据可能存在差异，请投资者注意投资风险。</w:t>
      </w:r>
    </w:p>
    <w:p>
      <w:pPr>
        <w:autoSpaceDE w:val="0"/>
        <w:autoSpaceDN w:val="0"/>
        <w:adjustRightInd w:val="0"/>
        <w:spacing w:line="560" w:lineRule="exact"/>
        <w:rPr>
          <w:rFonts w:ascii="仿宋" w:hAnsi="仿宋" w:eastAsia="仿宋"/>
          <w:color w:val="00000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一、修正前后的主要财务数据和指标</w:t>
      </w: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单位：</w:t>
      </w:r>
    </w:p>
    <w:tbl>
      <w:tblPr>
        <w:tblStyle w:val="28"/>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913"/>
        <w:gridCol w:w="1913"/>
        <w:gridCol w:w="150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上年同期</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修正后与上年同期的增减变动幅度（％）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营业总收入</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利润总额</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扣除非经常性损益后的归属于上市公司股东的</w:t>
            </w:r>
          </w:p>
          <w:p>
            <w:pPr>
              <w:jc w:val="center"/>
              <w:rPr>
                <w:rFonts w:ascii="仿宋" w:hAnsi="仿宋" w:eastAsia="仿宋"/>
                <w:color w:val="000000"/>
                <w:sz w:val="24"/>
              </w:rPr>
            </w:pPr>
            <w:r>
              <w:rPr>
                <w:rFonts w:hint="eastAsia" w:ascii="仿宋" w:hAnsi="仿宋" w:eastAsia="仿宋"/>
                <w:color w:val="000000"/>
                <w:sz w:val="24"/>
              </w:rPr>
              <w:t>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基本每股收益（元）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加权平均净资产收益率</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本报告期末</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本报告期初</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修正后与本报告期初的增减变动幅度（％）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总资产</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归属于上市公司股东的所有者权益</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股本</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归属于上市公司股东的每股净资产（元）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bl>
    <w:p>
      <w:pPr>
        <w:autoSpaceDE w:val="0"/>
        <w:autoSpaceDN w:val="0"/>
        <w:adjustRightInd w:val="0"/>
        <w:spacing w:line="560" w:lineRule="exact"/>
        <w:ind w:firstLine="420"/>
        <w:rPr>
          <w:rFonts w:ascii="仿宋" w:hAnsi="仿宋" w:eastAsia="仿宋" w:cs="宋体"/>
          <w:kern w:val="0"/>
          <w:sz w:val="24"/>
          <w:szCs w:val="24"/>
        </w:rPr>
      </w:pPr>
      <w:r>
        <w:rPr>
          <w:rFonts w:hint="eastAsia" w:ascii="仿宋" w:hAnsi="仿宋" w:eastAsia="仿宋" w:cs="宋体"/>
          <w:kern w:val="0"/>
          <w:sz w:val="24"/>
          <w:szCs w:val="24"/>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二、业绩快报修正情况说明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应说明前次业绩快报的披露时间，业绩快报的差异内容，造成差异的具体原因。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三、其他说明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根据修正后的业绩快报，预计定期报告公告后公司股票可能被实施或撤销风险警示、终止上市的，应作出说明并提示风险。</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公司或本所认为需说明的事项。</w:t>
      </w:r>
    </w:p>
    <w:p>
      <w:pPr>
        <w:autoSpaceDE w:val="0"/>
        <w:autoSpaceDN w:val="0"/>
        <w:adjustRightInd w:val="0"/>
        <w:spacing w:line="560" w:lineRule="exact"/>
        <w:ind w:firstLine="640" w:firstLineChars="200"/>
        <w:rPr>
          <w:rFonts w:ascii="仿宋" w:hAnsi="仿宋" w:eastAsia="仿宋" w:cs="宋体"/>
          <w:color w:val="000000"/>
          <w:kern w:val="0"/>
          <w:sz w:val="32"/>
          <w:szCs w:val="32"/>
        </w:rPr>
      </w:pP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XXXXXX股份有限公司董事会</w:t>
      </w: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XXXX年XX月XX日</w:t>
      </w:r>
    </w:p>
    <w:p>
      <w:pPr>
        <w:widowControl/>
        <w:jc w:val="left"/>
      </w:pPr>
    </w:p>
    <w:p>
      <w:pPr>
        <w:widowControl/>
        <w:jc w:val="left"/>
      </w:pPr>
    </w:p>
    <w:p>
      <w:pPr>
        <w:widowControl/>
        <w:jc w:val="left"/>
      </w:pPr>
    </w:p>
    <w:p>
      <w:pPr>
        <w:widowControl/>
        <w:jc w:val="left"/>
      </w:pPr>
    </w:p>
    <w:p>
      <w:pPr>
        <w:widowControl/>
        <w:jc w:val="left"/>
      </w:pPr>
    </w:p>
    <w:p>
      <w:pPr>
        <w:widowControl/>
        <w:jc w:val="left"/>
      </w:pPr>
    </w:p>
    <w:p>
      <w:pPr>
        <w:autoSpaceDE w:val="0"/>
        <w:autoSpaceDN w:val="0"/>
        <w:adjustRightInd w:val="0"/>
        <w:spacing w:line="560" w:lineRule="exact"/>
        <w:ind w:firstLine="643" w:firstLineChars="200"/>
        <w:rPr>
          <w:rFonts w:hint="eastAsia" w:ascii="仿宋" w:hAnsi="仿宋" w:eastAsia="仿宋" w:cs="宋体"/>
          <w:b/>
          <w:color w:val="000000"/>
          <w:kern w:val="0"/>
          <w:sz w:val="32"/>
          <w:szCs w:val="32"/>
          <w:lang w:eastAsia="zh"/>
        </w:rPr>
      </w:pPr>
      <w:r>
        <w:rPr>
          <w:rFonts w:hint="eastAsia" w:ascii="仿宋" w:hAnsi="仿宋" w:eastAsia="仿宋" w:cs="宋体"/>
          <w:b/>
          <w:color w:val="000000"/>
          <w:kern w:val="0"/>
          <w:sz w:val="32"/>
          <w:szCs w:val="32"/>
        </w:rPr>
        <w:t>备查文件</w:t>
      </w:r>
    </w:p>
    <w:p>
      <w:pPr>
        <w:autoSpaceDE w:val="0"/>
        <w:autoSpaceDN w:val="0"/>
        <w:adjustRightInd w:val="0"/>
        <w:spacing w:line="560" w:lineRule="exact"/>
        <w:ind w:firstLine="640" w:firstLineChars="200"/>
        <w:rPr>
          <w:rFonts w:hint="eastAsia" w:ascii="仿宋" w:hAnsi="仿宋" w:eastAsia="仿宋" w:cs="宋体"/>
          <w:color w:val="000000"/>
          <w:kern w:val="0"/>
          <w:sz w:val="32"/>
          <w:szCs w:val="32"/>
          <w:lang w:eastAsia="zh"/>
        </w:rPr>
      </w:pPr>
      <w:r>
        <w:rPr>
          <w:rFonts w:hint="eastAsia" w:ascii="仿宋" w:hAnsi="仿宋" w:eastAsia="仿宋" w:cs="宋体"/>
          <w:color w:val="000000"/>
          <w:kern w:val="0"/>
          <w:sz w:val="32"/>
          <w:szCs w:val="32"/>
        </w:rPr>
        <w:t>经公司现任法定代表人、主管会计工作的负责人、总会计师（如有）、会计机构负责人（会计主管人员）签字并盖章的比较式资产负债表和利润表</w:t>
      </w:r>
      <w:r>
        <w:rPr>
          <w:rFonts w:hint="eastAsia" w:ascii="仿宋" w:hAnsi="仿宋" w:eastAsia="仿宋" w:cs="宋体"/>
          <w:color w:val="000000"/>
          <w:kern w:val="0"/>
          <w:sz w:val="32"/>
          <w:szCs w:val="32"/>
          <w:lang w:eastAsia="zh"/>
        </w:rPr>
        <w:t>。</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48" w:name="_Toc164973710"/>
      <w:bookmarkStart w:id="49" w:name="_Toc17953"/>
      <w:bookmarkStart w:id="50" w:name="_Toc21719"/>
      <w:r>
        <w:rPr>
          <w:rFonts w:hint="eastAsia" w:ascii="方正小标宋简体" w:hAnsi="仿宋" w:eastAsia="方正小标宋简体"/>
          <w:kern w:val="44"/>
          <w:sz w:val="44"/>
          <w:szCs w:val="44"/>
        </w:rPr>
        <w:t>第17号 上市公司日常经营重大合同（框架性协议）公告格式</w:t>
      </w:r>
      <w:bookmarkEnd w:id="48"/>
      <w:bookmarkEnd w:id="49"/>
      <w:bookmarkEnd w:id="50"/>
    </w:p>
    <w:p>
      <w:pPr>
        <w:widowControl/>
        <w:adjustRightInd w:val="0"/>
        <w:spacing w:line="560" w:lineRule="exact"/>
        <w:ind w:firstLine="540"/>
        <w:jc w:val="center"/>
        <w:rPr>
          <w:rFonts w:ascii="仿宋" w:hAnsi="仿宋" w:eastAsia="仿宋"/>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适用情形：</w:t>
      </w:r>
      <w:r>
        <w:rPr>
          <w:rFonts w:hint="eastAsia" w:ascii="仿宋" w:hAnsi="仿宋" w:eastAsia="仿宋"/>
          <w:color w:val="000000"/>
          <w:sz w:val="32"/>
          <w:szCs w:val="32"/>
        </w:rPr>
        <w:t>本公告格式所指的重大合同包括本所《创业板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上市公司自律监管指引第2号——创业板上市公司规范运作》（以下简称《创业板规范运作指引》）规范的日常经营重大合同，及上市公司与交易对方签订的对公司财务状况、经营成果可能产生较大影响的框架性协议或意向性协议等重要合同。</w:t>
      </w:r>
    </w:p>
    <w:p>
      <w:pPr>
        <w:widowControl/>
        <w:adjustRightInd w:val="0"/>
        <w:spacing w:line="560" w:lineRule="exact"/>
        <w:ind w:firstLine="540"/>
        <w:jc w:val="center"/>
        <w:rPr>
          <w:rFonts w:ascii="仿宋" w:hAnsi="仿宋" w:eastAsia="仿宋"/>
          <w:color w:val="000000"/>
          <w:sz w:val="32"/>
          <w:szCs w:val="32"/>
        </w:rPr>
      </w:pPr>
    </w:p>
    <w:p>
      <w:pPr>
        <w:widowControl/>
        <w:adjustRightInd w:val="0"/>
        <w:spacing w:line="560" w:lineRule="exact"/>
        <w:ind w:firstLine="54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widowControl/>
        <w:spacing w:line="560" w:lineRule="exact"/>
        <w:jc w:val="center"/>
        <w:rPr>
          <w:rFonts w:ascii="仿宋" w:hAnsi="仿宋" w:eastAsia="仿宋" w:cs="宋体"/>
          <w:bCs/>
          <w:kern w:val="0"/>
          <w:sz w:val="32"/>
          <w:szCs w:val="32"/>
        </w:rPr>
      </w:pPr>
      <w:r>
        <w:rPr>
          <w:rFonts w:hint="eastAsia" w:ascii="仿宋" w:hAnsi="仿宋" w:eastAsia="仿宋" w:cs="宋体"/>
          <w:bCs/>
          <w:color w:val="000000"/>
          <w:kern w:val="0"/>
          <w:sz w:val="32"/>
          <w:szCs w:val="32"/>
        </w:rPr>
        <w:t>XXXXXX</w:t>
      </w:r>
      <w:r>
        <w:rPr>
          <w:rFonts w:hint="eastAsia" w:ascii="仿宋" w:hAnsi="仿宋" w:eastAsia="仿宋" w:cs="宋体"/>
          <w:bCs/>
          <w:kern w:val="0"/>
          <w:sz w:val="32"/>
          <w:szCs w:val="32"/>
        </w:rPr>
        <w:t>股份有限公司日常经营重大合同（框架性协议）公告</w:t>
      </w:r>
    </w:p>
    <w:p>
      <w:pPr>
        <w:tabs>
          <w:tab w:val="left" w:pos="1260"/>
        </w:tabs>
        <w:autoSpaceDE w:val="0"/>
        <w:autoSpaceDN w:val="0"/>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143510</wp:posOffset>
                </wp:positionV>
                <wp:extent cx="5715000" cy="1552575"/>
                <wp:effectExtent l="4445" t="5080" r="14605" b="4445"/>
                <wp:wrapNone/>
                <wp:docPr id="106" name="矩形 106"/>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11.3pt;height:122.25pt;width:450pt;z-index:251687936;mso-width-relative:page;mso-height-relative:page;" fillcolor="#FFFFFF" filled="t" stroked="t" coordsize="21600,21600" o:gfxdata="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aoN7YAAAACgEAAA8AAAAAAAAAAQAgAAAAIgAA&#10;AGRycy9kb3ducmV2LnhtbFBLAQIUABQAAAAIAIdO4kB5YcpH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特别提示</w:t>
      </w:r>
      <w:r>
        <w:rPr>
          <w:rFonts w:hint="eastAsia" w:ascii="仿宋" w:hAnsi="仿宋" w:eastAsia="仿宋"/>
          <w:color w:val="000000"/>
          <w:sz w:val="32"/>
          <w:szCs w:val="32"/>
        </w:rPr>
        <w:t>：</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合同的生效条件、重大风险及重大不确定性。</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合同履行对上市公司本年度经营成果的影响。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最近三年披露的相关协议或合同无后续进展或进展未达预期的情况（如适用）。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一、合同签署概况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签署合同已履行的审批程序、交易对手方、签署时间、签署地点、合同类型、合同标的、合同期限、合同金额、合同签订的主要背景与目的等概况。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签署框架性协议或意向性协议以及合同尚未生效的，应说明尚需履行的审批程序和待满足的条件。</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二、交易对手方介绍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对交易对手方的情况介绍，内容至少应当包括以下内容：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基本情况：名称、法定代表人、注册资本、主营业务、注册地址、是否与上市公司存在关联关系等，交易对方为境外法律主体的，还应当以中外文对照披露交易对方的名称和注册地址等信息。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类似交易情况：最近三年公司与交易对手方发生类似交易情况，说明具体金额及占各年相关业务的比重。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履约能力分析：结合交易对手方信用状况及支付能力，就其向上市公司支付款项或提供货物等履约能力进行合理判断。</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三、合同的主要内容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对于合同的主要条款应当单独说明，包括但不限于：各方权利义务、交易价格、定价依据、结算方式、协议签署时间、生效条件及时间、履行期限、违约责任等合同主要条款。</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2．合同存在违约责任条款的，应披露如交易对手方违约，交易对手方对公司的补偿条款；如公司违约，公司对交易对手方的补偿条款。</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3．合同采用分期付款方式结算的，应说明分期付款期限、各期付款金额和付款条件。</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上市公司参加工程施工、工程承包、商品采购等项目的投标，在获悉已被确定为中标单位并已进入公示期、但尚未取得中标通知书或者相关证明文件的，应当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公司后续取得中标通知书的，应当及时披露项目中标有关情况。公司在公示期结束后预计无法取得中标通知书的，应当及时披露进展情况并充分提示风险。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对于工程承包合同，应当披露工程项目的建设内容、工程施工的进度计划、收入确认政策、资金来源等内容。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对于PPP项目合同，应当披露PPP项目的投资金额、合作模式、运作方式、项目期限以及公司的收益来源等内容。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对于新业务合同，应当披露进入新业务领域的原因，以及新业务的可行性论证情况，包括但不限于是否配备相应人员、是否取得相应资质、是否已有明确资金来源等，并分析新业务领域的行业竞争情况、平均盈利水平（如毛利率）及其与公司现有业务盈利水平的对比情况。</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四、合同对上市公司的影响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公司应当客观地披露合同对公司的具体影响，包括但不限于：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合同对公司本年度以及未来各会计年度财务状况、经营成果的影响。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上市公司披露的合同涉及新业务、新技术、新模式、新产品或其他市场关注度较高的事项的，应当披露进入新领域的原因及可行性论证情况，包括但不限于人员配备、相应资质、资金来源等，并分析新领域的行业竞争情况、平均盈利水平（如毛利率）及其与公司现有业务盈利水平的对比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合同相关业务的盈利水平预计显著低于公司正常业务盈利水平的，应说明具体情况及其影响。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合同履行对上市公司业务独立性的影响，公司主要业务是否因履行合同而对当事人形成依赖及依赖程度、相关解决措施等。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合同对公司现有业务的协同效应和公司转型升级等经营相关的影响等。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hint="eastAsia" w:ascii="仿宋" w:hAnsi="仿宋" w:eastAsia="仿宋" w:cs="宋体"/>
          <w:kern w:val="0"/>
          <w:sz w:val="32"/>
          <w:szCs w:val="32"/>
        </w:rPr>
        <w:t xml:space="preserve"> 董事会对合同必要性、公司和交易对方的履约能力的分析说明（如适用）。</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公司应根据合同性质和交易双方的特点，结合市场环境，审慎评估并充分提示相关风险，包括但不限于：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合同签署对公司当期业绩没有重大影响（如是）。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披露框架协议或意向性协议时，其法律效力及对交易双方的约束力较低的，应提示正式合同的签订时间、合同金额、实际执行金额存在重大不确定性的风险，并对合同尚需履行审批程序和尚需满足条件进行特别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合同涉及新业务、新技术、新模式、新产品或其他市场关注度较高的事项的，应提示公司进入新的业务领域，合同执行及其对公司业绩的影响具有较大的不确定性的风险。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合同履行期较长、合同金额巨大或交易双方中任何一方履约能力存疑的，应提示合同不能正常履行的风险。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合同签订后仍需履行招投标程序或其他审批程序方能生效的，应说明该情况，招投标程序或其他审批程序预计履行的时间，并提示能否中标或获得批准、合同执行的起始期等事项存在较大不确定性的风险。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公司中标处于公示期但尚未取得《中标通知书》的，应提示能否获得中标通知书存在不确定性的风险。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合同执行过程中在法规政策、履约能力、技术、产能、市场、价格、汇率等方面可能存在的其他困难、不确定性或风险。</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六、合同的审议程序</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董事会表决情况（如适用）。</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七、其他相关说明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1．公司披露框架协议时，应当列示公司最近三年披露的框架协议主要内容、截至目前的执行情况、是否和预期存在差异，如果存在重大差异，应披露无后续进展或未达预期的具体情况及原因。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sz w:val="32"/>
          <w:szCs w:val="32"/>
        </w:rPr>
        <w:t xml:space="preserve"> </w:t>
      </w:r>
      <w:r>
        <w:rPr>
          <w:rFonts w:hint="eastAsia" w:ascii="仿宋" w:hAnsi="仿宋" w:eastAsia="仿宋"/>
          <w:color w:val="000000"/>
          <w:sz w:val="32"/>
          <w:szCs w:val="32"/>
        </w:rPr>
        <w:t>公司应及时以临时报告形式披露合同的进展情况，并在定期报告中披露重大合同的履行情况。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公司披露框架协议或意向性协议时，应当同时披露协议签订前三个月内上市公司控股股东、持股5%以上股东、</w:t>
      </w:r>
      <w:r>
        <w:rPr>
          <w:rFonts w:hint="eastAsia" w:ascii="仿宋" w:hAnsi="仿宋" w:eastAsia="仿宋"/>
          <w:color w:val="000000"/>
          <w:sz w:val="32"/>
          <w:szCs w:val="32"/>
          <w:lang w:eastAsia="zh-CN"/>
        </w:rPr>
        <w:t>董事、高级管理人员</w:t>
      </w:r>
      <w:r>
        <w:rPr>
          <w:rFonts w:hint="eastAsia" w:ascii="仿宋" w:hAnsi="仿宋" w:eastAsia="仿宋"/>
          <w:color w:val="000000"/>
          <w:sz w:val="32"/>
          <w:szCs w:val="32"/>
        </w:rPr>
        <w:t>持股变动情况，以及未来三个月内上市公司控股股东、持股5%以上股东、</w:t>
      </w:r>
      <w:r>
        <w:rPr>
          <w:rFonts w:hint="eastAsia" w:ascii="仿宋" w:hAnsi="仿宋" w:eastAsia="仿宋"/>
          <w:color w:val="000000"/>
          <w:sz w:val="32"/>
          <w:szCs w:val="32"/>
          <w:lang w:eastAsia="zh-CN"/>
        </w:rPr>
        <w:t>董事、高级管理人员</w:t>
      </w:r>
      <w:r>
        <w:rPr>
          <w:rFonts w:hint="eastAsia" w:ascii="仿宋" w:hAnsi="仿宋" w:eastAsia="仿宋"/>
          <w:color w:val="000000"/>
          <w:sz w:val="32"/>
          <w:szCs w:val="32"/>
        </w:rPr>
        <w:t>所持限售股份解除限售及股份减持的计划。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中介机构的意见（如有）。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right="480" w:firstLine="3430"/>
        <w:jc w:val="right"/>
        <w:rPr>
          <w:rFonts w:hint="eastAsia" w:ascii="仿宋" w:hAnsi="仿宋" w:eastAsia="仿宋"/>
          <w:sz w:val="32"/>
          <w:szCs w:val="32"/>
        </w:rPr>
      </w:pP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kern w:val="0"/>
          <w:sz w:val="32"/>
          <w:szCs w:val="32"/>
          <w:highlight w:val="none"/>
        </w:rPr>
        <w:t>框架协议或意向性协议（如有）</w:t>
      </w:r>
      <w:r>
        <w:rPr>
          <w:rFonts w:hint="eastAsia" w:ascii="仿宋" w:hAnsi="仿宋" w:eastAsia="仿宋" w:cs="宋体"/>
          <w:kern w:val="0"/>
          <w:sz w:val="32"/>
          <w:szCs w:val="32"/>
          <w:highlight w:val="none"/>
        </w:rPr>
        <w:t>；</w:t>
      </w:r>
    </w:p>
    <w:p>
      <w:pPr>
        <w:spacing w:line="560" w:lineRule="exact"/>
        <w:ind w:right="480" w:firstLine="640" w:firstLineChars="200"/>
        <w:jc w:val="left"/>
        <w:rPr>
          <w:rFonts w:ascii="仿宋" w:hAnsi="仿宋" w:eastAsia="仿宋"/>
          <w:sz w:val="32"/>
          <w:szCs w:val="32"/>
        </w:rPr>
      </w:pPr>
      <w:r>
        <w:rPr>
          <w:rFonts w:hint="eastAsia" w:ascii="仿宋" w:hAnsi="仿宋" w:eastAsia="仿宋" w:cs="宋体"/>
          <w:kern w:val="0"/>
          <w:sz w:val="32"/>
          <w:szCs w:val="32"/>
          <w:highlight w:val="none"/>
        </w:rPr>
        <w:t>2．合同（如有）。</w:t>
      </w:r>
      <w:r>
        <w:rPr>
          <w:rFonts w:hint="eastAsia" w:ascii="仿宋" w:hAnsi="仿宋" w:eastAsia="仿宋"/>
          <w:sz w:val="32"/>
          <w:szCs w:val="32"/>
        </w:rPr>
        <w:t xml:space="preserve">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pStyle w:val="53"/>
        <w:ind w:firstLine="0" w:firstLineChars="0"/>
      </w:pPr>
      <w:bookmarkStart w:id="51" w:name="_Toc19243"/>
      <w:bookmarkStart w:id="52" w:name="_Toc164973711"/>
      <w:bookmarkStart w:id="53" w:name="_Toc11216"/>
      <w:r>
        <w:rPr>
          <w:rFonts w:hint="eastAsia"/>
        </w:rPr>
        <w:t>第18号 上市公司首次公开发行前已发行股份上市流通公告格式</w:t>
      </w:r>
      <w:bookmarkEnd w:id="51"/>
      <w:bookmarkEnd w:id="52"/>
      <w:bookmarkEnd w:id="53"/>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XXXXXX股份有限公司首次公开发行前已发行股份上市流通提示性公告</w:t>
      </w:r>
    </w:p>
    <w:p>
      <w:pPr>
        <w:tabs>
          <w:tab w:val="left" w:pos="1260"/>
        </w:tabs>
        <w:autoSpaceDE w:val="0"/>
        <w:autoSpaceDN w:val="0"/>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187960</wp:posOffset>
                </wp:positionV>
                <wp:extent cx="5715000" cy="1552575"/>
                <wp:effectExtent l="4445" t="5080" r="14605" b="4445"/>
                <wp:wrapNone/>
                <wp:docPr id="105" name="矩形 105"/>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4.8pt;height:122.25pt;width:450pt;z-index:251688960;mso-width-relative:page;mso-height-relative:page;" fillcolor="#FFFFFF" filled="t" stroked="t" coordsize="21600,21600" o:gfxdata="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c5d12AAAAAoBAAAPAAAAAAAAAAEAIAAAACIA&#10;AABkcnMvZG93bnJldi54bWxQSwECFAAUAAAACACHTuJASSZBqk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应提示公司首次公开发行前已发行股份的本次解除限售的数量、占总股本的比例和上市流通日期。</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一、首次公开发行前已发行股份概况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说明公司股票首次上市时间，首次公开发行前已发行股份数量，目前股份总额和尚未解除限售的股份数量。</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公司上市后进行过股份增发、回购注销及派发过股票股利或用资本公积金转增股本等导致公司股份变动情形的，还应说明方案实施时间及其对首次公开发行前已发行股份数量变动的影响。</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二、申请解除股份限售股东履行承诺情况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逐一说明本次申请解除股份限售的股东作出的各项承诺（包括法定承诺、股东在发行上市文件中作出的承诺、股东在公司购买和权益变动过程中作出的承诺以及股东在公司上市后追加的其他承诺等）的具体内容：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（1）上市公告书中作出的承诺；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（2）招股说明书中作出的承诺（如招股说明书中作出的承诺与上市公告书中作出的承诺一致，可以仅声明与上市公告书中作出的承诺一致即可）；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（3）股东在公司收购和权益变动过程中作出的承诺（如股东在权益变动报告书、收购报告书、新股上市公告书中对原所持股份作出的限售承诺）；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（4）股东后续追加的承诺；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（5）法定承诺和其他承诺。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承诺变更情况（如适用）。应说明承诺变动的具体情况，包括但不限于承诺变更的主体、变更原因、变更时间、变更前后对比及已履行过的审批程序等。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说明本次申请解除股份限售的股东</w:t>
      </w:r>
      <w:r>
        <w:rPr>
          <w:rFonts w:hint="eastAsia" w:ascii="仿宋" w:hAnsi="仿宋" w:eastAsia="仿宋"/>
          <w:sz w:val="32"/>
          <w:szCs w:val="32"/>
        </w:rPr>
        <w:t>所作出各项承诺的履行进展，是否严格履行了作出的上述各项承诺，以及与本次解除限售股份对应承诺的完成情况</w:t>
      </w:r>
      <w:r>
        <w:rPr>
          <w:rFonts w:hint="eastAsia" w:ascii="仿宋" w:hAnsi="仿宋" w:eastAsia="仿宋"/>
          <w:color w:val="000000"/>
          <w:sz w:val="32"/>
          <w:szCs w:val="32"/>
        </w:rPr>
        <w:t>。</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说明本次申请解除股份限售的股东是否存在非经营性占用上市资金的情形，上市公司对其是否存在违规担保。</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三、本次解除限售股份的上市流通安排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本次解除限售股份的上市流通日期。</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本次解除限售股份的数量及占公司股本总额的比例。</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本次申请解除股份限售的股东人数。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股份解除限售及上市流通具体情况。公司应以表格形式逐一披露各股东持有的首次公开发行前已发行股份限售总数和本次解除限售的股份数量，并在“备注栏”对可能影响本次解除限售股份实际上市流通时间和数量的有关情况作出必要的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有关说明包括但不限于：（1）股东同时担任公司董事、高级管理人员的，应说明担任的具体职务；(2)股东为公司前任董事、高级管理人员且离职未满半年的，应说明曾经担任的具体职务及离职生效日期；（3）股东本次解除限售的股份处于质押</w:t>
      </w:r>
      <w:r>
        <w:rPr>
          <w:rFonts w:hint="eastAsia" w:ascii="仿宋" w:hAnsi="仿宋" w:eastAsia="仿宋"/>
          <w:color w:val="000000"/>
          <w:sz w:val="32"/>
          <w:szCs w:val="32"/>
          <w:lang w:eastAsia="zh-CN"/>
        </w:rPr>
        <w:t>、</w:t>
      </w:r>
      <w:r>
        <w:rPr>
          <w:rFonts w:hint="eastAsia" w:ascii="仿宋" w:hAnsi="仿宋" w:eastAsia="仿宋"/>
          <w:color w:val="000000"/>
          <w:sz w:val="32"/>
          <w:szCs w:val="32"/>
        </w:rPr>
        <w:t>冻结状态的，应说明质押冻结的股份数量，并提示该部分股份解除质押冻结后即可上市流通。</w:t>
      </w:r>
    </w:p>
    <w:tbl>
      <w:tblPr>
        <w:tblStyle w:val="28"/>
        <w:tblW w:w="8520" w:type="dxa"/>
        <w:tblInd w:w="0" w:type="dxa"/>
        <w:tblLayout w:type="fixed"/>
        <w:tblCellMar>
          <w:top w:w="0" w:type="dxa"/>
          <w:left w:w="108" w:type="dxa"/>
          <w:bottom w:w="0" w:type="dxa"/>
          <w:right w:w="108" w:type="dxa"/>
        </w:tblCellMar>
      </w:tblPr>
      <w:tblGrid>
        <w:gridCol w:w="1023"/>
        <w:gridCol w:w="1849"/>
        <w:gridCol w:w="2054"/>
        <w:gridCol w:w="2314"/>
        <w:gridCol w:w="1280"/>
      </w:tblGrid>
      <w:tr>
        <w:tblPrEx>
          <w:tblCellMar>
            <w:top w:w="0" w:type="dxa"/>
            <w:left w:w="108" w:type="dxa"/>
            <w:bottom w:w="0" w:type="dxa"/>
            <w:right w:w="108" w:type="dxa"/>
          </w:tblCellMar>
        </w:tblPrEx>
        <w:trPr>
          <w:trHeight w:val="748" w:hRule="atLeast"/>
        </w:trPr>
        <w:tc>
          <w:tcPr>
            <w:tcW w:w="10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8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205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所持限售股份总数</w:t>
            </w:r>
          </w:p>
        </w:tc>
        <w:tc>
          <w:tcPr>
            <w:tcW w:w="23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本次解除限售数量</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2873"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合  计</w:t>
            </w: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kern w:val="0"/>
                <w:sz w:val="24"/>
                <w:szCs w:val="24"/>
              </w:rPr>
            </w:pPr>
          </w:p>
        </w:tc>
      </w:tr>
    </w:tbl>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5. 间接持有上市公司股份的法人或个人对其间接持有的股份作出限售承诺的，公司董事会应承诺将监督相关股东在出售股份时严格遵守承诺，并在定期报告中持续披露股东履行承诺情况。</w:t>
      </w:r>
    </w:p>
    <w:p>
      <w:pPr>
        <w:adjustRightInd w:val="0"/>
        <w:spacing w:line="560" w:lineRule="exact"/>
        <w:ind w:firstLine="570"/>
        <w:rPr>
          <w:rFonts w:ascii="仿宋" w:hAnsi="仿宋" w:eastAsia="仿宋"/>
          <w:b/>
          <w:color w:val="000000"/>
          <w:sz w:val="32"/>
          <w:szCs w:val="32"/>
        </w:rPr>
      </w:pPr>
      <w:r>
        <w:rPr>
          <w:rFonts w:hint="eastAsia" w:ascii="仿宋" w:hAnsi="仿宋" w:eastAsia="仿宋"/>
          <w:b/>
          <w:color w:val="000000"/>
          <w:sz w:val="32"/>
          <w:szCs w:val="32"/>
        </w:rPr>
        <w:t>四、保荐人的核查意见</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应说明保荐人对股东本次申请解除限售股份的数量、上市流通时间是否符合有关法律法规、有关规则和股东承诺，相关信息披露是否真实、准确、完整进行核查所出具的结论性意见。</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保荐人对有关事项存在异议的，应详细披露异议事项有关内容。</w:t>
      </w:r>
    </w:p>
    <w:p>
      <w:pPr>
        <w:adjustRightInd w:val="0"/>
        <w:spacing w:line="560" w:lineRule="exact"/>
        <w:ind w:firstLine="822" w:firstLineChars="257"/>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adjustRightInd w:val="0"/>
        <w:spacing w:line="560" w:lineRule="exact"/>
        <w:ind w:firstLine="570"/>
        <w:rPr>
          <w:rFonts w:hint="eastAsia"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r>
        <w:rPr>
          <w:rFonts w:hint="eastAsia" w:ascii="仿宋" w:hAnsi="仿宋" w:eastAsia="仿宋"/>
          <w:b/>
          <w:color w:val="000000"/>
          <w:sz w:val="32"/>
          <w:szCs w:val="32"/>
        </w:rPr>
        <w:t>备查文件</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1. 限售股份上市流通申请书；</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2. 限售股份上市流通申请表；</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3. 股份结构表和限售股份明细表；</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4. 保荐人的核查意见（如适用）。</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54" w:name="_Toc164973712"/>
      <w:bookmarkStart w:id="55" w:name="_Toc12916"/>
      <w:bookmarkStart w:id="56" w:name="_Toc8776"/>
      <w:r>
        <w:rPr>
          <w:rFonts w:hint="eastAsia" w:ascii="方正小标宋简体" w:hAnsi="仿宋" w:eastAsia="方正小标宋简体"/>
          <w:kern w:val="44"/>
          <w:sz w:val="44"/>
          <w:szCs w:val="44"/>
        </w:rPr>
        <w:t>第19号 上市公司新增股份变动报告及上市公告书格式</w:t>
      </w:r>
      <w:bookmarkEnd w:id="54"/>
      <w:bookmarkEnd w:id="55"/>
      <w:bookmarkEnd w:id="56"/>
    </w:p>
    <w:p>
      <w:pPr>
        <w:autoSpaceDE w:val="0"/>
        <w:autoSpaceDN w:val="0"/>
        <w:adjustRightInd w:val="0"/>
        <w:snapToGrid w:val="0"/>
        <w:spacing w:line="560" w:lineRule="exact"/>
        <w:ind w:firstLine="643" w:firstLineChars="200"/>
        <w:rPr>
          <w:rFonts w:ascii="仿宋" w:hAnsi="仿宋" w:eastAsia="仿宋"/>
          <w:b/>
          <w:sz w:val="32"/>
          <w:szCs w:val="30"/>
          <w:highlight w:val="none"/>
        </w:rPr>
      </w:pPr>
      <w:r>
        <w:rPr>
          <w:rFonts w:hint="eastAsia" w:ascii="仿宋" w:hAnsi="仿宋" w:eastAsia="仿宋"/>
          <w:b/>
          <w:sz w:val="32"/>
          <w:szCs w:val="30"/>
          <w:highlight w:val="none"/>
        </w:rPr>
        <w:t>适用情形：</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1．本格式适用于上市公司完成增发、配股和向特定对象发行股票时披露股份变动和新增股份上市有关情况。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向特定对象发行股票的上市公司披露《新增股份变动报告及上市公告书》时，除遵守本格式外，还应遵守《公开发行证券的公司信息披露内容与格式准则第61号——上市公司向特定对象发行证券募集说明书和发行情况报告书》中有关《发行情况报告书》的披露要求。</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3．上市公司向特定对象发行股票的，尽管按照《上市公司证券发行</w:t>
      </w:r>
      <w:r>
        <w:rPr>
          <w:rFonts w:hint="eastAsia" w:ascii="仿宋" w:hAnsi="仿宋" w:eastAsia="仿宋"/>
          <w:sz w:val="32"/>
          <w:szCs w:val="32"/>
          <w:highlight w:val="none"/>
          <w:lang w:eastAsia="zh-CN"/>
        </w:rPr>
        <w:t>注册</w:t>
      </w:r>
      <w:r>
        <w:rPr>
          <w:rFonts w:hint="eastAsia" w:ascii="仿宋" w:hAnsi="仿宋" w:eastAsia="仿宋"/>
          <w:sz w:val="32"/>
          <w:szCs w:val="32"/>
          <w:highlight w:val="none"/>
        </w:rPr>
        <w:t>管理办法》等规定存在一定期限的禁售期，但在披露上市公告书时，仍应将股本发生变动的基准日设定为上市首日。</w:t>
      </w:r>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XXXXXX股份有限公司新增股份变动报告及上市公告书</w:t>
      </w:r>
    </w:p>
    <w:p>
      <w:pPr>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9984" behindDoc="0" locked="0" layoutInCell="1" allowOverlap="1">
                <wp:simplePos x="0" y="0"/>
                <wp:positionH relativeFrom="column">
                  <wp:posOffset>-85725</wp:posOffset>
                </wp:positionH>
                <wp:positionV relativeFrom="paragraph">
                  <wp:posOffset>184785</wp:posOffset>
                </wp:positionV>
                <wp:extent cx="5715000" cy="1552575"/>
                <wp:effectExtent l="4445" t="5080" r="14605" b="4445"/>
                <wp:wrapNone/>
                <wp:docPr id="104" name="矩形 104"/>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75pt;margin-top:14.55pt;height:122.25pt;width:450pt;z-index:251689984;mso-width-relative:page;mso-height-relative:page;" fillcolor="#FFFFFF" filled="t" stroked="t" coordsize="21600,21600" o:gfxdata="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ajejLYAAAACgEAAA8AAAAAAAAAAQAgAAAAIgAA&#10;AGRycy9kb3ducmV2LnhtbFBLAQIUABQAAAAIAIdO4kBZGzjx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本次发行新增股份数量、发行价格、募集资金总额、募集资金净额和上市首日。</w:t>
      </w:r>
    </w:p>
    <w:p>
      <w:pPr>
        <w:adjustRightInd w:val="0"/>
        <w:spacing w:line="560" w:lineRule="exact"/>
        <w:ind w:firstLine="822" w:firstLineChars="257"/>
        <w:rPr>
          <w:rFonts w:ascii="仿宋" w:hAnsi="仿宋" w:eastAsia="仿宋"/>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一、公司基本情况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说明公司名称、注册地址、办公地址、发行前注册资本、法定代表人、所属行业、主营业务、上市地点、董事会秘书和联系方式等情况。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二、本次新增股份发行情况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发行类型：说明本次发行是</w:t>
      </w:r>
      <w:r>
        <w:rPr>
          <w:rFonts w:hint="eastAsia" w:ascii="仿宋" w:hAnsi="仿宋" w:eastAsia="仿宋"/>
          <w:color w:val="000000"/>
          <w:sz w:val="32"/>
          <w:szCs w:val="32"/>
          <w:lang w:eastAsia="zh-CN"/>
        </w:rPr>
        <w:t>向不特定对象募集股份（以下简称</w:t>
      </w:r>
      <w:r>
        <w:rPr>
          <w:rFonts w:hint="eastAsia" w:ascii="仿宋" w:hAnsi="仿宋" w:eastAsia="仿宋"/>
          <w:color w:val="000000"/>
          <w:sz w:val="32"/>
          <w:szCs w:val="32"/>
        </w:rPr>
        <w:t>增发</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向原股东配售股份（以下简称</w:t>
      </w:r>
      <w:r>
        <w:rPr>
          <w:rFonts w:hint="eastAsia" w:ascii="仿宋" w:hAnsi="仿宋" w:eastAsia="仿宋"/>
          <w:color w:val="000000"/>
          <w:sz w:val="32"/>
          <w:szCs w:val="32"/>
        </w:rPr>
        <w:t>配股</w:t>
      </w:r>
      <w:r>
        <w:rPr>
          <w:rFonts w:hint="eastAsia" w:ascii="仿宋" w:hAnsi="仿宋" w:eastAsia="仿宋"/>
          <w:color w:val="000000"/>
          <w:sz w:val="32"/>
          <w:szCs w:val="32"/>
          <w:lang w:eastAsia="zh-CN"/>
        </w:rPr>
        <w:t>）</w:t>
      </w:r>
      <w:r>
        <w:rPr>
          <w:rFonts w:hint="eastAsia" w:ascii="仿宋" w:hAnsi="仿宋" w:eastAsia="仿宋"/>
          <w:color w:val="000000"/>
          <w:sz w:val="32"/>
          <w:szCs w:val="32"/>
        </w:rPr>
        <w:t>或向特定对象发行股票。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本次发行履行的相关程序和发行过程简述：包括但不限于董事会和股东会表决的时间，本次发行上市申请的审核情况、取得</w:t>
      </w:r>
      <w:r>
        <w:rPr>
          <w:rFonts w:hint="eastAsia" w:ascii="仿宋" w:hAnsi="仿宋" w:eastAsia="仿宋"/>
          <w:color w:val="000000"/>
          <w:sz w:val="32"/>
          <w:szCs w:val="32"/>
          <w:lang w:eastAsia="zh-CN"/>
        </w:rPr>
        <w:t>证监会同意</w:t>
      </w:r>
      <w:r>
        <w:rPr>
          <w:rFonts w:hint="eastAsia" w:ascii="仿宋" w:hAnsi="仿宋" w:eastAsia="仿宋"/>
          <w:color w:val="000000"/>
          <w:sz w:val="32"/>
          <w:szCs w:val="32"/>
        </w:rPr>
        <w:t>注册</w:t>
      </w:r>
      <w:r>
        <w:rPr>
          <w:rFonts w:hint="eastAsia" w:ascii="仿宋" w:hAnsi="仿宋" w:eastAsia="仿宋"/>
          <w:color w:val="000000"/>
          <w:sz w:val="32"/>
          <w:szCs w:val="32"/>
          <w:lang w:eastAsia="zh-CN"/>
        </w:rPr>
        <w:t>文件</w:t>
      </w:r>
      <w:r>
        <w:rPr>
          <w:rFonts w:hint="eastAsia" w:ascii="仿宋" w:hAnsi="仿宋" w:eastAsia="仿宋"/>
          <w:color w:val="000000"/>
          <w:sz w:val="32"/>
          <w:szCs w:val="32"/>
        </w:rPr>
        <w:t>的时间、注册文件的文号、发行对象和发行价格的确定过程等。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发行时间。</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发行方式。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发行数量。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发行价格。应说明定价方法和最终的发行价格。公司向特定对象发行股票的，还应披露发行价格与发行底价、定价基准日前20个交易日均价的比率。</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募集资金总额（含发行费用）。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发行费用总额及明细构成。</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募集资金净额（扣除发行费用）。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 资产过户和债务转移情况（适用以非现金资产认购股份）。</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 会计师事务所对本次募集资金到位的验证情况。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募集资金专用账户设立和三方监管协议签署情况。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 新增股份登记托管情况。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应说明公司在中国结算深圳分公司办理完毕本次发行新增股份有关登记托管手续的日期。</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发行对象认购股份情况（如适用）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控股股东和其他股东事先公开承诺参与认购本次发行的股份的，应说明上述股东是否严格遵守了认购股份承诺。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公司向特定对象发行股票的，应披露：</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（1）发行对象基本情况。发行对象为法人的，应披露各发行对象的名称、企业性质、注册地、注册资本、主要办公地点、法定代表人、主要经营范围；发行对象为自然人的，应披露其姓名、处所；</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发行对象与公司之间的关系及交易情况，包括各发行对象与公司、公司控股股东或者实际控制人、公司董事、高级管理人员及公司主要股东（包括但不限于5%以上股东、前10大股东）之间是否存在一致行动关系、关联关系或其他关系，该发行对象及其关联方与公司最近一年发生重大交易情况（按照偶发性和经常性分别列示），未来交易的有关安排（如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（3）各发行对象申购报价情况、认购股份数量及限售期；</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发行对象的认购资金来源。披露认购资金来源时应区分发行对象的自有资金及银行借款、资产管理计划、信托计划等各类合法筹资渠道进行披露，并声明发行对象认购资金是否直接或间接来源于上市公司及其关联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发行对象在本次发行后成为公司5%以上股东、第一大股东、控股股东、实际控制人及其一致行动人的，本次认购资金来源披露至相关主体的自有资金、银行贷款或者公募性质的资金。</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行对象在本次发行后虽不是公司5%以上股东、第一大股东、控股股东、实际控制人及其一致行动人，但认购资金直接或者间接来源于公司董事、高级管理人员及其一致行动人的，本次认购资金来源披露至相关主体的自有资金、银行贷款或者公募性质的资金。</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披露资金来源时，如一对多、集合资产管理方式的产品等因资金来源涉及主体较为分散的，披露前十大委托人的认购金额、占比及来源，并描述分散程度、其他委托人的数量及各资金来源主体之间是否构成一致行动关系等。财务顾问或保荐人应当对上述发行对象认购资金来源进行核查并发表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 保荐人关于本次发行过程和发行对象合规性的结论性意见（适用向特定对象发行股票）。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 律师关于本次发行过程和发行对象合规性的结论性意见（适用向特定对象发行股票）。</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三、本次新增股份上市情况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新增股份上市批准情况。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新增股份的证券简称、证券代码和上市地点。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新增股份的上市时间。</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新增股份的限售安排。投资者对所认购的股份作出股份限售承诺的，应说明股份限售承诺的具体内容。股份限售期应有明确的起止时间。</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四、本次股份变动情况及其影响</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 按照《公开发行证券的公司信息披露内容与格式准则第5号</w:t>
      </w:r>
      <w:r>
        <w:rPr>
          <w:rFonts w:hint="eastAsia" w:ascii="仿宋" w:hAnsi="仿宋" w:eastAsia="仿宋"/>
          <w:color w:val="000000"/>
          <w:sz w:val="32"/>
          <w:szCs w:val="32"/>
          <w:lang w:eastAsia="zh-CN"/>
        </w:rPr>
        <w:t>——</w:t>
      </w:r>
      <w:r>
        <w:rPr>
          <w:rFonts w:hint="eastAsia" w:ascii="仿宋" w:hAnsi="仿宋" w:eastAsia="仿宋"/>
          <w:color w:val="000000"/>
          <w:sz w:val="32"/>
          <w:szCs w:val="32"/>
        </w:rPr>
        <w:t>公司股份变动报告的内容与格式》中的要求，披露与本次发行相关的股份变动情况表和发行前后前10名股东持股情况表等表格</w:t>
      </w:r>
      <w:r>
        <w:rPr>
          <w:rFonts w:hint="eastAsia" w:ascii="仿宋" w:hAnsi="仿宋" w:eastAsia="仿宋"/>
          <w:color w:val="000000"/>
          <w:sz w:val="32"/>
          <w:szCs w:val="32"/>
          <w:lang w:eastAsia="zh-CN"/>
        </w:rPr>
        <w:t>；</w:t>
      </w:r>
      <w:r>
        <w:rPr>
          <w:rFonts w:hint="eastAsia" w:ascii="仿宋" w:hAnsi="仿宋" w:eastAsia="仿宋"/>
          <w:color w:val="000000"/>
          <w:sz w:val="32"/>
          <w:szCs w:val="32"/>
        </w:rPr>
        <w:t>因股本变动导致股东及其一致行动人拥有权益的股份比例被动触及或</w:t>
      </w:r>
      <w:r>
        <w:rPr>
          <w:rFonts w:hint="eastAsia" w:ascii="仿宋" w:hAnsi="仿宋" w:eastAsia="仿宋"/>
          <w:color w:val="000000"/>
          <w:sz w:val="32"/>
          <w:szCs w:val="32"/>
          <w:lang w:eastAsia="zh-CN"/>
        </w:rPr>
        <w:t>者</w:t>
      </w:r>
      <w:r>
        <w:rPr>
          <w:rFonts w:hint="eastAsia" w:ascii="仿宋" w:hAnsi="仿宋" w:eastAsia="仿宋"/>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olor w:val="000000"/>
          <w:sz w:val="32"/>
          <w:szCs w:val="32"/>
        </w:rPr>
        <w:t>的，公司应当列示股本变动前后该股东及其一致行动人的持股数量和持股比例变动情况。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公司董事、高级管理人员发行前后持股变动情况。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股份变动对主要财务指标的影响。应披露以本次发行后股本全面摊薄计算的最近一年和最近一期归属于上市公司股东的每股收益、归属于上市公司股东的每股净资产。</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公司向特定对象发行股票的，应披露最近三年又一期的主要财务指标以及上述期间有关财务状况、盈利能力及现金流量等情况的管理层讨论与分析。</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五、本次新增股份发行上市相关机构</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应披露本次发行上市相关机构（包括保荐人、承销团成员、审计机构、律师事务所、资产评估机构等）的基本情况，包括名称、办公地址、法定代表人、经办人员、联系电话、传真等。</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六、保荐人（财务顾问）的上市推荐意见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保荐（财务顾问）协议签署和指定保荐代表人（财务顾问主办人）情况。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保荐人（财务顾问）推荐公司本次发行新增股份上市的结论性意见。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七、其他重要事项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应说明自募集说明书</w:t>
      </w:r>
      <w:r>
        <w:rPr>
          <w:rFonts w:hint="eastAsia" w:ascii="仿宋" w:hAnsi="仿宋" w:eastAsia="仿宋"/>
          <w:color w:val="000000"/>
          <w:sz w:val="32"/>
          <w:szCs w:val="32"/>
          <w:lang w:eastAsia="zh-CN"/>
        </w:rPr>
        <w:t>披露</w:t>
      </w:r>
      <w:r>
        <w:rPr>
          <w:rFonts w:hint="eastAsia" w:ascii="仿宋" w:hAnsi="仿宋" w:eastAsia="仿宋"/>
          <w:color w:val="000000"/>
          <w:sz w:val="32"/>
          <w:szCs w:val="32"/>
        </w:rPr>
        <w:t>日至本上市公告书</w:t>
      </w:r>
      <w:r>
        <w:rPr>
          <w:rFonts w:hint="eastAsia" w:ascii="仿宋" w:hAnsi="仿宋" w:eastAsia="仿宋"/>
          <w:color w:val="000000"/>
          <w:sz w:val="32"/>
          <w:szCs w:val="32"/>
          <w:lang w:eastAsia="zh-CN"/>
        </w:rPr>
        <w:t>披露</w:t>
      </w:r>
      <w:r>
        <w:rPr>
          <w:rFonts w:hint="eastAsia" w:ascii="仿宋" w:hAnsi="仿宋" w:eastAsia="仿宋"/>
          <w:color w:val="000000"/>
          <w:sz w:val="32"/>
          <w:szCs w:val="32"/>
        </w:rPr>
        <w:t>前是否发生可能对公司有较大影响的其他重要事项。</w: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822" w:firstLineChars="257"/>
        <w:rPr>
          <w:rFonts w:ascii="仿宋" w:hAnsi="仿宋" w:eastAsia="仿宋"/>
          <w:color w:val="000000"/>
          <w:sz w:val="32"/>
          <w:szCs w:val="32"/>
        </w:rPr>
      </w:pPr>
    </w:p>
    <w:p>
      <w:pPr>
        <w:adjustRightInd w:val="0"/>
        <w:spacing w:line="560" w:lineRule="exact"/>
        <w:ind w:firstLine="822" w:firstLineChars="257"/>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widowControl/>
        <w:jc w:val="right"/>
        <w:rPr>
          <w:rFonts w:ascii="仿宋" w:hAnsi="仿宋" w:eastAsia="仿宋"/>
          <w:sz w:val="32"/>
          <w:szCs w:val="32"/>
        </w:rPr>
      </w:pPr>
      <w:r>
        <w:rPr>
          <w:rFonts w:hint="eastAsia" w:ascii="仿宋" w:hAnsi="仿宋" w:eastAsia="仿宋"/>
          <w:sz w:val="32"/>
          <w:szCs w:val="32"/>
        </w:rPr>
        <w:t>XXXX年XX月XX日</w:t>
      </w:r>
    </w:p>
    <w:p>
      <w:pPr>
        <w:adjustRightInd w:val="0"/>
        <w:spacing w:line="560" w:lineRule="exact"/>
        <w:ind w:firstLine="643" w:firstLineChars="200"/>
        <w:rPr>
          <w:rFonts w:hint="eastAsia"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上市申请书；</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保荐协议或财务顾问协议；</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保荐代表人声明与承诺；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保荐人出具的上市保荐书或财务顾问报告；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保荐人出具的发行保荐书和尽职调查报告；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律师出具的法律意见书和律师工作报告；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保荐人关于本次向特定对象发行过程和认购对象合规性的报告（适用向特定对象发行股票）；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律师关于本次向特定对象发行过程和认购对象合规性的报告（适用向特定对象发行股票）；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发行完成后经符合《证券法》规定的会计师事务所出具的验资报告；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10. 中国结算深圳分公司对新增股份已登记托管的书面确认文件； </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11．投资者出具的股份限售承诺（如有）；</w:t>
      </w:r>
    </w:p>
    <w:p>
      <w:pPr>
        <w:widowControl/>
        <w:adjustRightInd w:val="0"/>
        <w:spacing w:line="560" w:lineRule="exact"/>
        <w:ind w:firstLine="640" w:firstLineChars="200"/>
        <w:jc w:val="left"/>
        <w:outlineLvl w:val="9"/>
        <w:rPr>
          <w:rFonts w:hint="eastAsia" w:ascii="仿宋" w:hAnsi="仿宋" w:eastAsia="仿宋"/>
          <w:sz w:val="32"/>
          <w:szCs w:val="32"/>
        </w:rPr>
      </w:pPr>
      <w:r>
        <w:rPr>
          <w:rFonts w:hint="eastAsia" w:ascii="仿宋" w:hAnsi="仿宋" w:eastAsia="仿宋"/>
          <w:color w:val="000000"/>
          <w:sz w:val="32"/>
          <w:szCs w:val="32"/>
        </w:rPr>
        <w:t>12. 无会后事项承诺函。</w:t>
      </w:r>
      <w:bookmarkStart w:id="57" w:name="_Toc164973713"/>
      <w:bookmarkStart w:id="58" w:name="_Toc16384"/>
      <w:bookmarkStart w:id="59" w:name="_Toc27970"/>
      <w:r>
        <w:rPr>
          <w:rFonts w:hint="eastAsia" w:ascii="仿宋" w:hAnsi="仿宋" w:eastAsia="仿宋"/>
          <w:sz w:val="32"/>
          <w:szCs w:val="32"/>
        </w:rPr>
        <w:br w:type="page"/>
      </w:r>
    </w:p>
    <w:p>
      <w:pPr>
        <w:widowControl/>
        <w:adjustRightInd w:val="0"/>
        <w:spacing w:line="560" w:lineRule="exact"/>
        <w:ind w:firstLine="0" w:firstLineChars="0"/>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第20号 上市公司用募集资金置换先期投入公告格式</w:t>
      </w:r>
      <w:bookmarkEnd w:id="57"/>
      <w:bookmarkEnd w:id="58"/>
      <w:bookmarkEnd w:id="59"/>
    </w:p>
    <w:p>
      <w:pPr>
        <w:autoSpaceDE w:val="0"/>
        <w:autoSpaceDN w:val="0"/>
        <w:adjustRightInd w:val="0"/>
        <w:spacing w:line="560" w:lineRule="exact"/>
        <w:jc w:val="center"/>
        <w:rPr>
          <w:rFonts w:ascii="仿宋" w:hAnsi="仿宋" w:eastAsia="仿宋"/>
          <w:b/>
          <w:bCs/>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XXXXXX股份有限公司用募集资金置换先期投入公告</w:t>
      </w:r>
    </w:p>
    <w:p>
      <w:pPr>
        <w:snapToGrid w:val="0"/>
        <w:spacing w:line="560" w:lineRule="exact"/>
        <w:jc w:val="center"/>
        <w:rPr>
          <w:rFonts w:ascii="仿宋" w:hAnsi="仿宋" w:eastAsia="仿宋"/>
          <w:b/>
          <w:bCs/>
          <w:color w:val="000000"/>
          <w:sz w:val="32"/>
          <w:szCs w:val="32"/>
        </w:rPr>
      </w:pPr>
      <w:r>
        <mc:AlternateContent>
          <mc:Choice Requires="wps">
            <w:drawing>
              <wp:anchor distT="0" distB="0" distL="114300" distR="114300" simplePos="0" relativeHeight="251691008" behindDoc="0" locked="0" layoutInCell="1" allowOverlap="1">
                <wp:simplePos x="0" y="0"/>
                <wp:positionH relativeFrom="column">
                  <wp:posOffset>-66675</wp:posOffset>
                </wp:positionH>
                <wp:positionV relativeFrom="paragraph">
                  <wp:posOffset>80010</wp:posOffset>
                </wp:positionV>
                <wp:extent cx="5715000" cy="1552575"/>
                <wp:effectExtent l="4445" t="5080" r="14605" b="4445"/>
                <wp:wrapNone/>
                <wp:docPr id="103" name="矩形 103"/>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6.3pt;height:122.25pt;width:450pt;z-index:251691008;mso-width-relative:page;mso-height-relative:page;" fillcolor="#FFFFFF" filled="t" stroked="t" coordsize="21600,21600" o:gfxdata="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La0T2AAAAAoBAAAPAAAAAAAAAAEAIAAAACIA&#10;AABkcnMvZG93bnJldi54bWxQSwECFAAUAAAACACHTuJAaK4mqk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pStyle w:val="55"/>
        <w:numPr>
          <w:ilvl w:val="0"/>
          <w:numId w:val="1"/>
        </w:numPr>
        <w:snapToGrid w:val="0"/>
        <w:spacing w:line="560" w:lineRule="exact"/>
        <w:ind w:firstLineChars="0"/>
        <w:rPr>
          <w:rFonts w:ascii="仿宋" w:hAnsi="仿宋" w:eastAsia="仿宋"/>
          <w:b/>
          <w:color w:val="000000"/>
          <w:sz w:val="32"/>
          <w:szCs w:val="32"/>
        </w:rPr>
      </w:pPr>
      <w:r>
        <w:rPr>
          <w:rFonts w:hint="eastAsia" w:ascii="仿宋" w:hAnsi="仿宋" w:eastAsia="仿宋"/>
          <w:b/>
          <w:color w:val="000000"/>
          <w:sz w:val="32"/>
          <w:szCs w:val="32"/>
        </w:rPr>
        <w:t>募集资金投入和置换情况概述</w:t>
      </w:r>
    </w:p>
    <w:p>
      <w:pPr>
        <w:snapToGrid w:val="0"/>
        <w:spacing w:line="56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说明扣除发行费用后的实际募集资金金额、资金到账时间、已使用金额及当前余额。</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列表说明募集资金投资项目（以下简称募投项目）、投资总额、募集资金承诺投资金额、自有资金已投入金额及已置换金额或拟置换金额。</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26"/>
        <w:gridCol w:w="1704"/>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26"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rPr>
                <w:rFonts w:ascii="仿宋" w:hAnsi="仿宋" w:eastAsia="仿宋"/>
                <w:color w:val="000000"/>
                <w:sz w:val="24"/>
                <w:szCs w:val="24"/>
              </w:rPr>
            </w:pPr>
            <w:r>
              <w:rPr>
                <w:rFonts w:hint="eastAsia" w:ascii="仿宋" w:hAnsi="仿宋" w:eastAsia="仿宋"/>
                <w:color w:val="000000"/>
                <w:sz w:val="24"/>
                <w:szCs w:val="24"/>
              </w:rPr>
              <w:t>募集资金投资项目</w:t>
            </w:r>
          </w:p>
        </w:tc>
        <w:tc>
          <w:tcPr>
            <w:tcW w:w="1326"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投资总额</w:t>
            </w:r>
          </w:p>
        </w:tc>
        <w:tc>
          <w:tcPr>
            <w:tcW w:w="1704"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募集资金承诺投资金额</w:t>
            </w:r>
          </w:p>
        </w:tc>
        <w:tc>
          <w:tcPr>
            <w:tcW w:w="2083"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截至披露日自有资金已投入金额</w:t>
            </w:r>
          </w:p>
        </w:tc>
        <w:tc>
          <w:tcPr>
            <w:tcW w:w="2083"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已置换金额/拟置换金额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r>
              <w:rPr>
                <w:rFonts w:hint="eastAsia" w:ascii="仿宋" w:hAnsi="仿宋" w:eastAsia="仿宋"/>
                <w:color w:val="000000"/>
                <w:sz w:val="24"/>
                <w:szCs w:val="24"/>
              </w:rPr>
              <w:t>总计</w:t>
            </w:r>
          </w:p>
        </w:tc>
        <w:tc>
          <w:tcPr>
            <w:tcW w:w="1326"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r>
    </w:tbl>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二、募集资金置换先期投入的实施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公司在发行申请文件中对募集资金置换先期投入作出安排的，应引用公司在发行申请文件中披露的拟以募集资金置换预先投入的表述，并说明本次拟置换或已置换金额是否与发行申请文件中的内容一致，若预先投入金额确定的，公司应当在置换实施前对外公告。若已完成置换的，应说明实施置换的时间。</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在发行申请文件中对募集资金置换先期投入未作出安排，或本次拟置换金额大于发行申请文件披露的金额的，应分析说明置换先期投入的必要性，是否变相改变募集资金用途，是否影响募集资金投资计划的正常</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，置换时间距募集资金到账时间是否不超过6个月，并披露董事会审议情况、保荐人或者独立财务顾问意见等内容。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如果先期投入募投项目的自筹资金涉及银行贷款的，需披露本次置换的贷款发放银行、期限及金额。</w:t>
      </w:r>
    </w:p>
    <w:p>
      <w:pPr>
        <w:snapToGrid w:val="0"/>
        <w:spacing w:line="560" w:lineRule="exact"/>
        <w:ind w:firstLine="48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hint="eastAsia" w:ascii="仿宋" w:hAnsi="仿宋" w:eastAsia="仿宋"/>
          <w:sz w:val="32"/>
          <w:szCs w:val="32"/>
        </w:rPr>
      </w:pPr>
      <w:r>
        <w:rPr>
          <w:rFonts w:hint="eastAsia" w:ascii="仿宋" w:hAnsi="仿宋" w:eastAsia="仿宋"/>
          <w:sz w:val="32"/>
          <w:szCs w:val="32"/>
        </w:rPr>
        <w:t>XXXX年XX月XX日</w:t>
      </w:r>
    </w:p>
    <w:p>
      <w:pPr>
        <w:snapToGrid w:val="0"/>
        <w:spacing w:line="560" w:lineRule="exact"/>
        <w:ind w:firstLine="480"/>
        <w:rPr>
          <w:rFonts w:hint="eastAsia" w:ascii="仿宋" w:hAnsi="仿宋" w:eastAsia="仿宋"/>
          <w:b/>
          <w:color w:val="000000"/>
          <w:sz w:val="32"/>
          <w:szCs w:val="32"/>
        </w:rPr>
      </w:pPr>
    </w:p>
    <w:p>
      <w:pPr>
        <w:snapToGrid w:val="0"/>
        <w:spacing w:line="560" w:lineRule="exact"/>
        <w:ind w:firstLine="48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napToGrid w:val="0"/>
        <w:spacing w:line="560" w:lineRule="exact"/>
        <w:ind w:firstLine="480"/>
        <w:rPr>
          <w:rFonts w:hint="eastAsia" w:ascii="仿宋" w:hAnsi="仿宋" w:eastAsia="仿宋"/>
          <w:color w:val="000000"/>
          <w:sz w:val="32"/>
          <w:szCs w:val="32"/>
          <w:lang w:eastAsia="zh-CN"/>
        </w:rPr>
      </w:pPr>
      <w:r>
        <w:rPr>
          <w:rFonts w:hint="eastAsia" w:ascii="仿宋" w:hAnsi="仿宋" w:eastAsia="仿宋"/>
          <w:color w:val="000000"/>
          <w:sz w:val="32"/>
          <w:szCs w:val="32"/>
        </w:rPr>
        <w:t>保荐人或者独立财务顾问意见</w:t>
      </w:r>
      <w:r>
        <w:rPr>
          <w:rFonts w:hint="eastAsia" w:ascii="仿宋" w:hAnsi="仿宋" w:eastAsia="仿宋"/>
          <w:color w:val="000000"/>
          <w:sz w:val="32"/>
          <w:szCs w:val="32"/>
          <w:lang w:eastAsia="zh-CN"/>
        </w:rPr>
        <w:t>。</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60" w:name="_Toc9876"/>
      <w:bookmarkStart w:id="61" w:name="_Toc164973714"/>
      <w:bookmarkStart w:id="62" w:name="_Toc21085"/>
      <w:r>
        <w:rPr>
          <w:rFonts w:hint="eastAsia" w:ascii="方正小标宋简体" w:hAnsi="仿宋" w:eastAsia="方正小标宋简体"/>
          <w:kern w:val="44"/>
          <w:sz w:val="44"/>
          <w:szCs w:val="44"/>
        </w:rPr>
        <w:t>第21号 上市公司募集资金年度存放、管理与使用情况的专项报告格式</w:t>
      </w:r>
      <w:bookmarkEnd w:id="60"/>
      <w:bookmarkEnd w:id="61"/>
      <w:bookmarkEnd w:id="62"/>
    </w:p>
    <w:p>
      <w:pPr>
        <w:snapToGrid w:val="0"/>
        <w:spacing w:line="560" w:lineRule="exact"/>
        <w:jc w:val="center"/>
        <w:rPr>
          <w:rFonts w:ascii="仿宋" w:hAnsi="仿宋" w:eastAsia="仿宋"/>
          <w:color w:val="000000"/>
          <w:sz w:val="32"/>
          <w:szCs w:val="32"/>
        </w:rPr>
      </w:pPr>
    </w:p>
    <w:p>
      <w:pPr>
        <w:pStyle w:val="14"/>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证券代码：  </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公告编号：</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XXXXXX股份有限公司董事会关于募集资金年度存放、管理与使用情况的专项报告</w:t>
      </w:r>
    </w:p>
    <w:p>
      <w:pPr>
        <w:snapToGrid w:val="0"/>
        <w:spacing w:line="560" w:lineRule="exact"/>
        <w:jc w:val="center"/>
        <w:rPr>
          <w:rFonts w:ascii="仿宋" w:hAnsi="仿宋" w:eastAsia="仿宋"/>
          <w:b/>
          <w:bCs/>
          <w:color w:val="000000"/>
          <w:sz w:val="32"/>
          <w:szCs w:val="32"/>
        </w:rPr>
      </w:pPr>
      <w:r>
        <mc:AlternateContent>
          <mc:Choice Requires="wps">
            <w:drawing>
              <wp:anchor distT="0" distB="0" distL="114300" distR="114300" simplePos="0" relativeHeight="251692032" behindDoc="0" locked="0" layoutInCell="1" allowOverlap="1">
                <wp:simplePos x="0" y="0"/>
                <wp:positionH relativeFrom="column">
                  <wp:posOffset>-104775</wp:posOffset>
                </wp:positionH>
                <wp:positionV relativeFrom="paragraph">
                  <wp:posOffset>29210</wp:posOffset>
                </wp:positionV>
                <wp:extent cx="5715000" cy="1552575"/>
                <wp:effectExtent l="4445" t="5080" r="14605" b="4445"/>
                <wp:wrapNone/>
                <wp:docPr id="102" name="矩形 10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2.3pt;height:122.25pt;width:450pt;z-index:251692032;mso-width-relative:page;mso-height-relative:page;" fillcolor="#FFFFFF" filled="t" stroked="t" coordsize="21600,21600" o:gfxdata="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2bF99cAAAAJAQAADwAAAAAAAAABACAAAAAiAAAA&#10;ZHJzL2Rvd25yZXYueG1sUEsBAhQAFAAAAAgAh07iQHiTX/F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color w:val="000000"/>
          <w:sz w:val="32"/>
          <w:szCs w:val="32"/>
        </w:rPr>
      </w:pPr>
    </w:p>
    <w:p>
      <w:pPr>
        <w:snapToGrid w:val="0"/>
        <w:spacing w:line="560" w:lineRule="exact"/>
        <w:rPr>
          <w:rFonts w:ascii="仿宋" w:hAnsi="仿宋" w:eastAsia="仿宋"/>
          <w:color w:val="000000"/>
          <w:sz w:val="32"/>
          <w:szCs w:val="32"/>
        </w:rPr>
      </w:pPr>
    </w:p>
    <w:p>
      <w:pPr>
        <w:pStyle w:val="14"/>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一、募集资金基本情况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说明扣除发行费用后的实际募集资金金额、资金到账时间、以前年度已使用金额、本年度使用金额及当前余额。</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二、募集资金存放和管理情况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募集资金管理制度》的制定和执行情况，包括募集资金在各银行账户的存储情况，公司与保荐人及商业银行签订募集资金三方监管协议的时间、与三方监管协议范本是否存在重大差异，三方监管协议的履行情况及存在的问题(如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三、本年度募集资金的实际使用情况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公司应在“募集资金使用情况对照表”（见附件1）中，说明本年度与募集资金使用相关的以下内容：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募集资金投资项目(以下简称募投项目)资金使用情况。分项目说明募投项目和超募资金投向的承诺投资总额、调整后投资总额、本年度投入金额、截至期末累计投入金额、截至期末投资进度、项目达到预定可使用状态日期、本年度实现的效益、是否达到预计效益及项目可行性是否发生重大变化等。</w:t>
      </w:r>
    </w:p>
    <w:p>
      <w:pPr>
        <w:spacing w:line="560" w:lineRule="exact"/>
        <w:ind w:firstLine="720" w:firstLineChars="225"/>
        <w:rPr>
          <w:rFonts w:ascii="仿宋" w:hAnsi="仿宋" w:eastAsia="仿宋"/>
          <w:color w:val="000000"/>
          <w:sz w:val="32"/>
          <w:szCs w:val="32"/>
        </w:rPr>
      </w:pPr>
      <w:r>
        <w:rPr>
          <w:rFonts w:hint="eastAsia" w:ascii="仿宋" w:hAnsi="仿宋" w:eastAsia="仿宋"/>
          <w:color w:val="000000"/>
          <w:sz w:val="32"/>
          <w:szCs w:val="32"/>
        </w:rPr>
        <w:t>募投项目出现以下情形的，应披露有关情况及拟采取的措施：（1）募投项目年度实际使用募集资金与最近一次披露的募集资金当年预计使用金额差异超过30%；（2）募投项目涉及的市场环境发生重大变化的；（3）募投项目搁置时间超过一年的；（4）募投项目超过募集资金投资计划的完成期限且募集资金投入金额未达到相关计划金额50%的；（5）募投项目决定终止的；（6）其他异常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募投项目无法单独核算效益的，应说明原因，并就该投资项目对公司财务状况、经营业绩的影响作定性分析。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募投项目的实施地点、实施方式变更情况。募投项目的实施地点、实施方式发生变更的，应当说明变动原因、决策程序和信息披露情况等。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募投项目先期投入及置换情况。公司以募集资金置换预先已投入募投项目的自筹资金的，应说明先期投入的金额、用募集资金置换先期投入的金额、时间、履行的决策程序和信息披露情况等。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用暂时闲置募集资金</w:t>
      </w:r>
      <w:r>
        <w:rPr>
          <w:rFonts w:hint="eastAsia" w:ascii="仿宋" w:hAnsi="仿宋" w:eastAsia="仿宋"/>
          <w:color w:val="000000"/>
          <w:sz w:val="32"/>
          <w:szCs w:val="32"/>
          <w:lang w:eastAsia="zh-CN"/>
        </w:rPr>
        <w:t>临时</w:t>
      </w:r>
      <w:r>
        <w:rPr>
          <w:rFonts w:hint="eastAsia" w:ascii="仿宋" w:hAnsi="仿宋" w:eastAsia="仿宋"/>
          <w:color w:val="000000"/>
          <w:sz w:val="32"/>
          <w:szCs w:val="32"/>
        </w:rPr>
        <w:t>补充流动资金情况。公司以暂时闲置募集资金</w:t>
      </w:r>
      <w:r>
        <w:rPr>
          <w:rFonts w:hint="eastAsia" w:ascii="仿宋" w:hAnsi="仿宋" w:eastAsia="仿宋"/>
          <w:color w:val="000000"/>
          <w:sz w:val="32"/>
          <w:szCs w:val="32"/>
          <w:lang w:eastAsia="zh-CN"/>
        </w:rPr>
        <w:t>临时</w:t>
      </w:r>
      <w:r>
        <w:rPr>
          <w:rFonts w:hint="eastAsia" w:ascii="仿宋" w:hAnsi="仿宋" w:eastAsia="仿宋"/>
          <w:color w:val="000000"/>
          <w:sz w:val="32"/>
          <w:szCs w:val="32"/>
        </w:rPr>
        <w:t>补充流动资金的，应说明决策程序、批准使用金额、起止时间、实际使用金额、募集资金是否如期归还等内容。</w:t>
      </w:r>
    </w:p>
    <w:p>
      <w:pPr>
        <w:spacing w:line="560" w:lineRule="exact"/>
        <w:ind w:firstLine="640" w:firstLineChars="200"/>
        <w:rPr>
          <w:rFonts w:ascii="仿宋" w:hAnsi="仿宋" w:eastAsia="仿宋"/>
          <w:strike/>
          <w:color w:val="000000"/>
          <w:sz w:val="32"/>
          <w:szCs w:val="32"/>
        </w:rPr>
      </w:pPr>
      <w:r>
        <w:rPr>
          <w:rFonts w:hint="eastAsia" w:ascii="仿宋" w:hAnsi="仿宋" w:eastAsia="仿宋"/>
          <w:color w:val="000000"/>
          <w:sz w:val="32"/>
          <w:szCs w:val="32"/>
        </w:rPr>
        <w:t>5．用</w:t>
      </w:r>
      <w:r>
        <w:rPr>
          <w:rFonts w:hint="eastAsia" w:ascii="仿宋" w:hAnsi="仿宋" w:eastAsia="仿宋"/>
          <w:color w:val="000000"/>
          <w:sz w:val="32"/>
          <w:szCs w:val="32"/>
          <w:lang w:eastAsia="zh-CN"/>
        </w:rPr>
        <w:t>暂时</w:t>
      </w:r>
      <w:r>
        <w:rPr>
          <w:rFonts w:hint="eastAsia" w:ascii="仿宋" w:hAnsi="仿宋" w:eastAsia="仿宋"/>
          <w:color w:val="000000"/>
          <w:sz w:val="32"/>
          <w:szCs w:val="32"/>
        </w:rPr>
        <w:t>闲置</w:t>
      </w:r>
      <w:r>
        <w:rPr>
          <w:rFonts w:hint="eastAsia" w:ascii="仿宋" w:hAnsi="仿宋" w:eastAsia="仿宋"/>
          <w:color w:val="000000"/>
          <w:sz w:val="32"/>
          <w:szCs w:val="32"/>
          <w:lang w:eastAsia="zh-CN"/>
        </w:rPr>
        <w:t>的</w:t>
      </w:r>
      <w:r>
        <w:rPr>
          <w:rFonts w:hint="eastAsia" w:ascii="仿宋" w:hAnsi="仿宋" w:eastAsia="仿宋"/>
          <w:color w:val="000000"/>
          <w:sz w:val="32"/>
          <w:szCs w:val="32"/>
        </w:rPr>
        <w:t>募集资金进行现金管理情况。当期使用</w:t>
      </w:r>
      <w:r>
        <w:rPr>
          <w:rFonts w:hint="eastAsia" w:ascii="仿宋" w:hAnsi="仿宋" w:eastAsia="仿宋"/>
          <w:color w:val="000000"/>
          <w:sz w:val="32"/>
          <w:szCs w:val="32"/>
          <w:lang w:eastAsia="zh-CN"/>
        </w:rPr>
        <w:t>暂时</w:t>
      </w:r>
      <w:r>
        <w:rPr>
          <w:rFonts w:hint="eastAsia" w:ascii="仿宋" w:hAnsi="仿宋" w:eastAsia="仿宋"/>
          <w:color w:val="000000"/>
          <w:sz w:val="32"/>
          <w:szCs w:val="32"/>
        </w:rPr>
        <w:t>闲置</w:t>
      </w:r>
      <w:r>
        <w:rPr>
          <w:rFonts w:hint="eastAsia" w:ascii="仿宋" w:hAnsi="仿宋" w:eastAsia="仿宋"/>
          <w:color w:val="000000"/>
          <w:sz w:val="32"/>
          <w:szCs w:val="32"/>
          <w:lang w:eastAsia="zh-CN"/>
        </w:rPr>
        <w:t>的</w:t>
      </w:r>
      <w:r>
        <w:rPr>
          <w:rFonts w:hint="eastAsia" w:ascii="仿宋" w:hAnsi="仿宋" w:eastAsia="仿宋"/>
          <w:color w:val="000000"/>
          <w:sz w:val="32"/>
          <w:szCs w:val="32"/>
        </w:rPr>
        <w:t>募集资金进行现金管理的，公司应当披露本报告期的收益情况以及期末的投资份额、签约方、产品名称、期限等情况。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节余募集资金使用情况。公司将募投项目节余资金用于其他募投项目或非募投项目的，应分别说明节余资金来源、履行的审批程序和信息披露情况等。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超募资金使用情况。应说明超募资金的总金额、决策程序、使用计划、已使用金额及具体用途。</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 尚未使用的募集资金用途及去向。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募集资金使用的其他情况。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募投项目的资金使用情况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募投项目发生</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的，应在“</w:t>
      </w:r>
      <w:r>
        <w:rPr>
          <w:rFonts w:hint="eastAsia" w:ascii="仿宋" w:hAnsi="仿宋" w:eastAsia="仿宋"/>
          <w:color w:val="000000"/>
          <w:sz w:val="32"/>
          <w:szCs w:val="32"/>
          <w:lang w:eastAsia="zh-CN"/>
        </w:rPr>
        <w:t>改变募集资金</w:t>
      </w:r>
      <w:r>
        <w:rPr>
          <w:rFonts w:hint="eastAsia" w:ascii="仿宋" w:hAnsi="仿宋" w:eastAsia="仿宋"/>
          <w:color w:val="000000"/>
          <w:sz w:val="32"/>
          <w:szCs w:val="32"/>
        </w:rPr>
        <w:t>投资项目情况表”（见附件2）中说明</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后的项目、对应的原项目、</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后项目拟投入募集资金总额、本年度实际投入金额、实际累计投入金额、投资进度、项目达到预定可使用状态日期、本年度实现的效益、是否达到预计效益及</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后的项目可行性是否发生重大变化及项目</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的原因、决策程序、信息披露情况等。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未达到计划进度及</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后的项目可行性发生重大变化的，应当解释原因。</w:t>
      </w:r>
    </w:p>
    <w:p>
      <w:pPr>
        <w:pStyle w:val="22"/>
        <w:tabs>
          <w:tab w:val="left" w:pos="0"/>
        </w:tabs>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后的募投项目无法单独核算效益的，应说明原因，并就该投资项目对公司财务状况、经营业绩的影响作定性分析。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募投项目已对外转让或置换的（募投项目对外转让或置换作为重大资产重组方案组成部分的情况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五、募集资金使用及披露中存在的问题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说明公司已披露的募集资金使用相关信息是否存在披露不及时、不真实、不准确、不完整的情形。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说明募集资金存放、使用、管理及披露是否存在违规情形。存在违规情形的，应说明违规的时间、发生原因、涉及金额及整改措施。</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六、公司存在两次以上融资且当年存在募集资金运用的，应在专项报告分别说明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公司披露上述专项报告的同时，需披露注册会计师对募集资金存放与使用情况出具鉴证报告、保荐人出具的专项核查报告（如适用）。</w:t>
      </w:r>
    </w:p>
    <w:p>
      <w:pPr>
        <w:spacing w:line="560" w:lineRule="exact"/>
        <w:ind w:firstLine="643" w:firstLineChars="200"/>
        <w:rPr>
          <w:rFonts w:ascii="仿宋" w:hAnsi="仿宋" w:eastAsia="仿宋"/>
          <w:b/>
          <w:color w:val="000000"/>
          <w:sz w:val="32"/>
          <w:szCs w:val="32"/>
        </w:rPr>
      </w:pPr>
    </w:p>
    <w:p>
      <w:pPr>
        <w:adjustRightInd w:val="0"/>
        <w:spacing w:line="560" w:lineRule="exact"/>
        <w:ind w:firstLine="6080" w:firstLineChars="190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spacing w:line="560" w:lineRule="exact"/>
        <w:rPr>
          <w:rFonts w:ascii="黑体" w:hAnsi="黑体" w:eastAsia="黑体"/>
          <w:bCs/>
          <w:sz w:val="32"/>
          <w:szCs w:val="32"/>
        </w:rPr>
      </w:pPr>
      <w:r>
        <w:rPr>
          <w:rFonts w:hint="eastAsia" w:ascii="黑体" w:hAnsi="黑体" w:eastAsia="黑体"/>
          <w:bCs/>
          <w:sz w:val="32"/>
          <w:szCs w:val="32"/>
        </w:rPr>
        <w:t>附表1：</w:t>
      </w:r>
    </w:p>
    <w:p>
      <w:pPr>
        <w:spacing w:line="560" w:lineRule="exact"/>
        <w:ind w:firstLine="880" w:firstLineChars="200"/>
        <w:jc w:val="center"/>
        <w:rPr>
          <w:rFonts w:ascii="方正小标宋简体" w:hAnsi="仿宋" w:eastAsia="方正小标宋简体"/>
          <w:b/>
          <w:color w:val="000000"/>
          <w:sz w:val="44"/>
          <w:szCs w:val="44"/>
        </w:rPr>
      </w:pPr>
      <w:r>
        <w:rPr>
          <w:rFonts w:hint="eastAsia" w:eastAsia="方正小标宋简体"/>
          <w:bCs/>
          <w:sz w:val="44"/>
          <w:szCs w:val="44"/>
        </w:rPr>
        <w:t>募集资金使用情况对照表</w:t>
      </w:r>
    </w:p>
    <w:tbl>
      <w:tblPr>
        <w:tblStyle w:val="28"/>
        <w:tblW w:w="8880" w:type="dxa"/>
        <w:tblInd w:w="0" w:type="dxa"/>
        <w:tblLayout w:type="fixed"/>
        <w:tblCellMar>
          <w:top w:w="0" w:type="dxa"/>
          <w:left w:w="28" w:type="dxa"/>
          <w:bottom w:w="0" w:type="dxa"/>
          <w:right w:w="28" w:type="dxa"/>
        </w:tblCellMar>
      </w:tblPr>
      <w:tblGrid>
        <w:gridCol w:w="1284"/>
        <w:gridCol w:w="626"/>
        <w:gridCol w:w="15"/>
        <w:gridCol w:w="620"/>
        <w:gridCol w:w="16"/>
        <w:gridCol w:w="614"/>
        <w:gridCol w:w="14"/>
        <w:gridCol w:w="636"/>
        <w:gridCol w:w="634"/>
        <w:gridCol w:w="907"/>
        <w:gridCol w:w="34"/>
        <w:gridCol w:w="628"/>
        <w:gridCol w:w="7"/>
        <w:gridCol w:w="776"/>
        <w:gridCol w:w="11"/>
        <w:gridCol w:w="616"/>
        <w:gridCol w:w="23"/>
        <w:gridCol w:w="1308"/>
        <w:gridCol w:w="46"/>
        <w:gridCol w:w="21"/>
        <w:gridCol w:w="44"/>
      </w:tblGrid>
      <w:tr>
        <w:tblPrEx>
          <w:tblCellMar>
            <w:top w:w="0" w:type="dxa"/>
            <w:left w:w="28" w:type="dxa"/>
            <w:bottom w:w="0" w:type="dxa"/>
            <w:right w:w="28" w:type="dxa"/>
          </w:tblCellMar>
        </w:tblPrEx>
        <w:trPr>
          <w:gridAfter w:val="3"/>
          <w:wAfter w:w="111" w:type="dxa"/>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募集资金总额</w:t>
            </w:r>
          </w:p>
        </w:tc>
        <w:tc>
          <w:tcPr>
            <w:tcW w:w="1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本年度投入募集资金总额</w:t>
            </w:r>
          </w:p>
        </w:tc>
        <w:tc>
          <w:tcPr>
            <w:tcW w:w="340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报告期内</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w:t>
            </w:r>
          </w:p>
        </w:tc>
        <w:tc>
          <w:tcPr>
            <w:tcW w:w="1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4"/>
                <w:szCs w:val="24"/>
              </w:rPr>
            </w:pPr>
          </w:p>
        </w:tc>
        <w:tc>
          <w:tcPr>
            <w:tcW w:w="907" w:type="dxa"/>
            <w:vMerge w:val="restar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已累计投入募集资金总额</w:t>
            </w:r>
          </w:p>
        </w:tc>
        <w:tc>
          <w:tcPr>
            <w:tcW w:w="3403" w:type="dxa"/>
            <w:gridSpan w:val="8"/>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累计</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w:t>
            </w:r>
          </w:p>
        </w:tc>
        <w:tc>
          <w:tcPr>
            <w:tcW w:w="18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szCs w:val="24"/>
              </w:rPr>
            </w:pPr>
          </w:p>
        </w:tc>
        <w:tc>
          <w:tcPr>
            <w:tcW w:w="3403" w:type="dxa"/>
            <w:gridSpan w:val="8"/>
            <w:vMerge w:val="continue"/>
            <w:tcBorders>
              <w:left w:val="single" w:color="auto" w:sz="4" w:space="0"/>
              <w:right w:val="single" w:color="auto" w:sz="4" w:space="0"/>
            </w:tcBorders>
            <w:vAlign w:val="center"/>
          </w:tcPr>
          <w:p>
            <w:pPr>
              <w:widowControl/>
              <w:jc w:val="left"/>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累计</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用途的募集资金总额比例</w:t>
            </w:r>
          </w:p>
        </w:tc>
        <w:tc>
          <w:tcPr>
            <w:tcW w:w="18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szCs w:val="24"/>
              </w:rPr>
            </w:pPr>
          </w:p>
        </w:tc>
        <w:tc>
          <w:tcPr>
            <w:tcW w:w="3403" w:type="dxa"/>
            <w:gridSpan w:val="8"/>
            <w:vMerge w:val="continue"/>
            <w:tcBorders>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gridAfter w:val="2"/>
          <w:wAfter w:w="65" w:type="dxa"/>
          <w:trHeight w:val="120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承诺投资项目和超募资金投向</w:t>
            </w:r>
          </w:p>
        </w:tc>
        <w:tc>
          <w:tcPr>
            <w:tcW w:w="641"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是否已</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项目（含部分</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w:t>
            </w:r>
          </w:p>
        </w:tc>
        <w:tc>
          <w:tcPr>
            <w:tcW w:w="636"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募集资金承诺投资总额</w:t>
            </w:r>
          </w:p>
        </w:tc>
        <w:tc>
          <w:tcPr>
            <w:tcW w:w="628"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调整后投资总额（1）</w:t>
            </w:r>
          </w:p>
        </w:tc>
        <w:tc>
          <w:tcPr>
            <w:tcW w:w="636"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本年度投入金额</w:t>
            </w:r>
          </w:p>
        </w:tc>
        <w:tc>
          <w:tcPr>
            <w:tcW w:w="634"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截至期末累计投入金额</w:t>
            </w:r>
            <w:r>
              <w:rPr>
                <w:rFonts w:hint="eastAsia" w:ascii="仿宋" w:hAnsi="仿宋" w:eastAsia="仿宋"/>
                <w:color w:val="000000"/>
                <w:sz w:val="24"/>
                <w:szCs w:val="24"/>
              </w:rPr>
              <w:t>(2)</w:t>
            </w:r>
          </w:p>
        </w:tc>
        <w:tc>
          <w:tcPr>
            <w:tcW w:w="907"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截至期末投资进度（</w:t>
            </w:r>
            <w:r>
              <w:rPr>
                <w:rFonts w:hint="eastAsia" w:ascii="仿宋" w:hAnsi="仿宋" w:eastAsia="仿宋"/>
                <w:color w:val="000000"/>
                <w:sz w:val="24"/>
                <w:szCs w:val="24"/>
              </w:rPr>
              <w:t>%</w:t>
            </w:r>
            <w:r>
              <w:rPr>
                <w:rFonts w:hint="eastAsia" w:ascii="仿宋" w:hAnsi="仿宋" w:eastAsia="仿宋" w:cs="宋体"/>
                <w:color w:val="000000"/>
                <w:sz w:val="24"/>
                <w:szCs w:val="24"/>
              </w:rPr>
              <w:t>）</w:t>
            </w:r>
            <w:r>
              <w:rPr>
                <w:rFonts w:hint="eastAsia" w:ascii="仿宋" w:hAnsi="仿宋" w:eastAsia="仿宋"/>
                <w:color w:val="000000"/>
                <w:sz w:val="24"/>
                <w:szCs w:val="24"/>
              </w:rPr>
              <w:t>(3)</w:t>
            </w:r>
            <w:r>
              <w:rPr>
                <w:rFonts w:hint="eastAsia" w:ascii="仿宋" w:hAnsi="仿宋" w:eastAsia="仿宋" w:cs="宋体"/>
                <w:color w:val="000000"/>
                <w:sz w:val="24"/>
                <w:szCs w:val="24"/>
              </w:rPr>
              <w:t>＝</w:t>
            </w:r>
            <w:r>
              <w:rPr>
                <w:rFonts w:hint="eastAsia" w:ascii="仿宋" w:hAnsi="仿宋" w:eastAsia="仿宋"/>
                <w:color w:val="000000"/>
                <w:sz w:val="24"/>
                <w:szCs w:val="24"/>
              </w:rPr>
              <w:t>(2)/(1)</w:t>
            </w:r>
          </w:p>
        </w:tc>
        <w:tc>
          <w:tcPr>
            <w:tcW w:w="669" w:type="dxa"/>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项目达到预定可使用状态日期</w:t>
            </w:r>
          </w:p>
        </w:tc>
        <w:tc>
          <w:tcPr>
            <w:tcW w:w="787"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本年度实现的效益</w:t>
            </w:r>
          </w:p>
        </w:tc>
        <w:tc>
          <w:tcPr>
            <w:tcW w:w="639"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是否达到预计效益</w:t>
            </w:r>
          </w:p>
        </w:tc>
        <w:tc>
          <w:tcPr>
            <w:tcW w:w="1354"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项目可行性是否发生重大变化</w:t>
            </w:r>
          </w:p>
        </w:tc>
      </w:tr>
      <w:tr>
        <w:tblPrEx>
          <w:tblCellMar>
            <w:top w:w="0" w:type="dxa"/>
            <w:left w:w="28" w:type="dxa"/>
            <w:bottom w:w="0" w:type="dxa"/>
            <w:right w:w="28" w:type="dxa"/>
          </w:tblCellMar>
        </w:tblPrEx>
        <w:trPr>
          <w:gridAfter w:val="3"/>
          <w:wAfter w:w="111" w:type="dxa"/>
          <w:trHeight w:val="45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承诺投资项目</w:t>
            </w:r>
          </w:p>
        </w:tc>
        <w:tc>
          <w:tcPr>
            <w:tcW w:w="7485" w:type="dxa"/>
            <w:gridSpan w:val="17"/>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Height w:val="455"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1.</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Height w:val="455"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承诺投资项目小计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2"/>
          <w:wAfter w:w="65"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超募资金投向</w:t>
            </w:r>
          </w:p>
        </w:tc>
        <w:tc>
          <w:tcPr>
            <w:tcW w:w="7531" w:type="dxa"/>
            <w:gridSpan w:val="18"/>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1.</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归还银行贷款（如有）</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补充流动资金（如有）</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trHeight w:val="33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超募资金投向小计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合计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未达到计划进度或预计收益的情况和原因（分具体项目）</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项目可行性发生重大变化的情况说明</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超募资金的金额、用途及使用进展情况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募集资金投资项目实施地点变更情况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募集资金投资项目实施方式调整情况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募集资金投资项目先期投入及置换情况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用闲置募集资金暂时补充流动资金情况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用闲置募集资金进行现金管理情况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项目实施出现募集资金节余的金额及原因</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尚未使用的募集资金用途及去向</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募集资金使用及披露中存在的问题或其他情况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bl>
    <w:p>
      <w:pPr>
        <w:spacing w:line="560" w:lineRule="exact"/>
        <w:rPr>
          <w:rFonts w:ascii="仿宋" w:hAnsi="仿宋" w:eastAsia="仿宋" w:cs="宋体"/>
          <w:color w:val="000000"/>
          <w:sz w:val="32"/>
          <w:szCs w:val="32"/>
        </w:rPr>
      </w:pPr>
      <w:r>
        <w:rPr>
          <w:rFonts w:hint="eastAsia" w:ascii="仿宋" w:hAnsi="仿宋" w:eastAsia="仿宋" w:cs="宋体"/>
          <w:color w:val="000000"/>
          <w:sz w:val="32"/>
          <w:szCs w:val="32"/>
        </w:rPr>
        <w:t xml:space="preserve">                                             </w:t>
      </w:r>
    </w:p>
    <w:p>
      <w:pPr>
        <w:spacing w:line="560" w:lineRule="exact"/>
        <w:rPr>
          <w:rFonts w:ascii="仿宋" w:hAnsi="仿宋" w:eastAsia="仿宋" w:cs="宋体"/>
          <w:color w:val="000000"/>
          <w:sz w:val="32"/>
          <w:szCs w:val="32"/>
        </w:rPr>
      </w:pPr>
    </w:p>
    <w:p>
      <w:pPr>
        <w:spacing w:line="560" w:lineRule="exact"/>
        <w:rPr>
          <w:rFonts w:ascii="黑体" w:hAnsi="黑体" w:eastAsia="黑体"/>
          <w:color w:val="000000"/>
          <w:sz w:val="32"/>
          <w:szCs w:val="32"/>
        </w:rPr>
      </w:pPr>
      <w:r>
        <w:rPr>
          <w:rFonts w:hint="eastAsia" w:ascii="仿宋" w:hAnsi="仿宋" w:eastAsia="仿宋" w:cs="宋体"/>
          <w:color w:val="000000"/>
          <w:sz w:val="32"/>
          <w:szCs w:val="32"/>
        </w:rPr>
        <w:br w:type="page"/>
      </w:r>
      <w:r>
        <w:rPr>
          <w:rFonts w:hint="eastAsia" w:ascii="黑体" w:hAnsi="黑体" w:eastAsia="黑体"/>
          <w:color w:val="000000"/>
          <w:sz w:val="32"/>
          <w:szCs w:val="32"/>
        </w:rPr>
        <w:t>附表2：</w:t>
      </w:r>
    </w:p>
    <w:p>
      <w:pPr>
        <w:spacing w:line="560" w:lineRule="exact"/>
        <w:ind w:firstLine="880" w:firstLineChars="200"/>
        <w:jc w:val="center"/>
        <w:rPr>
          <w:rFonts w:eastAsia="方正小标宋简体"/>
          <w:bCs/>
          <w:sz w:val="44"/>
          <w:szCs w:val="44"/>
        </w:rPr>
      </w:pPr>
      <w:r>
        <w:rPr>
          <w:rFonts w:hint="eastAsia" w:eastAsia="方正小标宋简体"/>
          <w:bCs/>
          <w:sz w:val="44"/>
          <w:szCs w:val="44"/>
          <w:lang w:eastAsia="zh-CN"/>
        </w:rPr>
        <w:t>改变募集资金</w:t>
      </w:r>
      <w:r>
        <w:rPr>
          <w:rFonts w:hint="eastAsia" w:eastAsia="方正小标宋简体"/>
          <w:bCs/>
          <w:sz w:val="44"/>
          <w:szCs w:val="44"/>
        </w:rPr>
        <w:t>投资项目情况表</w:t>
      </w:r>
    </w:p>
    <w:p>
      <w:pPr>
        <w:spacing w:line="56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　　　　　　　　　　　　　　　　　　　　　　　　　　　单位：万元</w:t>
      </w:r>
    </w:p>
    <w:tbl>
      <w:tblPr>
        <w:tblStyle w:val="28"/>
        <w:tblW w:w="10080" w:type="dxa"/>
        <w:tblInd w:w="-880" w:type="dxa"/>
        <w:tblLayout w:type="fixed"/>
        <w:tblCellMar>
          <w:top w:w="0" w:type="dxa"/>
          <w:left w:w="28" w:type="dxa"/>
          <w:bottom w:w="0" w:type="dxa"/>
          <w:right w:w="28" w:type="dxa"/>
        </w:tblCellMar>
      </w:tblPr>
      <w:tblGrid>
        <w:gridCol w:w="872"/>
        <w:gridCol w:w="872"/>
        <w:gridCol w:w="872"/>
        <w:gridCol w:w="872"/>
        <w:gridCol w:w="873"/>
        <w:gridCol w:w="1219"/>
        <w:gridCol w:w="1080"/>
        <w:gridCol w:w="900"/>
        <w:gridCol w:w="1080"/>
        <w:gridCol w:w="1440"/>
      </w:tblGrid>
      <w:tr>
        <w:tblPrEx>
          <w:tblCellMar>
            <w:top w:w="0" w:type="dxa"/>
            <w:left w:w="28" w:type="dxa"/>
            <w:bottom w:w="0" w:type="dxa"/>
            <w:right w:w="28" w:type="dxa"/>
          </w:tblCellMar>
        </w:tblPrEx>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对应的原承诺项目</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后项目拟投入募集资金总额（1）</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本年度实际投入金额</w:t>
            </w:r>
          </w:p>
        </w:tc>
        <w:tc>
          <w:tcPr>
            <w:tcW w:w="873"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截至期末实际累计投入金额</w:t>
            </w:r>
            <w:r>
              <w:rPr>
                <w:rFonts w:hint="eastAsia" w:ascii="仿宋" w:hAnsi="仿宋" w:eastAsia="仿宋"/>
                <w:color w:val="000000"/>
                <w:sz w:val="24"/>
                <w:szCs w:val="24"/>
              </w:rPr>
              <w:t>(2)</w:t>
            </w:r>
          </w:p>
        </w:tc>
        <w:tc>
          <w:tcPr>
            <w:tcW w:w="1219"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截至期末投资进度（</w:t>
            </w:r>
            <w:r>
              <w:rPr>
                <w:rFonts w:hint="eastAsia" w:ascii="仿宋" w:hAnsi="仿宋" w:eastAsia="仿宋"/>
                <w:color w:val="000000"/>
                <w:sz w:val="24"/>
                <w:szCs w:val="24"/>
              </w:rPr>
              <w:t>%</w:t>
            </w:r>
            <w:r>
              <w:rPr>
                <w:rFonts w:hint="eastAsia" w:ascii="仿宋" w:hAnsi="仿宋" w:eastAsia="仿宋" w:cs="宋体"/>
                <w:color w:val="000000"/>
                <w:sz w:val="24"/>
                <w:szCs w:val="24"/>
              </w:rPr>
              <w:t>）</w:t>
            </w:r>
            <w:r>
              <w:rPr>
                <w:rFonts w:hint="eastAsia" w:ascii="仿宋" w:hAnsi="仿宋" w:eastAsia="仿宋"/>
                <w:color w:val="000000"/>
                <w:sz w:val="24"/>
                <w:szCs w:val="24"/>
              </w:rPr>
              <w:t>(3)=(2)/(1)</w:t>
            </w:r>
          </w:p>
        </w:tc>
        <w:tc>
          <w:tcPr>
            <w:tcW w:w="108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项目达到预定可使用状态日期</w:t>
            </w:r>
          </w:p>
        </w:tc>
        <w:tc>
          <w:tcPr>
            <w:tcW w:w="90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本年度实现的效益</w:t>
            </w:r>
          </w:p>
        </w:tc>
        <w:tc>
          <w:tcPr>
            <w:tcW w:w="108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是否达到预计效益</w:t>
            </w:r>
          </w:p>
        </w:tc>
        <w:tc>
          <w:tcPr>
            <w:tcW w:w="144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后的项目可行性是否发生重大变化</w:t>
            </w: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合计</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rPr>
          <w:trHeight w:val="1226"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原因、决策程序及信息披露情况说明（分具体项目）</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trHeight w:val="1087"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未达到计划进度或预计收益的情况和原因（分具体项目）</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trHeight w:val="1073"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后的项目可行性发生重大变化的情况说明</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bl>
    <w:p>
      <w:pPr>
        <w:spacing w:line="560" w:lineRule="exact"/>
        <w:ind w:right="84" w:rightChars="40" w:firstLine="480" w:firstLineChars="200"/>
        <w:rPr>
          <w:rFonts w:ascii="仿宋" w:hAnsi="仿宋" w:eastAsia="仿宋"/>
          <w:color w:val="000000"/>
          <w:sz w:val="24"/>
          <w:szCs w:val="24"/>
        </w:rPr>
      </w:pPr>
      <w:r>
        <w:rPr>
          <w:rFonts w:hint="eastAsia" w:ascii="仿宋" w:hAnsi="仿宋" w:eastAsia="仿宋"/>
          <w:color w:val="000000"/>
          <w:sz w:val="24"/>
          <w:szCs w:val="24"/>
        </w:rPr>
        <w:t>注：“本年度实现的效益”的计算口径、计算方法应与承诺效益的计算口径、计算方法一致。</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仿宋" w:hAnsi="仿宋" w:eastAsia="仿宋"/>
          <w:b/>
        </w:rPr>
      </w:pPr>
      <w:bookmarkStart w:id="63" w:name="_Toc30940"/>
      <w:bookmarkStart w:id="64" w:name="_Toc7523"/>
      <w:bookmarkStart w:id="65" w:name="_Toc164973715"/>
      <w:r>
        <w:rPr>
          <w:rFonts w:hint="eastAsia" w:ascii="方正小标宋简体" w:hAnsi="仿宋" w:eastAsia="方正小标宋简体"/>
          <w:kern w:val="44"/>
          <w:sz w:val="44"/>
          <w:szCs w:val="44"/>
        </w:rPr>
        <w:t>第22号 上市公司董事会决议公告格式</w:t>
      </w:r>
      <w:bookmarkEnd w:id="63"/>
      <w:bookmarkEnd w:id="64"/>
      <w:bookmarkEnd w:id="65"/>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XXXXXX股份有限公司董事会决议公告</w:t>
      </w:r>
    </w:p>
    <w:p>
      <w:pPr>
        <w:adjustRightInd w:val="0"/>
        <w:spacing w:line="560" w:lineRule="exact"/>
        <w:ind w:firstLine="570"/>
        <w:rPr>
          <w:rFonts w:ascii="仿宋" w:hAnsi="仿宋" w:eastAsia="仿宋"/>
          <w:b/>
          <w:color w:val="000000"/>
          <w:sz w:val="32"/>
          <w:szCs w:val="32"/>
        </w:rPr>
      </w:pPr>
      <w:r>
        <mc:AlternateContent>
          <mc:Choice Requires="wps">
            <w:drawing>
              <wp:anchor distT="0" distB="0" distL="114300" distR="114300" simplePos="0" relativeHeight="251693056" behindDoc="0" locked="0" layoutInCell="1" allowOverlap="1">
                <wp:simplePos x="0" y="0"/>
                <wp:positionH relativeFrom="column">
                  <wp:posOffset>-123825</wp:posOffset>
                </wp:positionH>
                <wp:positionV relativeFrom="paragraph">
                  <wp:posOffset>140335</wp:posOffset>
                </wp:positionV>
                <wp:extent cx="5715000" cy="1552575"/>
                <wp:effectExtent l="4445" t="5080" r="14605" b="4445"/>
                <wp:wrapNone/>
                <wp:docPr id="101" name="矩形 101"/>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11.05pt;height:122.25pt;width:450pt;z-index:251693056;mso-width-relative:page;mso-height-relative:page;" fillcolor="#FFFFFF" filled="t" stroked="t" coordsize="21600,21600" o:gfxdata="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&#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z3/WtcAAAAKAQAADwAAAAAAAAABACAAAAAiAAAA&#10;ZHJzL2Rvd25yZXYueG1sUEsBAhQAFAAAAAgAh07iQEjU1B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一、董事会会议召开情况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说明发出董事会会议通知的时间和方式。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说明召开董事会会议的时间、地点和方式。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董事会会议应出席的董事人数，实际出席会议的董事人数（其中：委托出席的董事人数，以通讯表决方式出席会议的董事人数），缺席会议的董事人数。以现场结合通讯表决方式召开董事会会议的，应披露以通讯表决方式出席会议的董事姓名；董事委托他人出席会议的，应披露该董事的姓名、不能亲自出席会议的原因和受托董事姓名；董事缺席会议的，应披露该董事的姓名和缺席会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说明董事会会议的主持人和列席人员。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说明本次董事会会议的召开是否符合有关法律、行政法规、部门规章、规范性文件和公司章程的规定。</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二、董事会会议审议情况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说明每项议案的名称，获得的同意、反对和弃权的票数，议案是否获得通过。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对所审议案投反对票或弃权票的，应披露有关理由。独立董事对所审议案投反对票或弃权票的，应当在披露董事会决议时，同时披露独立董事的异议意见，说明具体理由及依据、议案所涉事项的合法合规性、可能存在的风险以及对上市公司和中小股东权益的影响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说明每项议案的具体内容。所审议案需按照中国证监会有关规定或本所制定的上市公司信息披露格式进行公告的，应另行披露详细的相关重大事件公告，并在董事会决议公告中说明该重大事件公告的名称。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所审议案涉及关联交易、关联董事需回避表决的，应说明关联董事的姓名、存在的关联关系以及回避表决情况。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审议通过的议案需提交股东会审议的，应在董事会决议公告中明确说明“本议案需提交股东会审议”。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所审议案涉及授权事项的，应当说明授权的具体内容，包括授权原因、授权范围、授权期限、受托人责任等。</w:t>
      </w:r>
    </w:p>
    <w:p>
      <w:pPr>
        <w:adjustRightInd/>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hint="eastAsia" w:ascii="仿宋" w:hAnsi="仿宋" w:eastAsia="仿宋"/>
          <w:sz w:val="32"/>
          <w:szCs w:val="32"/>
        </w:rPr>
      </w:pPr>
      <w:r>
        <w:rPr>
          <w:rFonts w:hint="eastAsia" w:ascii="仿宋" w:hAnsi="仿宋" w:eastAsia="仿宋"/>
          <w:sz w:val="32"/>
          <w:szCs w:val="32"/>
        </w:rPr>
        <w:t>XXXX年XX月XX日</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1．经与会董事签字并加盖董事会印章的董事会决议；</w:t>
      </w:r>
    </w:p>
    <w:p>
      <w:pPr>
        <w:spacing w:line="560" w:lineRule="exact"/>
        <w:ind w:right="480" w:firstLine="640" w:firstLineChars="200"/>
        <w:jc w:val="left"/>
        <w:rPr>
          <w:rFonts w:ascii="仿宋" w:hAnsi="仿宋" w:eastAsia="仿宋"/>
          <w:sz w:val="32"/>
          <w:szCs w:val="32"/>
        </w:rPr>
      </w:pPr>
      <w:r>
        <w:rPr>
          <w:rFonts w:hint="eastAsia" w:ascii="仿宋" w:hAnsi="仿宋" w:eastAsia="仿宋"/>
          <w:sz w:val="32"/>
          <w:szCs w:val="32"/>
          <w:highlight w:val="none"/>
        </w:rPr>
        <w:t>2．董事会专门委员会审议、独立董事过半数同意的证明文件（如适用）。</w:t>
      </w:r>
      <w:r>
        <w:rPr>
          <w:rFonts w:hint="eastAsia" w:ascii="仿宋" w:hAnsi="仿宋" w:eastAsia="仿宋"/>
          <w:sz w:val="32"/>
          <w:szCs w:val="32"/>
        </w:rPr>
        <w:t xml:space="preserve">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66" w:name="_Toc10236"/>
      <w:bookmarkStart w:id="67" w:name="_Toc164973717"/>
      <w:bookmarkStart w:id="68" w:name="_Toc5352"/>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上市公司日常关联交易预计</w:t>
      </w:r>
      <w:r>
        <w:rPr>
          <w:rFonts w:ascii="方正小标宋简体" w:hAnsi="仿宋" w:eastAsia="方正小标宋简体"/>
          <w:kern w:val="44"/>
          <w:sz w:val="44"/>
          <w:szCs w:val="44"/>
        </w:rPr>
        <w:br w:type="textWrapping"/>
      </w:r>
      <w:r>
        <w:rPr>
          <w:rFonts w:hint="eastAsia" w:ascii="方正小标宋简体" w:hAnsi="仿宋" w:eastAsia="方正小标宋简体"/>
          <w:kern w:val="44"/>
          <w:sz w:val="44"/>
          <w:szCs w:val="44"/>
        </w:rPr>
        <w:t>公告格式</w:t>
      </w:r>
      <w:bookmarkEnd w:id="66"/>
      <w:bookmarkEnd w:id="67"/>
      <w:bookmarkEnd w:id="68"/>
    </w:p>
    <w:p>
      <w:pPr>
        <w:autoSpaceDE w:val="0"/>
        <w:autoSpaceDN w:val="0"/>
        <w:adjustRightInd w:val="0"/>
        <w:spacing w:line="560" w:lineRule="exact"/>
        <w:jc w:val="center"/>
        <w:rPr>
          <w:rFonts w:ascii="仿宋" w:hAnsi="仿宋" w:eastAsia="仿宋"/>
          <w:b/>
          <w:bCs/>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XXXXXX股份有限公司日常关联交易预计公告</w:t>
      </w:r>
    </w:p>
    <w:p>
      <w:pPr>
        <w:autoSpaceDE w:val="0"/>
        <w:autoSpaceDN w:val="0"/>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94080" behindDoc="0" locked="0" layoutInCell="1" allowOverlap="1">
                <wp:simplePos x="0" y="0"/>
                <wp:positionH relativeFrom="column">
                  <wp:posOffset>-209550</wp:posOffset>
                </wp:positionH>
                <wp:positionV relativeFrom="paragraph">
                  <wp:posOffset>70485</wp:posOffset>
                </wp:positionV>
                <wp:extent cx="5715000" cy="1552575"/>
                <wp:effectExtent l="4445" t="5080" r="14605" b="4445"/>
                <wp:wrapNone/>
                <wp:docPr id="99" name="矩形 99"/>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5.55pt;height:122.25pt;width:450pt;z-index:251694080;mso-width-relative:page;mso-height-relative:page;" fillcolor="#FFFFFF" filled="t" stroked="t" coordsize="21600,21600" o:gfxdata="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siZcdgAAAAKAQAADwAAAAAAAAABACAAAAAiAAAA&#10;ZHJzL2Rvd25yZXYueG1sUEsBAhQAFAAAAAgAh07iQPT2yQd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一、日常关联交易基本情况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（一）日常关联交易概述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简要介绍日常关联交易事项、关联人名称、关联交易预计总金额及去年同类交易预计及实际发生总金额，并说明履行的审议程序：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董事会召开时间、届次及表决情况；</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回避表决的董事姓名；</w:t>
      </w:r>
    </w:p>
    <w:p>
      <w:pPr>
        <w:widowControl/>
        <w:spacing w:line="560" w:lineRule="exact"/>
        <w:ind w:firstLine="640" w:firstLineChars="200"/>
        <w:rPr>
          <w:rFonts w:hint="default" w:eastAsia="仿宋"/>
          <w:highlight w:val="none"/>
          <w:lang w:val="en-US" w:eastAsia="zh-CN"/>
        </w:rPr>
      </w:pPr>
      <w:r>
        <w:rPr>
          <w:rFonts w:hint="eastAsia" w:ascii="仿宋" w:hAnsi="仿宋" w:eastAsia="仿宋" w:cs="Times New Roman"/>
          <w:b w:val="0"/>
          <w:bCs w:val="0"/>
          <w:color w:val="000000"/>
          <w:sz w:val="32"/>
          <w:szCs w:val="32"/>
          <w:highlight w:val="none"/>
        </w:rPr>
        <w:t>3．全体独立董事过半数同意以及独立董事专门会议审议的情况</w:t>
      </w:r>
      <w:r>
        <w:rPr>
          <w:rFonts w:hint="eastAsia" w:ascii="仿宋" w:hAnsi="仿宋" w:eastAsia="仿宋" w:cs="Times New Roman"/>
          <w:b w:val="0"/>
          <w:bCs w:val="0"/>
          <w:color w:val="000000"/>
          <w:sz w:val="32"/>
          <w:szCs w:val="32"/>
          <w:highlight w:val="none"/>
          <w:lang w:eastAsia="zh-CN"/>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若此项关联交易尚需获得股东会的批准，应说明在股东会上对相关议案回避表决的关联股东名称。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（二）预计日常关联交易类别和金额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如果本次日常关联交易涉及两个及两个以上的交易类别或两个及两个以上的关联人，应以表格形式披露本年度预计发生的日常关联交易的内容：</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201"/>
        <w:gridCol w:w="1052"/>
        <w:gridCol w:w="1202"/>
        <w:gridCol w:w="1202"/>
        <w:gridCol w:w="120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146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关联交易类别</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关联人</w:t>
            </w:r>
          </w:p>
        </w:tc>
        <w:tc>
          <w:tcPr>
            <w:tcW w:w="1052" w:type="dxa"/>
            <w:tcBorders>
              <w:top w:val="single" w:color="auto" w:sz="4" w:space="0"/>
              <w:left w:val="single" w:color="auto" w:sz="4" w:space="0"/>
              <w:bottom w:val="single" w:color="auto" w:sz="4" w:space="0"/>
              <w:right w:val="single" w:color="auto" w:sz="4" w:space="0"/>
            </w:tcBorders>
            <w:shd w:val="clear" w:color="auto" w:fill="E0E0E0"/>
          </w:tcPr>
          <w:p>
            <w:pPr>
              <w:jc w:val="center"/>
              <w:rPr>
                <w:rFonts w:ascii="仿宋" w:hAnsi="仿宋" w:eastAsia="仿宋"/>
                <w:b/>
                <w:color w:val="000000"/>
                <w:sz w:val="24"/>
                <w:szCs w:val="24"/>
              </w:rPr>
            </w:pPr>
          </w:p>
          <w:p>
            <w:pPr>
              <w:jc w:val="center"/>
              <w:rPr>
                <w:rFonts w:ascii="仿宋" w:hAnsi="仿宋" w:eastAsia="仿宋"/>
                <w:b/>
                <w:color w:val="000000"/>
                <w:sz w:val="24"/>
                <w:szCs w:val="24"/>
              </w:rPr>
            </w:pPr>
            <w:r>
              <w:rPr>
                <w:rFonts w:hint="eastAsia" w:ascii="仿宋" w:hAnsi="仿宋" w:eastAsia="仿宋"/>
                <w:b/>
                <w:color w:val="000000"/>
                <w:sz w:val="24"/>
                <w:szCs w:val="24"/>
              </w:rPr>
              <w:t>关联交易内容</w:t>
            </w:r>
          </w:p>
          <w:p>
            <w:pPr>
              <w:jc w:val="center"/>
              <w:rPr>
                <w:rFonts w:ascii="仿宋" w:hAnsi="仿宋" w:eastAsia="仿宋"/>
                <w:b/>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shd w:val="clear" w:color="auto" w:fill="E0E0E0"/>
          </w:tcPr>
          <w:p>
            <w:pPr>
              <w:jc w:val="center"/>
              <w:rPr>
                <w:rFonts w:ascii="仿宋" w:hAnsi="仿宋" w:eastAsia="仿宋"/>
                <w:b/>
                <w:color w:val="000000"/>
                <w:sz w:val="24"/>
                <w:szCs w:val="24"/>
              </w:rPr>
            </w:pPr>
          </w:p>
          <w:p>
            <w:pPr>
              <w:jc w:val="center"/>
              <w:rPr>
                <w:rFonts w:ascii="仿宋" w:hAnsi="仿宋" w:eastAsia="仿宋"/>
                <w:b/>
                <w:color w:val="000000"/>
                <w:sz w:val="24"/>
                <w:szCs w:val="24"/>
              </w:rPr>
            </w:pPr>
            <w:r>
              <w:rPr>
                <w:rFonts w:hint="eastAsia" w:ascii="仿宋" w:hAnsi="仿宋" w:eastAsia="仿宋"/>
                <w:b/>
                <w:color w:val="000000"/>
                <w:sz w:val="24"/>
                <w:szCs w:val="24"/>
              </w:rPr>
              <w:t>关联交易定价原则</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合同签订金额或预计金额</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color w:val="000000"/>
                <w:sz w:val="24"/>
                <w:szCs w:val="24"/>
              </w:rPr>
            </w:pPr>
            <w:r>
              <w:rPr>
                <w:rFonts w:hint="eastAsia" w:ascii="仿宋" w:hAnsi="仿宋" w:eastAsia="仿宋"/>
                <w:b/>
                <w:color w:val="000000"/>
                <w:sz w:val="24"/>
                <w:szCs w:val="24"/>
              </w:rPr>
              <w:t>截至披露日已发生金额</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color w:val="000000"/>
                <w:sz w:val="24"/>
                <w:szCs w:val="24"/>
              </w:rPr>
            </w:pPr>
            <w:r>
              <w:rPr>
                <w:rFonts w:hint="eastAsia" w:ascii="仿宋" w:hAnsi="仿宋" w:eastAsia="仿宋"/>
                <w:b/>
                <w:color w:val="000000"/>
                <w:sz w:val="24"/>
                <w:szCs w:val="24"/>
              </w:rPr>
              <w:t>上年发生金额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向关联人采购原材料</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向关联人采购燃料和动力</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向关联人销售产品、商品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向关联人提供劳务</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接受关联人提供的劳务</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委托关联人销售产品、商品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接受关联人委托代为销售其产品、商品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bl>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注：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（三）上一年度日常关联交易实际发生情况</w:t>
      </w:r>
    </w:p>
    <w:tbl>
      <w:tblPr>
        <w:tblStyle w:val="28"/>
        <w:tblW w:w="8520" w:type="dxa"/>
        <w:tblInd w:w="0" w:type="dxa"/>
        <w:tblLayout w:type="fixed"/>
        <w:tblCellMar>
          <w:top w:w="0" w:type="dxa"/>
          <w:left w:w="108" w:type="dxa"/>
          <w:bottom w:w="0" w:type="dxa"/>
          <w:right w:w="108" w:type="dxa"/>
        </w:tblCellMar>
      </w:tblPr>
      <w:tblGrid>
        <w:gridCol w:w="1053"/>
        <w:gridCol w:w="880"/>
        <w:gridCol w:w="1011"/>
        <w:gridCol w:w="849"/>
        <w:gridCol w:w="288"/>
        <w:gridCol w:w="574"/>
        <w:gridCol w:w="1433"/>
        <w:gridCol w:w="1433"/>
        <w:gridCol w:w="999"/>
      </w:tblGrid>
      <w:tr>
        <w:tblPrEx>
          <w:tblCellMar>
            <w:top w:w="0" w:type="dxa"/>
            <w:left w:w="108" w:type="dxa"/>
            <w:bottom w:w="0" w:type="dxa"/>
            <w:right w:w="108" w:type="dxa"/>
          </w:tblCellMar>
        </w:tblPrEx>
        <w:trPr>
          <w:trHeight w:val="1592" w:hRule="atLeast"/>
        </w:trPr>
        <w:tc>
          <w:tcPr>
            <w:tcW w:w="1054"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关联交易类别</w:t>
            </w:r>
          </w:p>
        </w:tc>
        <w:tc>
          <w:tcPr>
            <w:tcW w:w="881"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关联人</w:t>
            </w:r>
          </w:p>
        </w:tc>
        <w:tc>
          <w:tcPr>
            <w:tcW w:w="1011"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关联交易内容</w:t>
            </w:r>
          </w:p>
        </w:tc>
        <w:tc>
          <w:tcPr>
            <w:tcW w:w="849"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实际发生金额</w:t>
            </w:r>
          </w:p>
        </w:tc>
        <w:tc>
          <w:tcPr>
            <w:tcW w:w="862" w:type="dxa"/>
            <w:gridSpan w:val="2"/>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预计金额</w:t>
            </w:r>
          </w:p>
        </w:tc>
        <w:tc>
          <w:tcPr>
            <w:tcW w:w="1433" w:type="dxa"/>
            <w:tcBorders>
              <w:top w:val="single" w:color="auto" w:sz="8" w:space="0"/>
              <w:left w:val="single" w:color="auto" w:sz="8" w:space="0"/>
              <w:bottom w:val="single" w:color="auto" w:sz="4" w:space="0"/>
              <w:right w:val="single" w:color="auto" w:sz="8" w:space="0"/>
            </w:tcBorders>
            <w:shd w:val="clear" w:color="auto" w:fill="E0E0E0"/>
          </w:tcPr>
          <w:p>
            <w:pPr>
              <w:widowControl/>
              <w:jc w:val="center"/>
              <w:rPr>
                <w:rFonts w:ascii="仿宋" w:hAnsi="仿宋" w:eastAsia="仿宋"/>
                <w:b/>
                <w:color w:val="000000"/>
                <w:sz w:val="24"/>
                <w:szCs w:val="24"/>
              </w:rPr>
            </w:pPr>
          </w:p>
          <w:p>
            <w:pPr>
              <w:widowControl/>
              <w:jc w:val="center"/>
              <w:rPr>
                <w:rFonts w:ascii="仿宋" w:hAnsi="仿宋" w:eastAsia="仿宋" w:cs="宋体"/>
                <w:b/>
                <w:bCs/>
                <w:color w:val="000000"/>
                <w:kern w:val="0"/>
                <w:sz w:val="24"/>
                <w:szCs w:val="24"/>
              </w:rPr>
            </w:pPr>
            <w:r>
              <w:rPr>
                <w:rFonts w:hint="eastAsia" w:ascii="仿宋" w:hAnsi="仿宋" w:eastAsia="仿宋"/>
                <w:b/>
                <w:color w:val="000000"/>
                <w:sz w:val="24"/>
                <w:szCs w:val="24"/>
              </w:rPr>
              <w:t>实际发生额占同类业务比例（％）</w:t>
            </w:r>
          </w:p>
        </w:tc>
        <w:tc>
          <w:tcPr>
            <w:tcW w:w="1433" w:type="dxa"/>
            <w:tcBorders>
              <w:top w:val="single" w:color="auto" w:sz="8" w:space="0"/>
              <w:left w:val="single" w:color="auto" w:sz="8" w:space="0"/>
              <w:bottom w:val="single" w:color="auto" w:sz="4" w:space="0"/>
              <w:right w:val="nil"/>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实际发生额与预计金额差异（%）</w:t>
            </w:r>
          </w:p>
        </w:tc>
        <w:tc>
          <w:tcPr>
            <w:tcW w:w="999" w:type="dxa"/>
            <w:tcBorders>
              <w:top w:val="single" w:color="auto" w:sz="8" w:space="0"/>
              <w:left w:val="single" w:color="auto" w:sz="8" w:space="0"/>
              <w:bottom w:val="single" w:color="auto" w:sz="4"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披露日期及索引</w:t>
            </w: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向关联人采购原材料</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向关联人采购燃料和动力</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向关联人销售产品、商品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向关联人提供劳务</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接受关联人提供的劳务</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委托关联人销售产品、商品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接受关联人委托代为销售其产品、商品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1080" w:hRule="atLeast"/>
        </w:trPr>
        <w:tc>
          <w:tcPr>
            <w:tcW w:w="2946" w:type="dxa"/>
            <w:gridSpan w:val="3"/>
            <w:tcBorders>
              <w:top w:val="single" w:color="auto" w:sz="8" w:space="0"/>
              <w:left w:val="single" w:color="auto" w:sz="8" w:space="0"/>
              <w:bottom w:val="single" w:color="auto" w:sz="8" w:space="0"/>
              <w:right w:val="single" w:color="000000" w:sz="8"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公司董事会对日常关联交易实际发生情况与预计存在较大差异的说明（如适用）</w:t>
            </w:r>
          </w:p>
        </w:tc>
        <w:tc>
          <w:tcPr>
            <w:tcW w:w="1137" w:type="dxa"/>
            <w:gridSpan w:val="2"/>
            <w:tcBorders>
              <w:top w:val="nil"/>
              <w:left w:val="nil"/>
              <w:bottom w:val="single" w:color="auto" w:sz="8" w:space="0"/>
              <w:right w:val="nil"/>
            </w:tcBorders>
          </w:tcPr>
          <w:p>
            <w:pPr>
              <w:widowControl/>
              <w:spacing w:line="560" w:lineRule="exact"/>
              <w:jc w:val="left"/>
              <w:rPr>
                <w:rFonts w:ascii="仿宋" w:hAnsi="仿宋" w:eastAsia="仿宋" w:cs="宋体"/>
                <w:color w:val="000000"/>
                <w:kern w:val="0"/>
                <w:sz w:val="24"/>
                <w:szCs w:val="24"/>
              </w:rPr>
            </w:pPr>
          </w:p>
        </w:tc>
        <w:tc>
          <w:tcPr>
            <w:tcW w:w="4439" w:type="dxa"/>
            <w:gridSpan w:val="4"/>
            <w:tcBorders>
              <w:top w:val="nil"/>
              <w:left w:val="nil"/>
              <w:bottom w:val="single" w:color="auto" w:sz="8" w:space="0"/>
              <w:right w:val="single" w:color="auto" w:sz="8" w:space="0"/>
            </w:tcBorders>
            <w:noWrap/>
            <w:vAlign w:val="center"/>
          </w:tcPr>
          <w:p>
            <w:pPr>
              <w:widowControl/>
              <w:spacing w:line="560" w:lineRule="exact"/>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810" w:hRule="atLeast"/>
        </w:trPr>
        <w:tc>
          <w:tcPr>
            <w:tcW w:w="2946" w:type="dxa"/>
            <w:gridSpan w:val="3"/>
            <w:tcBorders>
              <w:top w:val="single" w:color="auto" w:sz="8" w:space="0"/>
              <w:left w:val="single" w:color="auto" w:sz="8" w:space="0"/>
              <w:bottom w:val="single" w:color="auto" w:sz="8" w:space="0"/>
              <w:right w:val="single" w:color="000000" w:sz="8"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公司独立董事对日常关联交易实际发生情况与预计存在较大差异的说明（如有）</w:t>
            </w:r>
          </w:p>
        </w:tc>
        <w:tc>
          <w:tcPr>
            <w:tcW w:w="1137" w:type="dxa"/>
            <w:gridSpan w:val="2"/>
            <w:tcBorders>
              <w:top w:val="nil"/>
              <w:left w:val="nil"/>
              <w:bottom w:val="single" w:color="auto" w:sz="8" w:space="0"/>
              <w:right w:val="nil"/>
            </w:tcBorders>
          </w:tcPr>
          <w:p>
            <w:pPr>
              <w:widowControl/>
              <w:spacing w:line="560" w:lineRule="exact"/>
              <w:jc w:val="left"/>
              <w:rPr>
                <w:rFonts w:ascii="仿宋" w:hAnsi="仿宋" w:eastAsia="仿宋" w:cs="宋体"/>
                <w:color w:val="000000"/>
                <w:kern w:val="0"/>
                <w:sz w:val="24"/>
                <w:szCs w:val="24"/>
              </w:rPr>
            </w:pPr>
          </w:p>
        </w:tc>
        <w:tc>
          <w:tcPr>
            <w:tcW w:w="4439" w:type="dxa"/>
            <w:gridSpan w:val="4"/>
            <w:tcBorders>
              <w:top w:val="nil"/>
              <w:left w:val="nil"/>
              <w:bottom w:val="single" w:color="auto" w:sz="8" w:space="0"/>
              <w:right w:val="single" w:color="auto" w:sz="8" w:space="0"/>
            </w:tcBorders>
            <w:vAlign w:val="center"/>
          </w:tcPr>
          <w:p>
            <w:pPr>
              <w:widowControl/>
              <w:spacing w:line="560" w:lineRule="exact"/>
              <w:jc w:val="left"/>
              <w:rPr>
                <w:rFonts w:ascii="仿宋" w:hAnsi="仿宋" w:eastAsia="仿宋" w:cs="宋体"/>
                <w:color w:val="000000"/>
                <w:kern w:val="0"/>
                <w:sz w:val="24"/>
                <w:szCs w:val="24"/>
              </w:rPr>
            </w:pPr>
          </w:p>
        </w:tc>
      </w:tr>
    </w:tbl>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注：1. 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 上市公司与同一关联人实际发生关联交易总金额超出预计总金额，或与未预计关联人发生关联交易的，应按照本所《创业板</w:t>
      </w:r>
      <w:r>
        <w:rPr>
          <w:rFonts w:hint="eastAsia" w:ascii="仿宋" w:hAnsi="仿宋" w:eastAsia="仿宋"/>
          <w:color w:val="auto"/>
          <w:sz w:val="24"/>
          <w:szCs w:val="24"/>
          <w:lang w:eastAsia="zh-CN"/>
        </w:rPr>
        <w:t>股票</w:t>
      </w:r>
      <w:r>
        <w:rPr>
          <w:rFonts w:hint="eastAsia" w:ascii="仿宋" w:hAnsi="仿宋" w:eastAsia="仿宋"/>
          <w:color w:val="auto"/>
          <w:sz w:val="24"/>
          <w:szCs w:val="24"/>
        </w:rPr>
        <w:t>上市规则》相关规定及时履行相应审批程序及披露义务。若实际发生总金额未超过预计总金额，但不足预计总金额80%的，或日常关联交易总额虽未超出预计金额，但实际发生关联交易的关联人与预计的关联人存在较大差异时，上市公司应当充分解释差异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二、关联人介绍和关联关系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对上述第一部分涉及的各关联人情况分别进行说明，内容至少应包括：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基本情况。法定代表人、注册资本、主营业务、住所、最近一期财务数据（总资产、净资产、主营业务收入、净利润）等。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与上市公司的关联关系。说明构成关联关系的具体情形。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履约能力分析。结合该关联人主要财务指标和经营情况，按照关联交易类型对关联方的履约能力进行针对性的分析，如向关联人出售商品的，应对关联人的支付能力进行合理判断等。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三、关联交易主要内容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关联交易主要内容。包括关联交易的交易价格、定价原则和依据、交易总量或者其确定方法付款安排和结算方式等。协议未确定具体交易价格而仅说明采用参考市场价格或成本加成等方式确定的，上市公司应当披露实际交易价格，并提供明确的对比价格信息：参考市场价格的，应披露市场价格及其确定方法；采用成本加成的，应披露主要成本构成、加成比例及其合理性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关联交易协议签署情况。如已签署了关联交易协议，说明协议签署日期、生效条件和日期、协议有效期及其他主要条款。</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四、关联交易目的和对上市公司的影响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上市公司董事会应切实从维护上市公司及投资者权益的角度出发，详细分析关联交易目的和对上市公司的影响：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分析关联交易的必要性，并说明选择与关联人（而非市场其他交易方）进行交易的原因。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从关联交易定价的公允性、付款（收款）条件的合理性等方面分析关联交易有无损害上市公司利益。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关联交易的持续性，对上市公司独立性的影响，公司主要业务是否因此类交易而对关联人形成依赖（或者被其控制）及依赖程度，相关解决措施等。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五、中介机构意见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中介机构对日常关联交易发表的结论性意见（如适用）。</w:t>
      </w:r>
    </w:p>
    <w:p>
      <w:pPr>
        <w:spacing w:line="560" w:lineRule="exact"/>
        <w:ind w:firstLine="4160"/>
        <w:jc w:val="right"/>
        <w:rPr>
          <w:rFonts w:ascii="仿宋" w:hAnsi="仿宋" w:eastAsia="仿宋"/>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w:t>
      </w:r>
      <w:r>
        <w:rPr>
          <w:rFonts w:hint="eastAsia" w:ascii="仿宋" w:hAnsi="仿宋" w:eastAsia="仿宋"/>
          <w:sz w:val="32"/>
          <w:szCs w:val="32"/>
        </w:rPr>
        <w:t>XXXXXX股份有限公司董事会</w:t>
      </w:r>
    </w:p>
    <w:p>
      <w:pPr>
        <w:spacing w:line="560" w:lineRule="exact"/>
        <w:ind w:right="360" w:firstLine="4160"/>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420" w:firstLineChars="200"/>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1．全体独立董事过半数同意的证明文件；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．中介机构意见（如适用）；</w:t>
      </w:r>
    </w:p>
    <w:p>
      <w:pPr>
        <w:widowControl/>
        <w:autoSpaceDE w:val="0"/>
        <w:autoSpaceDN w:val="0"/>
        <w:adjustRightInd w:val="0"/>
        <w:spacing w:beforeAutospacing="0" w:afterAutospacing="0" w:line="560" w:lineRule="exact"/>
        <w:ind w:firstLine="640" w:firstLineChars="200"/>
        <w:jc w:val="left"/>
        <w:rPr>
          <w:rFonts w:ascii="仿宋" w:hAnsi="仿宋" w:eastAsia="仿宋"/>
          <w:sz w:val="32"/>
          <w:szCs w:val="32"/>
        </w:rPr>
        <w:sectPr>
          <w:pgSz w:w="11906" w:h="16838"/>
          <w:pgMar w:top="1440" w:right="1800" w:bottom="1440" w:left="1800" w:header="851" w:footer="992" w:gutter="0"/>
          <w:cols w:space="720" w:num="1"/>
          <w:formProt w:val="1"/>
        </w:sectPr>
      </w:pPr>
      <w:r>
        <w:rPr>
          <w:rFonts w:hint="eastAsia" w:ascii="仿宋" w:hAnsi="仿宋" w:eastAsia="仿宋" w:cs="Times New Roman"/>
          <w:sz w:val="32"/>
          <w:szCs w:val="32"/>
          <w:highlight w:val="none"/>
          <w:lang w:eastAsia="zh"/>
        </w:rPr>
        <w:t>3</w:t>
      </w:r>
      <w:r>
        <w:rPr>
          <w:rFonts w:hint="eastAsia" w:ascii="仿宋" w:hAnsi="仿宋" w:eastAsia="仿宋" w:cs="Times New Roman"/>
          <w:sz w:val="32"/>
          <w:szCs w:val="32"/>
          <w:highlight w:val="none"/>
        </w:rPr>
        <w:t>．日常关联交易的协议书或意向书（如适用）。</w:t>
      </w:r>
    </w:p>
    <w:p>
      <w:pPr>
        <w:keepNext/>
        <w:keepLines/>
        <w:spacing w:line="560" w:lineRule="exact"/>
        <w:jc w:val="center"/>
        <w:outlineLvl w:val="2"/>
        <w:rPr>
          <w:rFonts w:ascii="方正小标宋简体" w:hAnsi="仿宋" w:eastAsia="方正小标宋简体"/>
          <w:kern w:val="44"/>
          <w:sz w:val="44"/>
          <w:szCs w:val="44"/>
        </w:rPr>
      </w:pPr>
      <w:bookmarkStart w:id="69" w:name="_Toc164973718"/>
      <w:bookmarkStart w:id="70" w:name="_Toc29984"/>
      <w:bookmarkStart w:id="71" w:name="_Toc22859"/>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上市公司董事会关于重大资产重组实施情况报告书格式</w:t>
      </w:r>
      <w:bookmarkEnd w:id="69"/>
      <w:bookmarkEnd w:id="70"/>
      <w:bookmarkEnd w:id="71"/>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XXXXXX股份有限公司董事会关于重大资产重组实施情况报告书</w:t>
      </w:r>
    </w:p>
    <w:p>
      <w:pPr>
        <w:autoSpaceDE w:val="0"/>
        <w:autoSpaceDN w:val="0"/>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95104" behindDoc="0" locked="0" layoutInCell="1" allowOverlap="1">
                <wp:simplePos x="0" y="0"/>
                <wp:positionH relativeFrom="column">
                  <wp:posOffset>-285750</wp:posOffset>
                </wp:positionH>
                <wp:positionV relativeFrom="paragraph">
                  <wp:posOffset>29210</wp:posOffset>
                </wp:positionV>
                <wp:extent cx="5715000" cy="1552575"/>
                <wp:effectExtent l="4445" t="5080" r="14605" b="4445"/>
                <wp:wrapNone/>
                <wp:docPr id="98" name="矩形 98"/>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pt;margin-top:2.3pt;height:122.25pt;width:450pt;z-index:251695104;mso-width-relative:page;mso-height-relative:page;" fillcolor="#FFFFFF" filled="t" stroked="t" coordsize="21600,21600" o:gfxdata="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&#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mo5y1wAAAAkBAAAPAAAAAAAAAAEAIAAAACIAAABk&#10;cnMvZG93bnJldi54bWxQSwECFAAUAAAACACHTuJAdPeX/E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一、说明本次重组的实施过程，相关资产过户或交付、相关债权债务处理以及证券发行登记等事宜的办理状况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（一）本次重大资产重组方案简介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（二）说明本次重大资产重组的实施过程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（三）说明本次重大资产重组实施结果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说明相关资产过户或交付情况和相关后续安排。如果有相关资产过户或交付的手续未办理完毕，说明该等安排是否存在实质性法律障碍。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说明相关债权债务处理情况。分类别说明相关债权、有息债务、担保等或有债务、生产经营性债务等的处理情况。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说明证券发行登记等事宜的办理状况（如适用）。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说明公司完成</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股份</w:t>
      </w:r>
      <w:r>
        <w:rPr>
          <w:rFonts w:hint="eastAsia" w:ascii="仿宋" w:hAnsi="仿宋" w:eastAsia="仿宋"/>
          <w:color w:val="000000"/>
          <w:sz w:val="32"/>
          <w:szCs w:val="32"/>
          <w:lang w:eastAsia="zh-CN"/>
        </w:rPr>
        <w:t>、定向可转债</w:t>
      </w:r>
      <w:r>
        <w:rPr>
          <w:rFonts w:hint="eastAsia" w:ascii="仿宋" w:hAnsi="仿宋" w:eastAsia="仿宋"/>
          <w:color w:val="000000"/>
          <w:sz w:val="32"/>
          <w:szCs w:val="32"/>
        </w:rPr>
        <w:t>的登记情况，包括</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股数，</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前后公司总股本等。并提示投资者关注公司发布的《新增股份发行暨上市公告书》。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说明关于期间损益的认定及其实施结果。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二、说明相关实际情况与此前披露的信息是否存在差异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1.说明相关资产的权属情况及历史财务数据是否如实披露。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2.说明相关盈利预测或者管理层预计达到的目标是否实现。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3.说明控股股东及其一致行动人、董事、高级管理人员等特定主体自本次重组复牌之日或本次重组方案首次披露之日起至实施完毕期间的股份减持情况是否与计划一致。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4.说明其他情况与此前披露的信息是否存在差异。</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三、说明人员更换或调整情况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1.说明上市公司在重组期间董事、高级管理人员的更换情况及其他相关人员的调整情况。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2.主要标的资产是公司股权的，说明在重组期间，该公司董事、监事、高级管理人员的更换情况及其他相关人员的调整情况（如适用）。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四、说明是否存在资金占用和违规担保情形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1.说明重组实施过程中以及实施后，是否发生上市公司资金、资产被实际控制人或其他关联人占用的情形。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2.说明重组实施过程中以及实施后，上市公司为实际控制人及其关联人提供担保的情形。</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五、说明相关协议的履行情况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六、说明相关承诺及其履行情况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与该次重大资产重组相关的承诺及其履行情况，包括关于盈利预测的承诺（如适用）、关于规范和减少关联交易的承诺、关于维护上市公司独立性的承诺、关于锁定期的承诺（如适用）、关于资产注入的承诺（如适用）、其他承诺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七、说明相关后续事项的合规性及风险</w:t>
      </w:r>
      <w:r>
        <w:rPr>
          <w:rFonts w:hint="eastAsia" w:ascii="仿宋" w:hAnsi="仿宋" w:eastAsia="仿宋"/>
          <w:b/>
          <w:color w:val="000000"/>
          <w:sz w:val="32"/>
          <w:szCs w:val="32"/>
        </w:rPr>
        <w:tab/>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八、摘录独立财务顾问对资产重组实施情况的结论性意见</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九、摘录法律顾问对本次资产重组实施情况的结论性意见</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outlineLvl w:val="9"/>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1.经加盖董事会印章的重大资产重组实施情况报告书；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2.资产重组相关资产过户或交付证明、相关债权债务处理证明以及证券发行登记证明（涉及新增股份上市的）；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3.新增股份上市的书面申请（涉及新增股份上市的）；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4.独立财务顾问核查意见；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5.法律意见书；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6.独立财务顾问协议及保荐协议（如有）；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7.发行完成后经符合《证券法》规定的会计师事务所出具的验资报告（涉及新增股份上市的）；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8.证券登记结算机构对新增股份、可转债登记托管情况的书面证明（涉及新增股份、可转债上市的）；</w:t>
      </w:r>
    </w:p>
    <w:p>
      <w:pPr>
        <w:widowControl/>
        <w:spacing w:line="560" w:lineRule="exact"/>
        <w:ind w:firstLine="640" w:firstLineChars="200"/>
        <w:jc w:val="left"/>
        <w:outlineLvl w:val="9"/>
        <w:rPr>
          <w:rFonts w:hint="eastAsia" w:ascii="仿宋" w:hAnsi="仿宋" w:eastAsia="仿宋"/>
          <w:sz w:val="32"/>
          <w:szCs w:val="32"/>
          <w:lang w:eastAsia="zh"/>
        </w:rPr>
      </w:pPr>
      <w:r>
        <w:rPr>
          <w:rFonts w:hint="eastAsia" w:ascii="仿宋" w:hAnsi="仿宋" w:eastAsia="仿宋"/>
          <w:sz w:val="32"/>
          <w:szCs w:val="32"/>
        </w:rPr>
        <w:t>9.控股股东、实际控制人、其他重组方和上市公司在重大资产重组中作出的承诺（上市公司及有关各方签字盖章）</w:t>
      </w:r>
      <w:r>
        <w:rPr>
          <w:rFonts w:hint="eastAsia" w:ascii="仿宋" w:hAnsi="仿宋" w:eastAsia="仿宋"/>
          <w:sz w:val="32"/>
          <w:szCs w:val="32"/>
          <w:lang w:eastAsia="zh"/>
        </w:rPr>
        <w:t>。</w:t>
      </w:r>
    </w:p>
    <w:p>
      <w:pPr>
        <w:widowControl/>
        <w:jc w:val="left"/>
        <w:outlineLvl w:val="9"/>
        <w:rPr>
          <w:rFonts w:hint="eastAsia" w:ascii="仿宋" w:hAnsi="仿宋" w:eastAsia="仿宋"/>
          <w:sz w:val="32"/>
          <w:szCs w:val="32"/>
          <w:lang w:eastAsia="zh"/>
        </w:rPr>
      </w:pPr>
      <w:r>
        <w:rPr>
          <w:rFonts w:hint="eastAsia" w:ascii="仿宋" w:hAnsi="仿宋" w:eastAsia="仿宋"/>
          <w:sz w:val="32"/>
          <w:szCs w:val="32"/>
          <w:lang w:eastAsia="zh"/>
        </w:rPr>
        <w:br w:type="page"/>
      </w:r>
    </w:p>
    <w:p>
      <w:pPr>
        <w:widowControl/>
        <w:spacing w:line="560" w:lineRule="exact"/>
        <w:ind w:firstLine="0" w:firstLineChars="0"/>
        <w:jc w:val="left"/>
        <w:outlineLvl w:val="2"/>
        <w:rPr>
          <w:rFonts w:ascii="方正小标宋简体" w:hAnsi="仿宋" w:eastAsia="方正小标宋简体"/>
          <w:kern w:val="44"/>
          <w:sz w:val="44"/>
          <w:szCs w:val="44"/>
        </w:rPr>
      </w:pPr>
      <w:bookmarkStart w:id="72" w:name="_Toc3833"/>
      <w:bookmarkStart w:id="73" w:name="_Toc30490"/>
      <w:bookmarkStart w:id="74" w:name="_Toc164973719"/>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上市公司破产申请提示性公告格式</w:t>
      </w:r>
      <w:bookmarkEnd w:id="72"/>
      <w:bookmarkEnd w:id="73"/>
      <w:bookmarkEnd w:id="74"/>
    </w:p>
    <w:p>
      <w:pPr>
        <w:autoSpaceDE w:val="0"/>
        <w:autoSpaceDN w:val="0"/>
        <w:adjustRightInd w:val="0"/>
        <w:spacing w:line="560" w:lineRule="exact"/>
        <w:rPr>
          <w:rFonts w:ascii="仿宋" w:hAnsi="仿宋" w:eastAsia="仿宋"/>
          <w:b/>
          <w:color w:val="000000"/>
          <w:sz w:val="32"/>
          <w:szCs w:val="32"/>
        </w:rPr>
      </w:pPr>
    </w:p>
    <w:p>
      <w:pPr>
        <w:autoSpaceDE w:val="0"/>
        <w:autoSpaceDN w:val="0"/>
        <w:adjustRightInd w:val="0"/>
        <w:spacing w:line="560" w:lineRule="exact"/>
        <w:ind w:left="359" w:leftChars="171"/>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firstLine="1120" w:firstLineChars="350"/>
        <w:jc w:val="center"/>
        <w:rPr>
          <w:rFonts w:ascii="仿宋" w:hAnsi="仿宋" w:eastAsia="仿宋"/>
          <w:color w:val="000000"/>
          <w:sz w:val="32"/>
          <w:szCs w:val="32"/>
        </w:rPr>
      </w:pPr>
      <w:r>
        <w:rPr>
          <w:rFonts w:hint="eastAsia" w:ascii="仿宋" w:hAnsi="仿宋" w:eastAsia="仿宋"/>
          <w:color w:val="000000"/>
          <w:sz w:val="32"/>
          <w:szCs w:val="32"/>
        </w:rPr>
        <w:t>XXXXXX股份有限公司（被）申请重整、和解或破产清算的提示性公告</w:t>
      </w: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96128" behindDoc="0" locked="0" layoutInCell="1" allowOverlap="1">
                <wp:simplePos x="0" y="0"/>
                <wp:positionH relativeFrom="column">
                  <wp:posOffset>-209550</wp:posOffset>
                </wp:positionH>
                <wp:positionV relativeFrom="paragraph">
                  <wp:posOffset>175260</wp:posOffset>
                </wp:positionV>
                <wp:extent cx="5715000" cy="1552575"/>
                <wp:effectExtent l="4445" t="5080" r="14605" b="4445"/>
                <wp:wrapNone/>
                <wp:docPr id="97" name="矩形 97"/>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13.8pt;height:122.25pt;width:450pt;z-index:251696128;mso-width-relative:page;mso-height-relative:page;" fillcolor="#FFFFFF" filled="t" stroked="t" coordsize="21600,21600" o:gfxdata="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&#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ZFeQtgAAAAKAQAADwAAAAAAAAABACAAAAAiAAAA&#10;ZHJzL2Rvd25yZXYueG1sUEsBAhQAFAAAAAgAh07iQDPsqsZ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tabs>
          <w:tab w:val="left" w:pos="5040"/>
        </w:tabs>
        <w:spacing w:line="560" w:lineRule="exact"/>
        <w:rPr>
          <w:rFonts w:ascii="仿宋" w:hAnsi="仿宋" w:eastAsia="仿宋"/>
          <w:b/>
          <w:color w:val="000000"/>
          <w:kern w:val="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highlight w:val="none"/>
          <w:lang w:eastAsia="zh-CN"/>
        </w:rPr>
        <w:t>公司被申请重整及预重整，不代表法院最终受理申请人对公司的重整申请，</w:t>
      </w:r>
      <w:r>
        <w:rPr>
          <w:rFonts w:hint="eastAsia" w:ascii="仿宋" w:hAnsi="仿宋" w:eastAsia="仿宋"/>
          <w:color w:val="000000"/>
          <w:sz w:val="32"/>
          <w:szCs w:val="32"/>
        </w:rPr>
        <w:t>公司</w:t>
      </w:r>
      <w:r>
        <w:rPr>
          <w:rFonts w:hint="eastAsia" w:ascii="仿宋" w:hAnsi="仿宋" w:eastAsia="仿宋"/>
          <w:color w:val="000000"/>
          <w:sz w:val="32"/>
          <w:szCs w:val="32"/>
          <w:highlight w:val="none"/>
          <w:lang w:eastAsia="zh-CN"/>
        </w:rPr>
        <w:t>后续</w:t>
      </w:r>
      <w:r>
        <w:rPr>
          <w:rFonts w:hint="eastAsia" w:ascii="仿宋" w:hAnsi="仿宋" w:eastAsia="仿宋"/>
          <w:color w:val="000000"/>
          <w:sz w:val="32"/>
          <w:szCs w:val="32"/>
        </w:rPr>
        <w:t>是否进入重整程序尚存在</w:t>
      </w:r>
      <w:r>
        <w:rPr>
          <w:rFonts w:hint="eastAsia" w:ascii="仿宋" w:hAnsi="仿宋" w:eastAsia="仿宋"/>
          <w:color w:val="000000"/>
          <w:sz w:val="32"/>
          <w:szCs w:val="32"/>
          <w:lang w:eastAsia="zh-CN"/>
        </w:rPr>
        <w:t>较</w:t>
      </w:r>
      <w:r>
        <w:rPr>
          <w:rFonts w:hint="eastAsia" w:ascii="仿宋" w:hAnsi="仿宋" w:eastAsia="仿宋"/>
          <w:color w:val="000000"/>
          <w:sz w:val="32"/>
          <w:szCs w:val="32"/>
        </w:rPr>
        <w:t>大不确定性，公司股票及其衍生品种可能被实施退市风险警示、终止上市的相关风险提示。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简要说明公司获悉被申请破产的时间及方式。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如为债权人</w:t>
      </w:r>
      <w:r>
        <w:rPr>
          <w:rFonts w:hint="eastAsia" w:ascii="仿宋" w:hAnsi="仿宋" w:eastAsia="仿宋"/>
          <w:color w:val="000000"/>
          <w:sz w:val="32"/>
          <w:szCs w:val="32"/>
          <w:lang w:eastAsia="zh-CN"/>
        </w:rPr>
        <w:t>或者股东</w:t>
      </w:r>
      <w:r>
        <w:rPr>
          <w:rFonts w:hint="eastAsia" w:ascii="仿宋" w:hAnsi="仿宋" w:eastAsia="仿宋"/>
          <w:color w:val="000000"/>
          <w:sz w:val="32"/>
          <w:szCs w:val="32"/>
        </w:rPr>
        <w:t>申请，说明申请人的基本情况、申请目的、申请的事实和理由</w:t>
      </w:r>
      <w:r>
        <w:rPr>
          <w:rFonts w:hint="eastAsia" w:ascii="仿宋" w:hAnsi="仿宋" w:eastAsia="仿宋"/>
          <w:color w:val="000000"/>
          <w:sz w:val="32"/>
          <w:szCs w:val="32"/>
          <w:highlight w:val="none"/>
          <w:lang w:eastAsia="zh-CN"/>
        </w:rPr>
        <w:t>、申请人对公司的债权情况</w:t>
      </w:r>
      <w:r>
        <w:rPr>
          <w:rFonts w:hint="eastAsia" w:ascii="仿宋" w:hAnsi="仿宋" w:eastAsia="仿宋"/>
          <w:color w:val="000000"/>
          <w:sz w:val="32"/>
          <w:szCs w:val="32"/>
        </w:rPr>
        <w:t>，以及申请人与公司及公司董事、高级管理人员、控股股东、实际控制人是否存在关联关系、一致行动关系。如为公司申请，说明公司作出申请决定的具体原因、申请目的、正式递交申请的时间，以及已履行和仍需履行的审议程序。</w:t>
      </w:r>
    </w:p>
    <w:p>
      <w:pPr>
        <w:tabs>
          <w:tab w:val="left" w:pos="5040"/>
        </w:tabs>
        <w:spacing w:line="560" w:lineRule="exact"/>
        <w:ind w:firstLine="643" w:firstLineChars="200"/>
        <w:rPr>
          <w:rFonts w:ascii="仿宋" w:hAnsi="仿宋" w:eastAsia="仿宋"/>
          <w:b/>
          <w:sz w:val="32"/>
          <w:szCs w:val="32"/>
        </w:rPr>
      </w:pPr>
      <w:r>
        <w:rPr>
          <w:rFonts w:hint="eastAsia" w:ascii="仿宋" w:hAnsi="仿宋" w:eastAsia="仿宋"/>
          <w:b/>
          <w:sz w:val="32"/>
          <w:szCs w:val="32"/>
        </w:rPr>
        <w:t>二、上市公司基本情况</w:t>
      </w:r>
    </w:p>
    <w:p>
      <w:pPr>
        <w:tabs>
          <w:tab w:val="left" w:pos="5040"/>
        </w:tabs>
        <w:spacing w:line="560" w:lineRule="exact"/>
        <w:ind w:firstLine="640" w:firstLineChars="200"/>
        <w:rPr>
          <w:rFonts w:ascii="仿宋" w:hAnsi="仿宋" w:eastAsia="仿宋"/>
          <w:b/>
          <w:sz w:val="32"/>
          <w:szCs w:val="32"/>
        </w:rPr>
      </w:pPr>
      <w:r>
        <w:rPr>
          <w:rFonts w:hint="eastAsia" w:ascii="仿宋" w:hAnsi="仿宋" w:eastAsia="仿宋"/>
          <w:sz w:val="32"/>
          <w:szCs w:val="32"/>
        </w:rPr>
        <w:t>简要说明公司基本情况，包括但不限于公司的生产经营情况以及最近一年及一期的主要财务数据。</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三、事件影响</w:t>
      </w:r>
      <w:r>
        <w:rPr>
          <w:rFonts w:hint="eastAsia" w:ascii="仿宋" w:hAnsi="仿宋" w:eastAsia="仿宋"/>
          <w:b/>
          <w:color w:val="000000"/>
          <w:sz w:val="32"/>
          <w:szCs w:val="32"/>
          <w:lang w:eastAsia="zh-CN"/>
        </w:rPr>
        <w:t>、说明</w:t>
      </w:r>
      <w:r>
        <w:rPr>
          <w:rFonts w:hint="eastAsia" w:ascii="仿宋" w:hAnsi="仿宋" w:eastAsia="仿宋"/>
          <w:b/>
          <w:color w:val="000000"/>
          <w:sz w:val="32"/>
          <w:szCs w:val="32"/>
        </w:rPr>
        <w:t>及董事会意见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 xml:space="preserve">1. </w:t>
      </w:r>
      <w:r>
        <w:rPr>
          <w:rFonts w:hint="eastAsia" w:ascii="仿宋" w:hAnsi="仿宋" w:eastAsia="仿宋"/>
          <w:color w:val="000000"/>
          <w:sz w:val="32"/>
          <w:szCs w:val="32"/>
        </w:rPr>
        <w:t>简要说明上述事件可能对公司造成的影响以及公司董事会拟采取的相应措施。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破产事项被法院受理可能存在障碍的，说明存在障碍的具体情况及解决措施（如有）。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公司董事、高级管理人员、控股股东、实际控制人未来六个月的减持计划。</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本所或公司董事会认为需要说明的其他事项。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上市公司向人民法院申请和解的，除应当按上述要求履行信息披露义务外，还应当披露明确的和解协议草案，并充分提示和解不成功被宣告破产的风险。</w:t>
      </w:r>
    </w:p>
    <w:p>
      <w:pPr>
        <w:numPr>
          <w:ilvl w:val="0"/>
          <w:numId w:val="2"/>
        </w:numPr>
        <w:spacing w:line="560" w:lineRule="exact"/>
        <w:ind w:firstLine="643" w:firstLineChars="200"/>
        <w:rPr>
          <w:rFonts w:hint="eastAsia" w:ascii="仿宋" w:hAnsi="仿宋" w:eastAsia="仿宋"/>
          <w:b/>
          <w:bCs w:val="0"/>
          <w:color w:val="000000"/>
          <w:sz w:val="32"/>
          <w:szCs w:val="32"/>
          <w:highlight w:val="none"/>
          <w:lang w:eastAsia="zh-CN"/>
        </w:rPr>
      </w:pPr>
      <w:r>
        <w:rPr>
          <w:rFonts w:hint="eastAsia" w:ascii="仿宋" w:hAnsi="仿宋" w:eastAsia="仿宋"/>
          <w:b/>
          <w:bCs w:val="0"/>
          <w:color w:val="000000"/>
          <w:sz w:val="32"/>
          <w:szCs w:val="32"/>
          <w:highlight w:val="none"/>
          <w:lang w:eastAsia="zh-CN"/>
        </w:rPr>
        <w:t>风险提示</w:t>
      </w:r>
    </w:p>
    <w:p>
      <w:pPr>
        <w:pStyle w:val="2"/>
        <w:numPr>
          <w:ilvl w:val="-1"/>
          <w:numId w:val="0"/>
        </w:numPr>
        <w:spacing w:line="560" w:lineRule="exact"/>
        <w:ind w:firstLine="640" w:firstLineChars="200"/>
        <w:rPr>
          <w:rFonts w:hint="eastAsia"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1.</w:t>
      </w:r>
      <w:r>
        <w:rPr>
          <w:rFonts w:hint="eastAsia" w:ascii="仿宋" w:hAnsi="仿宋" w:eastAsia="仿宋"/>
          <w:b w:val="0"/>
          <w:bCs/>
          <w:color w:val="000000"/>
          <w:sz w:val="32"/>
          <w:szCs w:val="32"/>
          <w:highlight w:val="none"/>
          <w:lang w:eastAsia="zh-CN"/>
        </w:rPr>
        <w:t>公司被申请重整及预重整，不代表法院受理申请人对公司的破产重整，</w:t>
      </w:r>
      <w:r>
        <w:rPr>
          <w:rFonts w:hint="eastAsia" w:ascii="仿宋" w:hAnsi="仿宋" w:eastAsia="仿宋"/>
          <w:b w:val="0"/>
          <w:bCs/>
          <w:color w:val="000000"/>
          <w:sz w:val="32"/>
          <w:szCs w:val="32"/>
          <w:highlight w:val="none"/>
        </w:rPr>
        <w:t>公司是否进入预重整和重整程序尚存在</w:t>
      </w:r>
      <w:r>
        <w:rPr>
          <w:rFonts w:hint="eastAsia" w:ascii="仿宋" w:hAnsi="仿宋" w:eastAsia="仿宋"/>
          <w:b w:val="0"/>
          <w:bCs/>
          <w:color w:val="000000"/>
          <w:sz w:val="32"/>
          <w:szCs w:val="32"/>
          <w:highlight w:val="none"/>
          <w:lang w:eastAsia="zh-CN"/>
        </w:rPr>
        <w:t>较</w:t>
      </w:r>
      <w:r>
        <w:rPr>
          <w:rFonts w:hint="eastAsia" w:ascii="仿宋" w:hAnsi="仿宋" w:eastAsia="仿宋"/>
          <w:b w:val="0"/>
          <w:bCs/>
          <w:color w:val="000000"/>
          <w:sz w:val="32"/>
          <w:szCs w:val="32"/>
          <w:highlight w:val="none"/>
        </w:rPr>
        <w:t>大不确定性</w:t>
      </w:r>
      <w:r>
        <w:rPr>
          <w:rFonts w:hint="eastAsia" w:ascii="仿宋" w:hAnsi="仿宋" w:eastAsia="仿宋"/>
          <w:b w:val="0"/>
          <w:bCs/>
          <w:color w:val="000000"/>
          <w:sz w:val="32"/>
          <w:szCs w:val="32"/>
          <w:highlight w:val="none"/>
          <w:lang w:eastAsia="zh-CN"/>
        </w:rPr>
        <w:t>。</w:t>
      </w:r>
    </w:p>
    <w:p>
      <w:pPr>
        <w:pStyle w:val="2"/>
        <w:numPr>
          <w:ilvl w:val="-1"/>
          <w:numId w:val="0"/>
        </w:numPr>
        <w:spacing w:line="560" w:lineRule="exact"/>
        <w:ind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预重整为法院正式受理重整、批准重整计划前的程序，如</w:t>
      </w:r>
      <w:r>
        <w:rPr>
          <w:rFonts w:hint="eastAsia" w:ascii="仿宋" w:hAnsi="仿宋" w:eastAsia="仿宋"/>
          <w:b w:val="0"/>
          <w:bCs/>
          <w:color w:val="000000"/>
          <w:sz w:val="32"/>
          <w:szCs w:val="32"/>
          <w:highlight w:val="none"/>
          <w:lang w:eastAsia="zh-CN"/>
        </w:rPr>
        <w:t>法院决定公司预重整，不代表法院受理申请人对公司的重整申请，</w:t>
      </w:r>
      <w:r>
        <w:rPr>
          <w:rFonts w:hint="eastAsia" w:ascii="仿宋" w:hAnsi="仿宋" w:eastAsia="仿宋"/>
          <w:color w:val="000000"/>
          <w:sz w:val="32"/>
          <w:szCs w:val="32"/>
          <w:highlight w:val="none"/>
          <w:lang w:eastAsia="zh-CN"/>
        </w:rPr>
        <w:t>公司预重整能否成功存在较大不确定性。（如适用）</w:t>
      </w:r>
    </w:p>
    <w:p>
      <w:pPr>
        <w:pStyle w:val="2"/>
        <w:numPr>
          <w:ilvl w:val="-1"/>
          <w:numId w:val="0"/>
        </w:numPr>
        <w:spacing w:line="560" w:lineRule="exact"/>
        <w:ind w:firstLine="640" w:firstLineChars="200"/>
        <w:rPr>
          <w:rFonts w:hint="eastAsia" w:ascii="仿宋" w:hAnsi="仿宋" w:eastAsia="仿宋"/>
          <w:b w:val="0"/>
          <w:bCs/>
          <w:color w:val="000000"/>
          <w:sz w:val="32"/>
          <w:szCs w:val="32"/>
          <w:highlight w:val="none"/>
          <w:lang w:eastAsia="zh-CN"/>
        </w:rPr>
      </w:pPr>
      <w:r>
        <w:rPr>
          <w:rFonts w:hint="eastAsia" w:ascii="仿宋" w:hAnsi="仿宋" w:eastAsia="仿宋"/>
          <w:color w:val="000000"/>
          <w:sz w:val="32"/>
          <w:szCs w:val="32"/>
          <w:highlight w:val="none"/>
          <w:lang w:val="en-US" w:eastAsia="zh-CN"/>
        </w:rPr>
        <w:t>3.如果法院裁定受理申请人对公司的重整申请，</w:t>
      </w:r>
      <w:r>
        <w:rPr>
          <w:rFonts w:hint="eastAsia" w:ascii="仿宋" w:hAnsi="仿宋" w:eastAsia="仿宋"/>
          <w:b w:val="0"/>
          <w:bCs/>
          <w:color w:val="000000"/>
          <w:sz w:val="32"/>
          <w:szCs w:val="32"/>
          <w:highlight w:val="none"/>
          <w:lang w:eastAsia="zh-CN"/>
        </w:rPr>
        <w:t>公司股票将被实施退市风险警示，公司仍存在因重整失败而被宣告破产的风险。如果公司被宣告破产，公司将被实施破产清算，公司股票将面临终止上市的风险。</w:t>
      </w:r>
    </w:p>
    <w:p>
      <w:pPr>
        <w:pStyle w:val="2"/>
        <w:numPr>
          <w:ilvl w:val="-1"/>
          <w:numId w:val="0"/>
        </w:numPr>
        <w:spacing w:line="560" w:lineRule="exact"/>
        <w:ind w:firstLine="640" w:firstLineChars="200"/>
        <w:rPr>
          <w:rFonts w:hint="default"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4.上市公司近期股票交易异常波动的，应当参照股票交易异常波动公告的风险提示有关内容进一步提示股票交易风险，并结合公司的财务、经营状况、重整所需后续工作和程序等具体分析提示重整的困难和不确定性。</w:t>
      </w:r>
    </w:p>
    <w:p>
      <w:pPr>
        <w:spacing w:line="560" w:lineRule="exact"/>
        <w:ind w:firstLine="640" w:firstLineChars="200"/>
        <w:rPr>
          <w:rFonts w:ascii="仿宋" w:hAnsi="仿宋" w:eastAsia="仿宋"/>
          <w:color w:val="000000"/>
          <w:sz w:val="32"/>
          <w:szCs w:val="32"/>
        </w:rPr>
      </w:pPr>
    </w:p>
    <w:p>
      <w:pPr>
        <w:tabs>
          <w:tab w:val="left" w:pos="5040"/>
        </w:tabs>
        <w:spacing w:line="560" w:lineRule="exact"/>
        <w:ind w:firstLine="643" w:firstLineChars="200"/>
        <w:rPr>
          <w:rFonts w:ascii="仿宋" w:hAnsi="仿宋" w:eastAsia="仿宋"/>
          <w:b/>
          <w:color w:val="000000"/>
          <w:sz w:val="32"/>
          <w:szCs w:val="32"/>
        </w:rPr>
      </w:pPr>
    </w:p>
    <w:p>
      <w:pPr>
        <w:tabs>
          <w:tab w:val="left" w:pos="5040"/>
        </w:tabs>
        <w:spacing w:line="560" w:lineRule="exact"/>
        <w:ind w:firstLine="643" w:firstLineChars="200"/>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法院通知书(如适用)；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董事会审议破产申请的相关决议（如适用）；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val="en-US" w:eastAsia="zh-CN"/>
        </w:rPr>
        <w:t xml:space="preserve"> 和解协议草案（如适用）</w:t>
      </w:r>
      <w:r>
        <w:rPr>
          <w:rFonts w:hint="eastAsia" w:ascii="仿宋" w:hAnsi="仿宋" w:eastAsia="仿宋"/>
          <w:color w:val="000000"/>
          <w:sz w:val="32"/>
          <w:szCs w:val="32"/>
        </w:rPr>
        <w:t>。</w:t>
      </w:r>
    </w:p>
    <w:p>
      <w:pPr>
        <w:pStyle w:val="2"/>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75" w:name="_Toc164973720"/>
      <w:bookmarkStart w:id="76" w:name="_Toc25707"/>
      <w:bookmarkStart w:id="77" w:name="_Toc16411"/>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上市公司被法院受理破产申请公告格式</w:t>
      </w:r>
      <w:bookmarkEnd w:id="75"/>
      <w:bookmarkEnd w:id="76"/>
      <w:bookmarkEnd w:id="77"/>
    </w:p>
    <w:p>
      <w:pPr>
        <w:tabs>
          <w:tab w:val="left" w:pos="5040"/>
        </w:tabs>
        <w:autoSpaceDE w:val="0"/>
        <w:autoSpaceDN w:val="0"/>
        <w:adjustRightInd w:val="0"/>
        <w:spacing w:line="560" w:lineRule="exact"/>
        <w:ind w:firstLine="800" w:firstLineChars="250"/>
        <w:rPr>
          <w:rFonts w:ascii="仿宋" w:hAnsi="仿宋" w:eastAsia="仿宋"/>
          <w:color w:val="000000"/>
          <w:sz w:val="32"/>
          <w:szCs w:val="32"/>
        </w:rPr>
      </w:pPr>
    </w:p>
    <w:p>
      <w:pPr>
        <w:tabs>
          <w:tab w:val="left" w:pos="5040"/>
        </w:tabs>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w:t>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tabs>
          <w:tab w:val="left" w:pos="5040"/>
        </w:tabs>
        <w:autoSpaceDE w:val="0"/>
        <w:autoSpaceDN w:val="0"/>
        <w:adjustRightInd w:val="0"/>
        <w:spacing w:line="560" w:lineRule="exact"/>
        <w:ind w:left="359" w:leftChars="171" w:firstLine="940" w:firstLineChars="294"/>
        <w:jc w:val="center"/>
        <w:rPr>
          <w:rFonts w:ascii="仿宋" w:hAnsi="仿宋" w:eastAsia="仿宋"/>
          <w:color w:val="000000"/>
          <w:sz w:val="32"/>
          <w:szCs w:val="32"/>
        </w:rPr>
      </w:pPr>
      <w:r>
        <w:rPr>
          <w:rFonts w:hint="eastAsia" w:ascii="仿宋" w:hAnsi="仿宋" w:eastAsia="仿宋"/>
          <w:color w:val="000000"/>
          <w:sz w:val="32"/>
          <w:szCs w:val="32"/>
        </w:rPr>
        <w:t>XXXXXX股份有限公司被法院受理重整、和解或破产清算申请的公告</w:t>
      </w:r>
    </w:p>
    <w:p>
      <w:pPr>
        <w:tabs>
          <w:tab w:val="left" w:pos="5040"/>
        </w:tabs>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127000</wp:posOffset>
                </wp:positionV>
                <wp:extent cx="5143500" cy="1571625"/>
                <wp:effectExtent l="5080" t="4445" r="13970" b="5080"/>
                <wp:wrapNone/>
                <wp:docPr id="96" name="矩形 96"/>
                <wp:cNvGraphicFramePr/>
                <a:graphic xmlns:a="http://schemas.openxmlformats.org/drawingml/2006/main">
                  <a:graphicData uri="http://schemas.microsoft.com/office/word/2010/wordprocessingShape">
                    <wps:wsp>
                      <wps:cNvSpPr>
                        <a:spLocks noChangeArrowheads="1"/>
                      </wps:cNvSpPr>
                      <wps:spPr bwMode="auto">
                        <a:xfrm>
                          <a:off x="0" y="0"/>
                          <a:ext cx="51435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10pt;height:123.75pt;width:405pt;z-index:251668480;mso-width-relative:page;mso-height-relative:page;" fillcolor="#FFFFFF" filled="t" stroked="t" coordsize="21600,21600" o:gfxdata="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FUV5O1gAAAAkBAAAPAAAAAAAAAAEAIAAAACIAAABkcnMvZG93&#10;bnJldi54bWxQSwECFAAUAAAACACHTuJAK+J6hzsCAACLBAAADgAAAAAAAAABACAAAAAlAQAAZHJz&#10;L2Uyb0RvYy54bWxQSwUGAAAAAAYABgBZAQAA0g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公司股票将于XXXX年XX月XX日被实施退市风险警示，股票简称变更为“*ST XX”，股票代码不变。</w:t>
      </w:r>
    </w:p>
    <w:p>
      <w:pPr>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破产事项简述：说明公司破产事项受理基本情况，包括申请人名称、所在地、申请时间及破产申请事由等。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受理法院名称、裁定受理时间、裁定书案号。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裁定书主要内容：包括法院作出受理破产的裁定依据及裁定意见等。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申请人向上一级法院提起上诉的情况（如适用）。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二、法院指定管理人情况（如适用）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管理人：简述管理人的基本情况，</w:t>
      </w:r>
      <w:r>
        <w:rPr>
          <w:rFonts w:hint="eastAsia" w:ascii="仿宋" w:hAnsi="仿宋" w:eastAsia="仿宋"/>
          <w:sz w:val="32"/>
          <w:szCs w:val="32"/>
        </w:rPr>
        <w:t>说明《指定管理人决定书》文号及主要内容，</w:t>
      </w:r>
      <w:r>
        <w:rPr>
          <w:rFonts w:hint="eastAsia" w:ascii="仿宋" w:hAnsi="仿宋" w:eastAsia="仿宋"/>
          <w:color w:val="000000"/>
          <w:sz w:val="32"/>
          <w:szCs w:val="32"/>
        </w:rPr>
        <w:t>包括管理人名称、负责人、主要成员、职责及联系方式等；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管理模式：说明法院裁定的上市公司财产和营业事务的具体管理运作模式（管理人管理模式或管理人监督模式）。</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信息披露义务人：说明后续信息披露事务责任主体名称、成员、联系方式等。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三、事件影响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股票交易：说明公司股票将于XXXX年XX月XX日被实施退市风险警示，股票简称将变更为“*ST XX”。</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管理人关于继续或停止上市公司营业的决定，以及法院许可情况。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其他影响：说明破产事项受理对公司生产经营等其他方面的影响。</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对公司因破产事项被受理存在的终止上市风险作出充分提示。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重整、和解或破产清算对公司的影响，提示风险。</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法院裁定书。</w:t>
      </w:r>
    </w:p>
    <w:p>
      <w:pPr>
        <w:pStyle w:val="2"/>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78" w:name="_Toc29799"/>
      <w:bookmarkStart w:id="79" w:name="_Toc164973721"/>
      <w:bookmarkStart w:id="80" w:name="_Toc26147"/>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上市公司破产重整计划（和解协议）获准公告格式</w:t>
      </w:r>
      <w:bookmarkEnd w:id="78"/>
      <w:bookmarkEnd w:id="79"/>
      <w:bookmarkEnd w:id="80"/>
    </w:p>
    <w:p>
      <w:pPr>
        <w:autoSpaceDE w:val="0"/>
        <w:autoSpaceDN w:val="0"/>
        <w:adjustRightInd w:val="0"/>
        <w:spacing w:line="560" w:lineRule="exact"/>
        <w:ind w:firstLine="803" w:firstLineChars="250"/>
        <w:rPr>
          <w:rFonts w:ascii="仿宋" w:hAnsi="仿宋" w:eastAsia="仿宋"/>
          <w:b/>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left="360"/>
        <w:jc w:val="center"/>
        <w:rPr>
          <w:rFonts w:ascii="仿宋" w:hAnsi="仿宋" w:eastAsia="仿宋"/>
          <w:color w:val="000000"/>
          <w:sz w:val="32"/>
          <w:szCs w:val="32"/>
        </w:rPr>
      </w:pPr>
      <w:r>
        <w:rPr>
          <w:rFonts w:hint="eastAsia" w:ascii="仿宋" w:hAnsi="仿宋" w:eastAsia="仿宋"/>
          <w:color w:val="000000"/>
          <w:sz w:val="32"/>
          <w:szCs w:val="32"/>
        </w:rPr>
        <w:t>XXXXXX股份有限公司破产重整计划（和解协议）获准公告</w:t>
      </w: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83820</wp:posOffset>
                </wp:positionV>
                <wp:extent cx="5372100" cy="1543050"/>
                <wp:effectExtent l="4445" t="4445" r="14605" b="14605"/>
                <wp:wrapNone/>
                <wp:docPr id="95" name="矩形 95"/>
                <wp:cNvGraphicFramePr/>
                <a:graphic xmlns:a="http://schemas.openxmlformats.org/drawingml/2006/main">
                  <a:graphicData uri="http://schemas.microsoft.com/office/word/2010/wordprocessingShape">
                    <wps:wsp>
                      <wps:cNvSpPr>
                        <a:spLocks noChangeArrowheads="1"/>
                      </wps:cNvSpPr>
                      <wps:spPr bwMode="auto">
                        <a:xfrm>
                          <a:off x="0" y="0"/>
                          <a:ext cx="53721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6pt;height:121.5pt;width:423pt;z-index:251669504;mso-width-relative:page;mso-height-relative:page;" fillcolor="#FFFFFF" filled="t" stroked="t" coordsize="21600,21600" o:gfxdata="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uq2h1wAAAAkBAAAPAAAAAAAAAAEAIAAAACIAAABk&#10;cnMvZG93bnJldi54bWxQSwECFAAUAAAACACHTuJA0mvjXk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简述公司破产重整计划（和解协议）获批情况，说明法院名称、批准重整计划（和解协议）时间、裁定书案号、裁定依据、主要裁定意见等。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二、重整计划、和解协议主要内容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说明重整计划的主要内容，包括债务人的经营方案，债权分类情况及调整方案、债权受偿方案、重整计划的执行期、重整计划的监督期限、有利于重整计划执行的其他措施等情况。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说明和解协议的主要内容，包括各债权人金额、债务偿付比例、偿付总金额等情况。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三、执行重整计划、和解协议对公司的影响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就重整计划中约定的经营方案详细说明执行步骤和时间安排，</w:t>
      </w:r>
      <w:r>
        <w:rPr>
          <w:rFonts w:hint="eastAsia" w:ascii="仿宋" w:hAnsi="仿宋" w:eastAsia="仿宋"/>
          <w:color w:val="000000"/>
          <w:sz w:val="32"/>
          <w:szCs w:val="32"/>
        </w:rPr>
        <w:t>并说明对公司的持续经营能力、经营成果和财务状况等方面的影响，</w:t>
      </w:r>
      <w:r>
        <w:rPr>
          <w:rFonts w:hint="eastAsia" w:ascii="仿宋" w:hAnsi="仿宋" w:eastAsia="仿宋"/>
          <w:sz w:val="32"/>
          <w:szCs w:val="32"/>
        </w:rPr>
        <w:t>并充分论证方案的可行性</w:t>
      </w:r>
      <w:r>
        <w:rPr>
          <w:rFonts w:hint="eastAsia" w:ascii="仿宋" w:hAnsi="仿宋" w:eastAsia="仿宋"/>
          <w:color w:val="000000"/>
          <w:sz w:val="32"/>
          <w:szCs w:val="32"/>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法院裁定书；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重整计划或和解协议书。</w:t>
      </w:r>
    </w:p>
    <w:p>
      <w:pPr>
        <w:pStyle w:val="2"/>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81" w:name="_Toc26522"/>
      <w:bookmarkStart w:id="82" w:name="_Toc30704"/>
      <w:bookmarkStart w:id="83" w:name="_Toc164973722"/>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8</w:t>
      </w:r>
      <w:r>
        <w:rPr>
          <w:rFonts w:hint="eastAsia" w:ascii="方正小标宋简体" w:hAnsi="仿宋" w:eastAsia="方正小标宋简体"/>
          <w:kern w:val="44"/>
          <w:sz w:val="44"/>
          <w:szCs w:val="44"/>
        </w:rPr>
        <w:t>号 上市公司被法院宣告破产暨终止上市风险提示性公告格式</w:t>
      </w:r>
      <w:bookmarkEnd w:id="81"/>
      <w:bookmarkEnd w:id="82"/>
      <w:bookmarkEnd w:id="83"/>
    </w:p>
    <w:p>
      <w:pPr>
        <w:spacing w:line="560" w:lineRule="exact"/>
        <w:jc w:val="center"/>
        <w:rPr>
          <w:rFonts w:ascii="仿宋" w:hAnsi="仿宋" w:eastAsia="仿宋"/>
          <w:sz w:val="32"/>
          <w:szCs w:val="32"/>
        </w:rPr>
      </w:pPr>
      <w:r>
        <w:rPr>
          <w:rFonts w:hint="eastAsia" w:ascii="仿宋" w:hAnsi="仿宋" w:eastAsia="仿宋"/>
          <w:color w:val="000000"/>
          <w:sz w:val="32"/>
          <w:szCs w:val="32"/>
        </w:rPr>
        <w:t xml:space="preserve"> </w:t>
      </w:r>
    </w:p>
    <w:p>
      <w:pPr>
        <w:autoSpaceDE w:val="0"/>
        <w:autoSpaceDN w:val="0"/>
        <w:adjustRightInd w:val="0"/>
        <w:spacing w:line="56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left="360"/>
        <w:jc w:val="center"/>
        <w:rPr>
          <w:rFonts w:ascii="仿宋" w:hAnsi="仿宋" w:eastAsia="仿宋"/>
          <w:color w:val="000000"/>
          <w:sz w:val="32"/>
          <w:szCs w:val="32"/>
        </w:rPr>
      </w:pPr>
      <w:r>
        <w:rPr>
          <w:rFonts w:hint="eastAsia" w:ascii="仿宋" w:hAnsi="仿宋" w:eastAsia="仿宋"/>
          <w:color w:val="000000"/>
          <w:sz w:val="32"/>
          <w:szCs w:val="32"/>
        </w:rPr>
        <w:t>XXXXXX股份有限公司被法院宣告破产暨终止上市风险提示性公告</w: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70528" behindDoc="0" locked="0" layoutInCell="1" allowOverlap="1">
                <wp:simplePos x="0" y="0"/>
                <wp:positionH relativeFrom="column">
                  <wp:posOffset>-226695</wp:posOffset>
                </wp:positionH>
                <wp:positionV relativeFrom="paragraph">
                  <wp:posOffset>78105</wp:posOffset>
                </wp:positionV>
                <wp:extent cx="5600700" cy="1543685"/>
                <wp:effectExtent l="4445" t="4445" r="14605" b="13970"/>
                <wp:wrapNone/>
                <wp:docPr id="94" name="矩形 94"/>
                <wp:cNvGraphicFramePr/>
                <a:graphic xmlns:a="http://schemas.openxmlformats.org/drawingml/2006/main">
                  <a:graphicData uri="http://schemas.microsoft.com/office/word/2010/wordprocessingShape">
                    <wps:wsp>
                      <wps:cNvSpPr>
                        <a:spLocks noChangeArrowheads="1"/>
                      </wps:cNvSpPr>
                      <wps:spPr bwMode="auto">
                        <a:xfrm>
                          <a:off x="0" y="0"/>
                          <a:ext cx="5600700" cy="154368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5pt;margin-top:6.15pt;height:121.55pt;width:441pt;z-index:251670528;mso-width-relative:page;mso-height-relative:page;" fillcolor="#FFFFFF" filled="t" stroked="t" coordsize="21600,21600" o:gfxdata="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XSIjNkAAAAKAQAADwAAAAAAAAABACAAAAAiAAAA&#10;ZHJzL2Rvd25yZXYueG1sUEsBAhQAFAAAAAgAh07iQPWVSZs/AgAAiwQAAA4AAAAAAAAAAQAgAAAA&#10;KA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firstLine="643" w:firstLineChars="200"/>
        <w:rPr>
          <w:rFonts w:ascii="仿宋" w:hAnsi="仿宋" w:eastAsia="仿宋"/>
          <w:sz w:val="32"/>
          <w:szCs w:val="32"/>
        </w:rPr>
      </w:pPr>
      <w:r>
        <w:rPr>
          <w:rFonts w:hint="eastAsia" w:ascii="仿宋" w:hAnsi="仿宋" w:eastAsia="仿宋"/>
          <w:b/>
          <w:color w:val="000000"/>
          <w:sz w:val="32"/>
          <w:szCs w:val="32"/>
        </w:rPr>
        <w:t>特别提示：</w:t>
      </w:r>
      <w:r>
        <w:rPr>
          <w:rFonts w:hint="eastAsia" w:ascii="仿宋" w:hAnsi="仿宋" w:eastAsia="仿宋"/>
          <w:sz w:val="32"/>
          <w:szCs w:val="32"/>
        </w:rPr>
        <w:t>公司股票将于XXXX年XX月XX日开市起停牌，深交所将于停牌之日起5个交易日内向公司发出拟终止股票上市的事先告知书。</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简要说明公司被法院宣告破产情况，包括法院名称、裁定时间、裁定书案号、裁定依据、主要裁定意见等。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二、风险提示及相关安排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 说明破产事项对公司生产经营等方面的影响和公司董事会（或管理人）拟采取的措施及安排（如适用）。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终止上市安排：说明根据《创业板股票上市规则》的规定，公司股票存在的终止上市风险，说明公司股票在本所作出终止上市决定前的停牌安排等相关事宜。</w:t>
      </w:r>
    </w:p>
    <w:p>
      <w:pPr>
        <w:spacing w:line="560" w:lineRule="exact"/>
        <w:rPr>
          <w:rFonts w:ascii="仿宋" w:hAnsi="仿宋" w:eastAsia="仿宋"/>
          <w:b/>
          <w:color w:val="000000"/>
          <w:sz w:val="32"/>
          <w:szCs w:val="32"/>
        </w:rPr>
      </w:pPr>
    </w:p>
    <w:p>
      <w:pPr>
        <w:spacing w:line="560" w:lineRule="exact"/>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hint="eastAsia" w:ascii="仿宋" w:hAnsi="仿宋" w:eastAsia="仿宋"/>
          <w:sz w:val="32"/>
          <w:szCs w:val="32"/>
          <w:lang w:eastAsia="zh"/>
        </w:rPr>
      </w:pPr>
      <w:r>
        <w:rPr>
          <w:rFonts w:hint="eastAsia" w:ascii="仿宋" w:hAnsi="仿宋" w:eastAsia="仿宋"/>
          <w:sz w:val="32"/>
          <w:szCs w:val="32"/>
        </w:rPr>
        <w:t>XXXX年XX月XX</w:t>
      </w:r>
      <w:r>
        <w:rPr>
          <w:rFonts w:hint="eastAsia" w:ascii="仿宋" w:hAnsi="仿宋" w:eastAsia="仿宋"/>
          <w:sz w:val="32"/>
          <w:szCs w:val="32"/>
          <w:lang w:eastAsia="zh"/>
        </w:rPr>
        <w:t>日</w:t>
      </w:r>
    </w:p>
    <w:p>
      <w:pPr>
        <w:spacing w:line="560" w:lineRule="exact"/>
        <w:ind w:firstLine="643" w:firstLineChars="200"/>
        <w:rPr>
          <w:rFonts w:hint="eastAsia" w:ascii="仿宋" w:hAnsi="仿宋" w:eastAsia="仿宋"/>
          <w:b/>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备查文件</w:t>
      </w:r>
    </w:p>
    <w:p>
      <w:pPr>
        <w:pStyle w:val="2"/>
        <w:spacing w:line="560" w:lineRule="exact"/>
        <w:ind w:firstLine="640" w:firstLineChars="200"/>
      </w:pPr>
      <w:r>
        <w:rPr>
          <w:rFonts w:hint="eastAsia" w:ascii="仿宋" w:hAnsi="仿宋" w:eastAsia="仿宋"/>
          <w:color w:val="000000"/>
          <w:sz w:val="32"/>
          <w:szCs w:val="32"/>
          <w:highlight w:val="none"/>
        </w:rPr>
        <w:t>法院裁定书。</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84" w:name="_Toc164973723"/>
      <w:bookmarkStart w:id="85" w:name="_Toc25534"/>
      <w:bookmarkStart w:id="86" w:name="_Toc26186"/>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29</w:t>
      </w:r>
      <w:r>
        <w:rPr>
          <w:rFonts w:hint="eastAsia" w:ascii="方正小标宋简体" w:hAnsi="仿宋" w:eastAsia="方正小标宋简体"/>
          <w:kern w:val="44"/>
          <w:sz w:val="44"/>
          <w:szCs w:val="44"/>
        </w:rPr>
        <w:t>号 上市公司股东减持股份实施情况公告格式</w:t>
      </w:r>
      <w:bookmarkEnd w:id="84"/>
      <w:bookmarkEnd w:id="85"/>
      <w:bookmarkEnd w:id="86"/>
    </w:p>
    <w:p>
      <w:pPr>
        <w:widowControl/>
        <w:adjustRightInd w:val="0"/>
        <w:spacing w:line="560" w:lineRule="exact"/>
        <w:ind w:right="360" w:firstLine="540"/>
        <w:jc w:val="center"/>
        <w:rPr>
          <w:rFonts w:ascii="仿宋" w:hAnsi="仿宋" w:eastAsia="仿宋"/>
          <w:b/>
          <w:bCs/>
          <w:color w:val="000000"/>
          <w:sz w:val="32"/>
          <w:szCs w:val="32"/>
        </w:rPr>
      </w:pPr>
    </w:p>
    <w:p>
      <w:pPr>
        <w:widowControl/>
        <w:adjustRightInd w:val="0"/>
        <w:spacing w:line="560" w:lineRule="exact"/>
        <w:ind w:right="360" w:firstLine="54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XXXXXX股份有限公司股东减持股份实施情况公告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218440</wp:posOffset>
                </wp:positionV>
                <wp:extent cx="5791200" cy="1272540"/>
                <wp:effectExtent l="4445" t="4445" r="14605" b="18415"/>
                <wp:wrapNone/>
                <wp:docPr id="93" name="矩形 93"/>
                <wp:cNvGraphicFramePr/>
                <a:graphic xmlns:a="http://schemas.openxmlformats.org/drawingml/2006/main">
                  <a:graphicData uri="http://schemas.microsoft.com/office/word/2010/wordprocessingShape">
                    <wps:wsp>
                      <wps:cNvSpPr>
                        <a:spLocks noChangeArrowheads="1"/>
                      </wps:cNvSpPr>
                      <wps:spPr bwMode="auto">
                        <a:xfrm>
                          <a:off x="0" y="0"/>
                          <a:ext cx="5791200" cy="127254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17.2pt;height:100.2pt;width:456pt;z-index:251659264;mso-width-relative:page;mso-height-relative:page;" fillcolor="#FFFFFF" filled="t" stroked="t" coordsize="21600,21600" o:gfxdata="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&#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DH8+tgAAAAJAQAADwAAAAAAAAABACAAAAAiAAAA&#10;ZHJzL2Rvd25yZXYueG1sUEsBAhQAFAAAAAgAh07iQDgBif5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一、股东减持情况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股东减持股份情况</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68"/>
        <w:gridCol w:w="1087"/>
        <w:gridCol w:w="1087"/>
        <w:gridCol w:w="1959"/>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股东名称</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减持方式</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减持期间</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减持均价</w:t>
            </w: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减持股数（万股）</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减持比例</w:t>
            </w:r>
          </w:p>
          <w:p>
            <w:pPr>
              <w:jc w:val="center"/>
              <w:rPr>
                <w:rFonts w:ascii="仿宋" w:hAnsi="仿宋" w:eastAsia="仿宋"/>
                <w:color w:val="000000"/>
                <w:sz w:val="24"/>
                <w:szCs w:val="24"/>
              </w:rPr>
            </w:pPr>
            <w:r>
              <w:rPr>
                <w:rFonts w:hint="eastAsia"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集中竞价交易</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大宗交易</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其他方式（需明确）</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  计</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股东通过集中竞价、大宗交易方式减持的，还应当披露减持股份来源、减持价格区间（如有）等情况。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股东本次减持前后持股情况</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817"/>
        <w:gridCol w:w="1257"/>
        <w:gridCol w:w="1657"/>
        <w:gridCol w:w="1257"/>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股东名称</w:t>
            </w:r>
          </w:p>
        </w:tc>
        <w:tc>
          <w:tcPr>
            <w:tcW w:w="18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股份性质</w:t>
            </w:r>
          </w:p>
        </w:tc>
        <w:tc>
          <w:tcPr>
            <w:tcW w:w="291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本次减持前持有股份</w:t>
            </w:r>
          </w:p>
        </w:tc>
        <w:tc>
          <w:tcPr>
            <w:tcW w:w="291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本次减持后持有股份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股数</w:t>
            </w:r>
          </w:p>
          <w:p>
            <w:pPr>
              <w:widowControl/>
              <w:jc w:val="center"/>
              <w:rPr>
                <w:rFonts w:ascii="仿宋" w:hAnsi="仿宋" w:eastAsia="仿宋"/>
                <w:color w:val="000000"/>
                <w:kern w:val="0"/>
                <w:sz w:val="24"/>
                <w:szCs w:val="24"/>
              </w:rPr>
            </w:pPr>
            <w:r>
              <w:rPr>
                <w:rFonts w:hint="eastAsia" w:ascii="仿宋" w:hAnsi="仿宋" w:eastAsia="仿宋" w:cs="宋体"/>
                <w:color w:val="000000"/>
                <w:kern w:val="0"/>
                <w:sz w:val="24"/>
                <w:szCs w:val="24"/>
              </w:rPr>
              <w:t>（</w:t>
            </w:r>
            <w:r>
              <w:rPr>
                <w:rFonts w:hint="eastAsia" w:ascii="仿宋" w:hAnsi="仿宋" w:eastAsia="仿宋"/>
                <w:color w:val="000000"/>
                <w:kern w:val="0"/>
                <w:sz w:val="24"/>
                <w:szCs w:val="24"/>
              </w:rPr>
              <w:t>万股</w:t>
            </w:r>
            <w:r>
              <w:rPr>
                <w:rFonts w:hint="eastAsia" w:ascii="仿宋" w:hAnsi="仿宋" w:eastAsia="仿宋" w:cs="宋体"/>
                <w:color w:val="000000"/>
                <w:kern w:val="0"/>
                <w:sz w:val="24"/>
                <w:szCs w:val="24"/>
              </w:rPr>
              <w:t>）</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占总股本比例</w:t>
            </w:r>
            <w:r>
              <w:rPr>
                <w:rFonts w:hint="eastAsia" w:ascii="仿宋" w:hAnsi="仿宋" w:eastAsia="仿宋" w:cs="宋体"/>
                <w:color w:val="000000"/>
                <w:kern w:val="0"/>
                <w:sz w:val="24"/>
                <w:szCs w:val="24"/>
              </w:rPr>
              <w:t>（%）</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股数</w:t>
            </w:r>
          </w:p>
          <w:p>
            <w:pPr>
              <w:jc w:val="center"/>
              <w:rPr>
                <w:rFonts w:ascii="仿宋" w:hAnsi="仿宋" w:eastAsia="仿宋"/>
                <w:color w:val="000000"/>
                <w:sz w:val="24"/>
                <w:szCs w:val="24"/>
              </w:rPr>
            </w:pPr>
            <w:r>
              <w:rPr>
                <w:rFonts w:hint="eastAsia" w:ascii="仿宋" w:hAnsi="仿宋" w:eastAsia="仿宋" w:cs="宋体"/>
                <w:color w:val="000000"/>
                <w:kern w:val="0"/>
                <w:sz w:val="24"/>
                <w:szCs w:val="24"/>
              </w:rPr>
              <w:t>（</w:t>
            </w:r>
            <w:r>
              <w:rPr>
                <w:rFonts w:hint="eastAsia" w:ascii="仿宋" w:hAnsi="仿宋" w:eastAsia="仿宋"/>
                <w:color w:val="000000"/>
                <w:kern w:val="0"/>
                <w:sz w:val="24"/>
                <w:szCs w:val="24"/>
              </w:rPr>
              <w:t>万股</w:t>
            </w:r>
            <w:r>
              <w:rPr>
                <w:rFonts w:hint="eastAsia" w:ascii="仿宋" w:hAnsi="仿宋" w:eastAsia="仿宋" w:cs="宋体"/>
                <w:color w:val="000000"/>
                <w:kern w:val="0"/>
                <w:sz w:val="24"/>
                <w:szCs w:val="24"/>
              </w:rPr>
              <w:t>）</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占总股本比例</w:t>
            </w:r>
            <w:r>
              <w:rPr>
                <w:rFonts w:hint="eastAsia" w:ascii="仿宋" w:hAnsi="仿宋" w:eastAsia="仿宋"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合计持有股份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其中：无限售条</w:t>
            </w:r>
            <w:r>
              <w:rPr>
                <w:rFonts w:hint="eastAsia" w:ascii="仿宋" w:hAnsi="仿宋" w:eastAsia="仿宋"/>
                <w:color w:val="000000"/>
                <w:sz w:val="24"/>
                <w:szCs w:val="24"/>
                <w:lang w:val="en-US" w:eastAsia="zh-CN"/>
              </w:rPr>
              <w:t xml:space="preserve"> </w:t>
            </w:r>
          </w:p>
          <w:p>
            <w:pPr>
              <w:jc w:val="center"/>
              <w:rPr>
                <w:rFonts w:ascii="仿宋" w:hAnsi="仿宋" w:eastAsia="仿宋"/>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件股份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olor w:val="000000"/>
                <w:sz w:val="24"/>
                <w:szCs w:val="24"/>
              </w:rPr>
            </w:pPr>
            <w:r>
              <w:rPr>
                <w:rFonts w:hint="eastAsia" w:ascii="仿宋" w:hAnsi="仿宋" w:eastAsia="仿宋"/>
                <w:color w:val="000000"/>
                <w:sz w:val="24"/>
                <w:szCs w:val="24"/>
              </w:rPr>
              <w:t xml:space="preserve">     有限售条</w:t>
            </w:r>
          </w:p>
          <w:p>
            <w:pPr>
              <w:jc w:val="center"/>
              <w:rPr>
                <w:rFonts w:ascii="仿宋" w:hAnsi="仿宋" w:eastAsia="仿宋"/>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件股份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二、其他相关说明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 xml:space="preserve"> 明确说明本次减持是否遵守相关法律法规、本所业务规则的规定。若存在违规行为，应当说明违规的具体情况、整改计划和处理措施。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明确说明本次减持是否与股东此前已披露的意向、减持计划一致，以及存在差异的原因（如适用）；若存在违规行为，应当说明违规的具体情况、整改计划和处理措施。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股东在《招股说明书》《收购报告书》等文件或公告中作出最低减持价格、最高减持数量等承诺的，应当说明相关承诺的具体情况，并明确说明本次减持是否存在违反承诺的情形。</w:t>
      </w:r>
    </w:p>
    <w:p>
      <w:pPr>
        <w:tabs>
          <w:tab w:val="left" w:pos="1800"/>
          <w:tab w:val="left" w:pos="1980"/>
        </w:tabs>
        <w:spacing w:line="560" w:lineRule="exact"/>
        <w:ind w:firstLine="640" w:firstLineChars="200"/>
        <w:jc w:val="righ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hint="eastAsia"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相关股东减持情况说明。</w:t>
      </w:r>
    </w:p>
    <w:p>
      <w:pPr>
        <w:widowControl/>
        <w:spacing w:beforeAutospacing="1" w:afterAutospacing="1"/>
        <w:jc w:val="left"/>
        <w:rPr>
          <w:rFonts w:ascii="仿宋" w:hAnsi="仿宋" w:eastAsia="仿宋"/>
          <w:b/>
          <w:kern w:val="0"/>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87" w:name="_Toc25001"/>
      <w:bookmarkStart w:id="88" w:name="_Toc164973724"/>
      <w:bookmarkStart w:id="89" w:name="_Toc28808"/>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上市公司股东追加承诺公告格式</w:t>
      </w:r>
      <w:bookmarkEnd w:id="87"/>
      <w:bookmarkEnd w:id="88"/>
      <w:bookmarkEnd w:id="89"/>
    </w:p>
    <w:p>
      <w:pPr>
        <w:spacing w:line="560" w:lineRule="exact"/>
        <w:jc w:val="center"/>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上市公司股东追加承诺时，适用本格式。上市公司应在发布公告同时，及时将股东追加的承诺录入系统“承诺事项管理”模块中。</w:t>
      </w:r>
    </w:p>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 xml:space="preserve">证券代码：  </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公告编号：</w:t>
      </w:r>
    </w:p>
    <w:p>
      <w:pPr>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XXXXXX股份有限公司股东追加承诺公告</w:t>
      </w:r>
    </w:p>
    <w:p>
      <w:pPr>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47625</wp:posOffset>
                </wp:positionV>
                <wp:extent cx="5486400" cy="1029970"/>
                <wp:effectExtent l="5080" t="5080" r="13970" b="12700"/>
                <wp:wrapNone/>
                <wp:docPr id="92" name="矩形 92"/>
                <wp:cNvGraphicFramePr/>
                <a:graphic xmlns:a="http://schemas.openxmlformats.org/drawingml/2006/main">
                  <a:graphicData uri="http://schemas.microsoft.com/office/word/2010/wordprocessingShape">
                    <wps:wsp>
                      <wps:cNvSpPr>
                        <a:spLocks noChangeArrowheads="1"/>
                      </wps:cNvSpPr>
                      <wps:spPr bwMode="auto">
                        <a:xfrm>
                          <a:off x="0" y="0"/>
                          <a:ext cx="5486400" cy="1352550"/>
                        </a:xfrm>
                        <a:prstGeom prst="rect">
                          <a:avLst/>
                        </a:prstGeom>
                        <a:solidFill>
                          <a:srgbClr val="FFFFFF"/>
                        </a:solidFill>
                        <a:ln w="9525">
                          <a:solidFill>
                            <a:srgbClr val="000000"/>
                          </a:solidFill>
                          <a:miter lim="800000"/>
                        </a:ln>
                        <a:effectLst/>
                      </wps:spPr>
                      <wps:txbx>
                        <w:txbxContent>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3.75pt;height:81.1pt;width:432pt;z-index:251671552;mso-width-relative:page;mso-height-relative:page;" fillcolor="#FFFFFF" filled="t" stroked="t" coordsize="21600,21600" o:gfxdata="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NpHXAAAACQEAAA8AAAAAAAAAAQAgAAAAIgAAAGRy&#10;cy9kb3ducmV2LnhtbFBLAQIUABQAAAAIAIdO4kDEsLUHPwIAAIsEAAAOAAAAAAAAAAEAIAAAACYB&#10;AABkcnMvZTJvRG9jLnhtbFBLBQYAAAAABgAGAFkBAADXBQAAAAA=&#10;">
                <v:fill on="t" focussize="0,0"/>
                <v:stroke color="#000000" miterlimit="8" joinstyle="miter"/>
                <v:imagedata o:title=""/>
                <o:lock v:ext="edit" aspectratio="f"/>
                <v:textbox>
                  <w:txbxContent>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一、追加承诺股东基本情况介绍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追加承诺股东为法人的，说明股东的名称、注册地址、注册资本、法定代表人、经营范围等相关信息；追加承诺股东为自然人的，说明追加承诺股东的姓名，是否在上市公司担任董事或者高级管理人员。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追加承诺股东持有上市公司股份的情况：</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040"/>
        <w:gridCol w:w="1007"/>
        <w:gridCol w:w="2169"/>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股份类别</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股数</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(万股)</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占总股本比例(%)</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s="宋体"/>
                <w:color w:val="000000"/>
                <w:kern w:val="0"/>
                <w:sz w:val="24"/>
                <w:szCs w:val="24"/>
              </w:rPr>
              <w:t>限售情况的说明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无限售条件股份</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解限时间说明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有限售条件股份</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限售期限说明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合计：</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追加承诺股东最近十二个月累计减持情况</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3174"/>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股东名称</w:t>
            </w: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减持股数(万股)</w:t>
            </w:r>
          </w:p>
        </w:tc>
        <w:tc>
          <w:tcPr>
            <w:tcW w:w="3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71"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p>
        </w:tc>
        <w:tc>
          <w:tcPr>
            <w:tcW w:w="3376"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71"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p>
        </w:tc>
        <w:tc>
          <w:tcPr>
            <w:tcW w:w="3376"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二、此次追加承诺的主要内容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股东延长限售期承诺的主要内容：</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23"/>
        <w:gridCol w:w="1116"/>
        <w:gridCol w:w="930"/>
        <w:gridCol w:w="1023"/>
        <w:gridCol w:w="1193"/>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追加承诺股份性质</w:t>
            </w:r>
          </w:p>
        </w:tc>
        <w:tc>
          <w:tcPr>
            <w:tcW w:w="213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追加承诺涉及股份</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原限售截止日</w:t>
            </w:r>
          </w:p>
        </w:tc>
        <w:tc>
          <w:tcPr>
            <w:tcW w:w="102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延长限售期限（年）</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延长限售期后的截止日</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设定的最低减持价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股数</w:t>
            </w:r>
          </w:p>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(万股)</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占总股本比例(%)</w:t>
            </w: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rPr>
                <w:rFonts w:ascii="仿宋" w:hAnsi="仿宋" w:eastAsia="仿宋"/>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涉及最低减持价格的追加承诺的，追加承诺股东应当合理确定最低减持价格；最低减持价格与当前市场价格差别较大的，追加承诺股东应当作出特别说明。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违反承诺的</w:t>
      </w:r>
      <w:r>
        <w:rPr>
          <w:rFonts w:hint="eastAsia" w:ascii="仿宋" w:hAnsi="仿宋" w:eastAsia="仿宋"/>
          <w:color w:val="000000"/>
          <w:sz w:val="32"/>
          <w:szCs w:val="32"/>
          <w:lang w:eastAsia="zh-CN"/>
        </w:rPr>
        <w:t>违约</w:t>
      </w:r>
      <w:r>
        <w:rPr>
          <w:rFonts w:hint="eastAsia" w:ascii="仿宋" w:hAnsi="仿宋" w:eastAsia="仿宋"/>
          <w:color w:val="000000"/>
          <w:sz w:val="32"/>
          <w:szCs w:val="32"/>
        </w:rPr>
        <w:t>条款。违约条款应当可操作性强，易于执行，便于上市公司董事会的监督，如规定违反承诺减持股份的所得全部或者一定比例上缴上市公司，并承担一定比例的违约金等。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追加承诺的其他内容。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三、上市公司董事会的责任</w:t>
      </w:r>
    </w:p>
    <w:p>
      <w:pPr>
        <w:adjustRightInd/>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上市公司董事会应明确披露并及时督促追加承诺股东严格遵守承诺</w:t>
      </w:r>
      <w:r>
        <w:rPr>
          <w:rFonts w:hint="eastAsia" w:ascii="仿宋" w:hAnsi="仿宋" w:eastAsia="仿宋"/>
          <w:color w:val="000000"/>
          <w:sz w:val="32"/>
          <w:szCs w:val="32"/>
          <w:lang w:eastAsia="zh-CN"/>
        </w:rPr>
        <w:t>。</w:t>
      </w:r>
      <w:r>
        <w:rPr>
          <w:rFonts w:hint="eastAsia" w:ascii="仿宋" w:hAnsi="仿宋" w:eastAsia="仿宋"/>
          <w:color w:val="000000"/>
          <w:sz w:val="32"/>
          <w:szCs w:val="32"/>
        </w:rPr>
        <w:t>对于违反承诺减持股份的，上市公司董事会应当主动、及时要求违反承诺的相关股东履行违约责任。对于承诺延长持有期的，上市公司将于两个工作日内在中国结算深圳</w:t>
      </w:r>
      <w:r>
        <w:rPr>
          <w:rFonts w:hint="eastAsia" w:ascii="仿宋" w:hAnsi="仿宋" w:eastAsia="仿宋"/>
          <w:color w:val="000000"/>
          <w:sz w:val="32"/>
          <w:szCs w:val="32"/>
          <w:highlight w:val="none"/>
          <w:lang w:eastAsia="zh-CN"/>
        </w:rPr>
        <w:t>分</w:t>
      </w:r>
      <w:r>
        <w:rPr>
          <w:rFonts w:hint="eastAsia" w:ascii="仿宋" w:hAnsi="仿宋" w:eastAsia="仿宋"/>
          <w:color w:val="000000"/>
          <w:sz w:val="32"/>
          <w:szCs w:val="32"/>
        </w:rPr>
        <w:t>公司办理变更股份性质的相关手续。</w:t>
      </w:r>
    </w:p>
    <w:p>
      <w:pPr>
        <w:adjustRightInd w:val="0"/>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beforeAutospacing="0" w:afterAutospacing="0" w:line="560" w:lineRule="exact"/>
        <w:ind w:right="360" w:firstLine="4160"/>
        <w:jc w:val="right"/>
        <w:rPr>
          <w:rFonts w:ascii="仿宋" w:hAnsi="仿宋" w:eastAsia="仿宋"/>
          <w:b/>
          <w:kern w:val="0"/>
          <w:sz w:val="32"/>
          <w:szCs w:val="32"/>
        </w:rPr>
      </w:pPr>
      <w:r>
        <w:rPr>
          <w:rFonts w:hint="eastAsia" w:ascii="仿宋" w:hAnsi="仿宋" w:eastAsia="仿宋"/>
          <w:sz w:val="32"/>
          <w:szCs w:val="32"/>
        </w:rPr>
        <w:t>XXXX年XX月XX日</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股东追加承诺的正式文件；</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2. 上市公司股东追加承诺申请表</w:t>
      </w:r>
      <w:r>
        <w:rPr>
          <w:rFonts w:hint="eastAsia" w:ascii="仿宋" w:hAnsi="仿宋" w:eastAsia="仿宋"/>
          <w:color w:val="000000"/>
          <w:sz w:val="32"/>
          <w:szCs w:val="32"/>
          <w:lang w:eastAsia="zh"/>
        </w:rPr>
        <w:t>。</w:t>
      </w:r>
    </w:p>
    <w:p>
      <w:pPr>
        <w:pStyle w:val="2"/>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90" w:name="_Toc164973725"/>
      <w:bookmarkStart w:id="91" w:name="_Toc18227"/>
      <w:bookmarkStart w:id="92" w:name="_Toc32567"/>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上市公司可转债赎回实施公告格式</w:t>
      </w:r>
      <w:bookmarkEnd w:id="90"/>
      <w:bookmarkEnd w:id="91"/>
      <w:bookmarkEnd w:id="92"/>
    </w:p>
    <w:p>
      <w:pPr>
        <w:spacing w:line="560" w:lineRule="exact"/>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2080" w:firstLineChars="650"/>
        <w:rPr>
          <w:rFonts w:ascii="仿宋" w:hAnsi="仿宋" w:eastAsia="仿宋"/>
          <w:color w:val="000000"/>
          <w:sz w:val="32"/>
          <w:szCs w:val="32"/>
        </w:rPr>
      </w:pPr>
      <w:r>
        <w:rPr>
          <w:rFonts w:hint="eastAsia" w:ascii="仿宋" w:hAnsi="仿宋" w:eastAsia="仿宋"/>
          <w:color w:val="000000"/>
          <w:sz w:val="32"/>
          <w:szCs w:val="32"/>
        </w:rPr>
        <w:t xml:space="preserve">转债代码：        转债简称：        </w:t>
      </w:r>
    </w:p>
    <w:p>
      <w:pPr>
        <w:autoSpaceDE w:val="0"/>
        <w:autoSpaceDN w:val="0"/>
        <w:adjustRightInd w:val="0"/>
        <w:spacing w:line="560" w:lineRule="exact"/>
        <w:ind w:right="360"/>
        <w:jc w:val="center"/>
        <w:rPr>
          <w:rFonts w:ascii="仿宋" w:hAnsi="仿宋" w:eastAsia="仿宋"/>
          <w:color w:val="000000"/>
          <w:sz w:val="32"/>
          <w:szCs w:val="32"/>
        </w:rPr>
      </w:pPr>
      <w:r>
        <w:rPr>
          <w:rFonts w:hint="eastAsia" w:ascii="仿宋" w:hAnsi="仿宋" w:eastAsia="仿宋"/>
          <w:color w:val="000000"/>
          <w:sz w:val="32"/>
          <w:szCs w:val="32"/>
        </w:rPr>
        <w:t>XXXXXX股份有限公司可转债赎回实施公告</w:t>
      </w:r>
    </w:p>
    <w:p>
      <w:pPr>
        <w:autoSpaceDE w:val="0"/>
        <w:autoSpaceDN w:val="0"/>
        <w:adjustRightInd w:val="0"/>
        <w:spacing w:line="560" w:lineRule="exact"/>
        <w:ind w:right="360"/>
        <w:jc w:val="center"/>
        <w:rPr>
          <w:rFonts w:ascii="仿宋" w:hAnsi="仿宋" w:eastAsia="仿宋"/>
          <w:b/>
          <w:color w:val="000000"/>
          <w:sz w:val="32"/>
          <w:szCs w:val="32"/>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85725</wp:posOffset>
                </wp:positionV>
                <wp:extent cx="5638800" cy="1609725"/>
                <wp:effectExtent l="4445" t="4445" r="14605" b="5080"/>
                <wp:wrapNone/>
                <wp:docPr id="91" name="矩形 91"/>
                <wp:cNvGraphicFramePr/>
                <a:graphic xmlns:a="http://schemas.openxmlformats.org/drawingml/2006/main">
                  <a:graphicData uri="http://schemas.microsoft.com/office/word/2010/wordprocessingShape">
                    <wps:wsp>
                      <wps:cNvSpPr>
                        <a:spLocks noChangeArrowheads="1"/>
                      </wps:cNvSpPr>
                      <wps:spPr bwMode="auto">
                        <a:xfrm>
                          <a:off x="0" y="0"/>
                          <a:ext cx="5638800" cy="16097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5pt;height:126.75pt;width:444pt;z-index:251673600;mso-width-relative:page;mso-height-relative:page;" fillcolor="#FFFFFF" filled="t" stroked="t" coordsize="21600,21600" o:gfxdata="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BymJ9gAAAAKAQAADwAAAAAAAAABACAAAAAiAAAAZHJz&#10;L2Rvd25yZXYueG1sUEsBAhQAFAAAAAgAh07iQPSkJes9AgAAiwQAAA4AAAAAAAAAAQAgAAAAJwEA&#10;AGRycy9lMm9Eb2MueG1sUEsFBgAAAAAGAAYAWQEAANY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jc w:val="center"/>
        <w:rPr>
          <w:rFonts w:ascii="仿宋" w:hAnsi="仿宋" w:eastAsia="仿宋"/>
          <w:b/>
          <w:color w:val="000000"/>
          <w:sz w:val="32"/>
          <w:szCs w:val="32"/>
        </w:rPr>
      </w:pPr>
    </w:p>
    <w:p>
      <w:pPr>
        <w:spacing w:line="560" w:lineRule="exact"/>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widowControl/>
        <w:spacing w:line="560" w:lineRule="exact"/>
        <w:ind w:left="1078"/>
        <w:jc w:val="left"/>
        <w:rPr>
          <w:rFonts w:ascii="仿宋" w:hAnsi="仿宋" w:eastAsia="仿宋" w:cs="Tahoma"/>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可转债赎回日：XXXX年XX月XX日；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 可转债赎回价格：XXX元/张（是否含息税）。</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 可转债赎回资金到账日：XXXX年XX月XX日。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4. 可转债停止交易日：XXXX年XX月XX日。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5. 可转债停止转股日：XXXX年XX月XX日。</w:t>
      </w:r>
    </w:p>
    <w:p>
      <w:pPr>
        <w:widowControl/>
        <w:spacing w:line="560" w:lineRule="exact"/>
        <w:ind w:firstLine="640" w:firstLineChars="200"/>
        <w:rPr>
          <w:rFonts w:ascii="仿宋" w:hAnsi="仿宋" w:eastAsia="仿宋"/>
          <w:b/>
          <w:color w:val="000000"/>
          <w:sz w:val="32"/>
          <w:szCs w:val="32"/>
        </w:rPr>
      </w:pPr>
      <w:r>
        <w:rPr>
          <w:rFonts w:hint="eastAsia" w:ascii="仿宋" w:hAnsi="仿宋" w:eastAsia="仿宋"/>
          <w:kern w:val="0"/>
          <w:sz w:val="32"/>
          <w:szCs w:val="32"/>
        </w:rPr>
        <w:t>6. 根据安排，截至XXXX年XX月XX日收市后仍未转股的XX转债,将被强制赎回，特提醒XX转债持券人注意在限期内转股。</w:t>
      </w:r>
      <w:r>
        <w:rPr>
          <w:rFonts w:hint="eastAsia" w:ascii="仿宋" w:hAnsi="仿宋" w:eastAsia="仿宋"/>
          <w:b/>
          <w:color w:val="000000"/>
          <w:sz w:val="32"/>
          <w:szCs w:val="32"/>
        </w:rPr>
        <w:t xml:space="preserve"> </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投资者不符合创业板股票适当性管理要求的，不能将所持XX转债转换为股票，特提请投资者关注不能转股的风险。</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一、赎回情况概述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触发赎回情形: 简要说明导致可转债赎回条件满足的情况；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赎回条款：说明《可转债募集说明书》相关赎回条款所约定的赎回条件。</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二、赎回实施安排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赎回价格（是否含息税）及赎回价格的确定依据。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赎回对象。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赎回程序及时间安排。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说明赎回日及停止交易和转股的安排事宜。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说明赎回资金到</w:t>
      </w:r>
      <w:r>
        <w:rPr>
          <w:rFonts w:hint="eastAsia" w:ascii="仿宋" w:hAnsi="仿宋" w:eastAsia="仿宋"/>
          <w:color w:val="000000"/>
          <w:sz w:val="32"/>
          <w:szCs w:val="32"/>
          <w:lang w:eastAsia="zh-CN"/>
        </w:rPr>
        <w:t>账</w:t>
      </w:r>
      <w:r>
        <w:rPr>
          <w:rFonts w:hint="eastAsia" w:ascii="仿宋" w:hAnsi="仿宋" w:eastAsia="仿宋"/>
          <w:color w:val="000000"/>
          <w:sz w:val="32"/>
          <w:szCs w:val="32"/>
        </w:rPr>
        <w:t>日，包括本次赎回资金划款时间、划账方式等安排事宜。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4．其他事宜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说明本次赎回的公告安排、联系人、联系方式等事宜。 </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三、其他需说明的事项</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93" w:name="_Toc164973726"/>
      <w:bookmarkStart w:id="94" w:name="_Toc20179"/>
      <w:bookmarkStart w:id="95" w:name="_Toc18933"/>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上市公司可转债赎回结果公告格式</w:t>
      </w:r>
      <w:bookmarkEnd w:id="93"/>
      <w:bookmarkEnd w:id="94"/>
      <w:bookmarkEnd w:id="95"/>
    </w:p>
    <w:p>
      <w:pPr>
        <w:spacing w:line="560" w:lineRule="exact"/>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360"/>
        <w:jc w:val="center"/>
        <w:rPr>
          <w:rFonts w:ascii="仿宋" w:hAnsi="仿宋" w:eastAsia="仿宋"/>
          <w:color w:val="000000"/>
          <w:sz w:val="32"/>
          <w:szCs w:val="32"/>
        </w:rPr>
      </w:pPr>
      <w:r>
        <w:rPr>
          <w:rFonts w:hint="eastAsia" w:ascii="仿宋" w:hAnsi="仿宋" w:eastAsia="仿宋"/>
          <w:color w:val="000000"/>
          <w:sz w:val="32"/>
          <w:szCs w:val="32"/>
        </w:rPr>
        <w:t xml:space="preserve">XXXXXX股份有限公司可转债赎回结果公告 </w:t>
      </w:r>
    </w:p>
    <w:p>
      <w:pPr>
        <w:autoSpaceDE w:val="0"/>
        <w:autoSpaceDN w:val="0"/>
        <w:adjustRightInd w:val="0"/>
        <w:spacing w:line="560" w:lineRule="exact"/>
        <w:ind w:right="360"/>
        <w:jc w:val="center"/>
        <w:rPr>
          <w:rFonts w:ascii="仿宋" w:hAnsi="仿宋" w:eastAsia="仿宋"/>
          <w:b/>
          <w:color w:val="000000"/>
          <w:sz w:val="32"/>
          <w:szCs w:val="32"/>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243840</wp:posOffset>
                </wp:positionV>
                <wp:extent cx="5715000" cy="1543050"/>
                <wp:effectExtent l="4445" t="5080" r="14605" b="13970"/>
                <wp:wrapNone/>
                <wp:docPr id="90" name="矩形 90"/>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9.2pt;height:121.5pt;width:450pt;z-index:251672576;mso-width-relative:page;mso-height-relative:page;" fillcolor="#FFFFFF" filled="t" stroked="t" coordsize="21600,21600" o:gfxdata="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fxI12AAAAAoBAAAPAAAAAAAAAAEAIAAAACIA&#10;AABkcnMvZG93bnJldi54bWxQSwECFAAUAAAACACHTuJA8hGfbUICAACL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jc w:val="center"/>
        <w:rPr>
          <w:rFonts w:ascii="仿宋" w:hAnsi="仿宋" w:eastAsia="仿宋"/>
          <w:b/>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widowControl/>
        <w:spacing w:line="560" w:lineRule="exact"/>
        <w:ind w:left="658"/>
        <w:jc w:val="left"/>
        <w:rPr>
          <w:rFonts w:ascii="仿宋" w:hAnsi="仿宋" w:eastAsia="仿宋" w:cs="Tahoma"/>
          <w:color w:val="000000"/>
          <w:kern w:val="0"/>
          <w:sz w:val="32"/>
          <w:szCs w:val="32"/>
        </w:rPr>
      </w:pPr>
    </w:p>
    <w:p>
      <w:pPr>
        <w:widowControl/>
        <w:spacing w:line="560" w:lineRule="exact"/>
        <w:ind w:left="535"/>
        <w:jc w:val="lef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简述公司可转债发行、上市、本次赎回起因、赎回时间、赎回过程等情况。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二、赎回结果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说明本次赎回结果，包括赎回价格、已赎回债券数量、剩余债券数量(部分赎回适用)、支付赎回款金额等情况。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三、赎回影响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说明本次赎回对公司财务状况和经营成果的影响。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说明本次赎回行为对公司本次债券募集资金投入使用的影响。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说明本次赎回行为是否将导致债券</w:t>
      </w:r>
      <w:r>
        <w:rPr>
          <w:rFonts w:hint="eastAsia" w:ascii="仿宋" w:hAnsi="仿宋" w:eastAsia="仿宋"/>
          <w:color w:val="000000"/>
          <w:sz w:val="32"/>
          <w:szCs w:val="32"/>
          <w:lang w:eastAsia="zh-CN"/>
        </w:rPr>
        <w:t>不具备上市条件而面临</w:t>
      </w:r>
      <w:r>
        <w:rPr>
          <w:rFonts w:hint="eastAsia" w:ascii="仿宋" w:hAnsi="仿宋" w:eastAsia="仿宋"/>
          <w:color w:val="000000"/>
          <w:sz w:val="32"/>
          <w:szCs w:val="32"/>
        </w:rPr>
        <w:t>摘牌。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说明其他影响。</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四、摘牌安排（如适用）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（适用全部赎回情形或部分赎回导致不满足债券上市条件的情形）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说明摘牌日期安排等事宜。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五、最新股本结构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按照《公开发行证券的公司信息披露内容与格式准则——第5号 公司股份变动报告的内容与格式》中的附表2“股份变动情况表”，披露公司截至日前最新的股本结构情况。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六、其他事项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其他需说明的事项。</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96" w:name="_Toc910"/>
      <w:bookmarkStart w:id="97" w:name="_Toc164973727"/>
      <w:bookmarkStart w:id="98" w:name="_Toc4521"/>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上市公司股权激励计划股票期权行权情况公告格式</w:t>
      </w:r>
      <w:bookmarkEnd w:id="96"/>
      <w:bookmarkEnd w:id="97"/>
      <w:bookmarkEnd w:id="98"/>
    </w:p>
    <w:p>
      <w:pPr>
        <w:autoSpaceDE w:val="0"/>
        <w:autoSpaceDN w:val="0"/>
        <w:adjustRightInd w:val="0"/>
        <w:spacing w:line="560" w:lineRule="exact"/>
        <w:jc w:val="center"/>
        <w:rPr>
          <w:rFonts w:ascii="仿宋" w:hAnsi="仿宋" w:eastAsia="仿宋"/>
          <w:b/>
          <w:bCs/>
          <w:color w:val="000000"/>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napToGrid w:val="0"/>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创业板上市公司（以下简称上市公司）授予激励对象股票期权，采用集中行权模式完成行权的，需履行信息披露义务，适用本公告格式。</w:t>
      </w:r>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bCs/>
          <w:color w:val="000000"/>
          <w:sz w:val="32"/>
          <w:szCs w:val="32"/>
        </w:rPr>
      </w:pPr>
      <w:r>
        <w:rPr>
          <w:rFonts w:hint="eastAsia" w:ascii="仿宋" w:hAnsi="仿宋" w:eastAsia="仿宋"/>
          <w:color w:val="000000"/>
          <w:sz w:val="32"/>
          <w:szCs w:val="32"/>
        </w:rPr>
        <w:t xml:space="preserve"> </w:t>
      </w:r>
      <w:r>
        <w:rPr>
          <w:rFonts w:hint="eastAsia" w:ascii="仿宋" w:hAnsi="仿宋" w:eastAsia="仿宋"/>
          <w:bCs/>
          <w:color w:val="000000"/>
          <w:sz w:val="32"/>
          <w:szCs w:val="32"/>
        </w:rPr>
        <w:t>XXXXXX股份有限公司股权激励计划股票期权行权情况公告</w:t>
      </w:r>
    </w:p>
    <w:p>
      <w:pPr>
        <w:autoSpaceDE w:val="0"/>
        <w:autoSpaceDN w:val="0"/>
        <w:adjustRightInd w:val="0"/>
        <w:spacing w:line="560" w:lineRule="exact"/>
        <w:ind w:right="360"/>
        <w:jc w:val="center"/>
        <w:rPr>
          <w:rFonts w:ascii="仿宋" w:hAnsi="仿宋" w:eastAsia="仿宋"/>
          <w:color w:val="000000"/>
          <w:sz w:val="32"/>
          <w:szCs w:val="32"/>
        </w:rPr>
      </w:pPr>
      <w:r>
        <mc:AlternateContent>
          <mc:Choice Requires="wps">
            <w:drawing>
              <wp:anchor distT="0" distB="0" distL="114300" distR="114300" simplePos="0" relativeHeight="251697152" behindDoc="0" locked="0" layoutInCell="1" allowOverlap="1">
                <wp:simplePos x="0" y="0"/>
                <wp:positionH relativeFrom="column">
                  <wp:posOffset>-104775</wp:posOffset>
                </wp:positionH>
                <wp:positionV relativeFrom="paragraph">
                  <wp:posOffset>15240</wp:posOffset>
                </wp:positionV>
                <wp:extent cx="5715000" cy="1543050"/>
                <wp:effectExtent l="4445" t="5080" r="14605" b="13970"/>
                <wp:wrapNone/>
                <wp:docPr id="87" name="矩形 87"/>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1.2pt;height:121.5pt;width:450pt;z-index:251697152;mso-width-relative:page;mso-height-relative:page;" fillcolor="#FFFFFF" filled="t" stroked="t" coordsize="21600,21600" o:gfxdata="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D/jhb1wAAAAkBAAAPAAAAAAAAAAEAIAAAACIA&#10;AABkcnMvZG93bnJldi54bWxQSwECFAAUAAAACACHTuJAkMLVDU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股权激励计划简介。说明股权激励计划经董事会、股东会审批通过的时间，股权激励方案的主要内容，包括股份来源、股票期权数量、分期行权时间、行权价格等。</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股票期权授予情况。说明股票期权历次授予履行的审批程序、授予时间、授予对象及授予数量。</w:t>
      </w:r>
    </w:p>
    <w:p>
      <w:pPr>
        <w:adjustRightInd w:val="0"/>
        <w:spacing w:line="560" w:lineRule="exact"/>
        <w:ind w:firstLine="822" w:firstLineChars="257"/>
        <w:rPr>
          <w:rFonts w:hint="eastAsia" w:ascii="仿宋" w:hAnsi="仿宋" w:eastAsia="仿宋"/>
          <w:color w:val="000000"/>
          <w:sz w:val="32"/>
          <w:szCs w:val="32"/>
        </w:rPr>
      </w:pPr>
      <w:r>
        <w:rPr>
          <w:rFonts w:hint="eastAsia" w:ascii="仿宋" w:hAnsi="仿宋" w:eastAsia="仿宋"/>
          <w:color w:val="000000"/>
          <w:sz w:val="32"/>
          <w:szCs w:val="32"/>
        </w:rPr>
        <w:t>3. 期权数量及行权价格的历次变动情况（如有）。说明历次因激励对象工作或职务变动、标的股票除权除息、行权等原因激励对象、期权数量、行权价格发生变动的情况。已授予股票期权和预留股票期权的变动情况应分开说明，其中已授予股票期权的变动情况还应按下列格式列表说明。</w:t>
      </w:r>
    </w:p>
    <w:p>
      <w:pPr>
        <w:adjustRightInd w:val="0"/>
        <w:spacing w:line="560" w:lineRule="exact"/>
        <w:ind w:firstLine="567"/>
        <w:jc w:val="center"/>
        <w:rPr>
          <w:rFonts w:ascii="仿宋" w:hAnsi="仿宋" w:eastAsia="仿宋"/>
          <w:b/>
          <w:sz w:val="24"/>
          <w:szCs w:val="24"/>
        </w:rPr>
      </w:pPr>
      <w:r>
        <w:rPr>
          <w:rFonts w:hint="eastAsia" w:ascii="仿宋" w:hAnsi="仿宋" w:eastAsia="仿宋"/>
          <w:b/>
          <w:sz w:val="24"/>
          <w:szCs w:val="24"/>
        </w:rPr>
        <w:t>已授予股票期权历次变动情况一览表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927"/>
        <w:gridCol w:w="1374"/>
        <w:gridCol w:w="1110"/>
        <w:gridCol w:w="1101"/>
        <w:gridCol w:w="110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变动</w:t>
            </w:r>
          </w:p>
          <w:p>
            <w:pPr>
              <w:adjustRightInd w:val="0"/>
              <w:jc w:val="center"/>
              <w:rPr>
                <w:rFonts w:ascii="仿宋" w:hAnsi="仿宋" w:eastAsia="仿宋"/>
                <w:b/>
                <w:sz w:val="24"/>
                <w:szCs w:val="24"/>
              </w:rPr>
            </w:pPr>
            <w:r>
              <w:rPr>
                <w:rFonts w:hint="eastAsia" w:ascii="仿宋" w:hAnsi="仿宋" w:eastAsia="仿宋"/>
                <w:b/>
                <w:sz w:val="24"/>
                <w:szCs w:val="24"/>
              </w:rPr>
              <w:t>日期</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该次行权数量</w:t>
            </w: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该次取消期权数量</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该次激励对象减少人数</w:t>
            </w:r>
          </w:p>
        </w:tc>
        <w:tc>
          <w:tcPr>
            <w:tcW w:w="651"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该次变动后期权数量（万份）</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该次变动后行权价格</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该次变动后激励对象人数</w:t>
            </w:r>
          </w:p>
        </w:tc>
        <w:tc>
          <w:tcPr>
            <w:tcW w:w="728"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变动原因简要说明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授予日</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r>
    </w:tbl>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填表说明：</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（1）第一行填写授予日的期权数量、行权价格和激励对象人数；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每发生一次变动，均应填写“该次变动后期权数量”、“该次变动后行权价格”和“该次变动后激励对象人数”，即上述三栏不得为空，最后一行上述三栏的数据反映的即是公司最新的已授予期权余额、行权价格和激励对象人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（3）变动日期通常应填报变动事项的公告日，但是分红送转引起变动的，变动日期应填报分红送转的股权登记日；</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该次行权数量”、“该次取消期权数量”、“该次激励对象减少人数”三个栏目反映每次变动的过程，每次变动共涉及几个栏目就应填写几个栏目，不涉及的栏目为空。“该次行权数量”栏目主要反映行权引起的已授予期权数量的减少；“该次取消期权数量”栏目主要反映激励对象离职或降职、公司未达到行权条件、激励对象绩效考核未达到行权条件等情况引起的已授予期权的作废、取消、注销等数量减少；“该次激励对象减少人数”栏目主要反映激励对象离职或降职导致的人数减少；</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（5）分红送转引起的变动，直接填报变动后的“期权数量”、“行权价格”和“激励对象人数”，无需在表格中填报变动数。</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4. 本次实施的激励计划与已披露激励计划是否存在差异，董事会关于差异情况以及重新履行的审批程序的情况说明。</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二、激励对象符合行权条件的情况说明</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以列表方式逐一说明本次激励对象行权是否符合激励计划规定的各项行权条件。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672"/>
        <w:gridCol w:w="3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9"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spacing w:line="560" w:lineRule="exact"/>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3673"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公司股票期权激励计划</w:t>
            </w:r>
          </w:p>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规定的行权条件</w:t>
            </w:r>
          </w:p>
        </w:tc>
        <w:tc>
          <w:tcPr>
            <w:tcW w:w="3756"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激励对象符合行权条件</w:t>
            </w:r>
          </w:p>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59" w:type="dxa"/>
            <w:tcBorders>
              <w:top w:val="single" w:color="auto" w:sz="4" w:space="0"/>
              <w:left w:val="single" w:color="auto" w:sz="12" w:space="0"/>
              <w:bottom w:val="single" w:color="auto" w:sz="4"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673" w:type="dxa"/>
            <w:tcBorders>
              <w:top w:val="single" w:color="auto" w:sz="4" w:space="0"/>
              <w:left w:val="single" w:color="auto" w:sz="4" w:space="0"/>
              <w:bottom w:val="single" w:color="auto" w:sz="4" w:space="0"/>
              <w:right w:val="single" w:color="auto" w:sz="4" w:space="0"/>
            </w:tcBorders>
            <w:vAlign w:val="center"/>
          </w:tcPr>
          <w:p>
            <w:pPr>
              <w:pStyle w:val="12"/>
              <w:spacing w:line="560" w:lineRule="exact"/>
              <w:ind w:left="420" w:firstLine="240" w:firstLineChars="100"/>
              <w:jc w:val="center"/>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4" w:space="0"/>
              <w:right w:val="single" w:color="auto" w:sz="12" w:space="0"/>
            </w:tcBorders>
          </w:tcPr>
          <w:p>
            <w:pPr>
              <w:pStyle w:val="12"/>
              <w:spacing w:line="560" w:lineRule="exact"/>
              <w:ind w:left="420"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59" w:type="dxa"/>
            <w:tcBorders>
              <w:top w:val="single" w:color="auto" w:sz="4" w:space="0"/>
              <w:left w:val="single" w:color="auto" w:sz="12" w:space="0"/>
              <w:bottom w:val="single" w:color="auto" w:sz="4"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673" w:type="dxa"/>
            <w:tcBorders>
              <w:top w:val="single" w:color="auto" w:sz="4" w:space="0"/>
              <w:left w:val="single" w:color="auto" w:sz="4" w:space="0"/>
              <w:bottom w:val="single" w:color="auto" w:sz="4" w:space="0"/>
              <w:right w:val="single" w:color="auto" w:sz="4" w:space="0"/>
            </w:tcBorders>
            <w:vAlign w:val="center"/>
          </w:tcPr>
          <w:p>
            <w:pPr>
              <w:pStyle w:val="12"/>
              <w:spacing w:line="560" w:lineRule="exact"/>
              <w:ind w:left="420" w:firstLine="240" w:firstLineChars="100"/>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4" w:space="0"/>
              <w:right w:val="single" w:color="auto" w:sz="12" w:space="0"/>
            </w:tcBorders>
            <w:vAlign w:val="center"/>
          </w:tcPr>
          <w:p>
            <w:pPr>
              <w:pStyle w:val="12"/>
              <w:spacing w:line="560" w:lineRule="exact"/>
              <w:ind w:left="420"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tcBorders>
              <w:top w:val="single" w:color="auto" w:sz="4" w:space="0"/>
              <w:left w:val="single" w:color="auto" w:sz="12" w:space="0"/>
              <w:bottom w:val="single" w:color="auto" w:sz="12"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673" w:type="dxa"/>
            <w:tcBorders>
              <w:top w:val="single" w:color="auto" w:sz="4" w:space="0"/>
              <w:left w:val="single" w:color="auto" w:sz="4" w:space="0"/>
              <w:bottom w:val="single" w:color="auto" w:sz="12" w:space="0"/>
              <w:right w:val="single" w:color="auto" w:sz="4" w:space="0"/>
            </w:tcBorders>
            <w:vAlign w:val="center"/>
          </w:tcPr>
          <w:p>
            <w:pPr>
              <w:pStyle w:val="12"/>
              <w:spacing w:line="560" w:lineRule="exact"/>
              <w:ind w:left="420" w:firstLine="240" w:firstLineChars="100"/>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12" w:space="0"/>
              <w:right w:val="single" w:color="auto" w:sz="12" w:space="0"/>
            </w:tcBorders>
            <w:vAlign w:val="center"/>
          </w:tcPr>
          <w:p>
            <w:pPr>
              <w:pStyle w:val="12"/>
              <w:spacing w:line="560" w:lineRule="exact"/>
              <w:ind w:left="420" w:firstLine="240" w:firstLineChars="100"/>
              <w:rPr>
                <w:rFonts w:ascii="仿宋" w:hAnsi="仿宋" w:eastAsia="仿宋" w:cs="宋体"/>
                <w:color w:val="000000"/>
                <w:sz w:val="24"/>
                <w:szCs w:val="24"/>
              </w:rPr>
            </w:pPr>
          </w:p>
        </w:tc>
      </w:tr>
    </w:tbl>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本次部分或全部激励对象未达到行权条件的，应说明对应股票期权的处理方式。</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3. 说明</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会对激励对象是否符合行权条件出具的核查意见。</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三、本次行权的股份数量、缴款情况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应以列表方式说明激励对象获授的股票期权数量、本次行权数量等情况，包括但不限于：激励对象姓名、职务、已获授予的股票期权数量、本次行权数量、本次行权数量占已获授予的股票期权数量的比例等，董事、高级管理人员，以及单独或合计持股5%以上股东或实际控制人及其配偶、父母、子女以及外籍员工需逐一披露，其他激励对象可汇总披露。</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本次股票期权行权股份的来源。</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3. 在资金缴纳、股份登记过程中，激励对象因离职、资金筹集不足等原因放弃权益的，明确说明激励对象发生变化的情况、放弃权益的处理方式。</w:t>
      </w:r>
    </w:p>
    <w:p>
      <w:pPr>
        <w:adjustRightInd w:val="0"/>
        <w:spacing w:line="560" w:lineRule="exact"/>
        <w:ind w:firstLine="822" w:firstLineChars="257"/>
        <w:rPr>
          <w:rFonts w:ascii="仿宋" w:hAnsi="仿宋" w:eastAsia="仿宋"/>
          <w:color w:val="000000"/>
          <w:sz w:val="32"/>
          <w:szCs w:val="32"/>
        </w:rPr>
      </w:pPr>
    </w:p>
    <w:tbl>
      <w:tblPr>
        <w:tblStyle w:val="28"/>
        <w:tblW w:w="820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1"/>
        <w:gridCol w:w="1080"/>
        <w:gridCol w:w="180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color w:val="000000"/>
                <w:kern w:val="0"/>
                <w:sz w:val="24"/>
                <w:szCs w:val="24"/>
              </w:rPr>
            </w:pPr>
            <w:r>
              <w:rPr>
                <w:rFonts w:hint="eastAsia" w:ascii="仿宋" w:hAnsi="仿宋" w:eastAsia="仿宋" w:cs="黑体"/>
                <w:b/>
                <w:color w:val="000000"/>
                <w:kern w:val="0"/>
                <w:sz w:val="24"/>
                <w:szCs w:val="24"/>
              </w:rPr>
              <w:t>序号</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color w:val="000000"/>
                <w:kern w:val="0"/>
                <w:sz w:val="24"/>
                <w:szCs w:val="24"/>
              </w:rPr>
            </w:pPr>
            <w:r>
              <w:rPr>
                <w:rFonts w:hint="eastAsia" w:ascii="仿宋" w:hAnsi="仿宋" w:eastAsia="仿宋" w:cs="黑体"/>
                <w:b/>
                <w:color w:val="000000"/>
                <w:kern w:val="0"/>
                <w:sz w:val="24"/>
                <w:szCs w:val="24"/>
              </w:rPr>
              <w:t>姓名</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cs="黑体"/>
                <w:b/>
                <w:color w:val="000000"/>
                <w:kern w:val="0"/>
                <w:sz w:val="24"/>
                <w:szCs w:val="24"/>
              </w:rPr>
              <w:t>职务</w:t>
            </w:r>
            <w:r>
              <w:rPr>
                <w:rFonts w:hint="eastAsia" w:ascii="仿宋" w:hAnsi="仿宋" w:eastAsia="仿宋" w:cs="宋体"/>
                <w:b/>
                <w:color w:val="000000"/>
                <w:kern w:val="0"/>
                <w:sz w:val="24"/>
                <w:szCs w:val="24"/>
                <w:vertAlign w:val="superscript"/>
              </w:rPr>
              <w:t>2</w:t>
            </w:r>
          </w:p>
        </w:tc>
        <w:tc>
          <w:tcPr>
            <w:tcW w:w="180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color w:val="000000"/>
                <w:sz w:val="24"/>
                <w:szCs w:val="24"/>
              </w:rPr>
            </w:pPr>
            <w:r>
              <w:rPr>
                <w:rFonts w:hint="eastAsia" w:ascii="仿宋" w:hAnsi="仿宋" w:eastAsia="仿宋" w:cs="黑体"/>
                <w:b/>
                <w:color w:val="000000"/>
                <w:kern w:val="0"/>
                <w:sz w:val="24"/>
                <w:szCs w:val="24"/>
              </w:rPr>
              <w:t>本次行权前持有的股票期权数量（万股）</w:t>
            </w:r>
          </w:p>
        </w:tc>
        <w:tc>
          <w:tcPr>
            <w:tcW w:w="144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color w:val="000000"/>
                <w:sz w:val="24"/>
                <w:szCs w:val="24"/>
              </w:rPr>
            </w:pPr>
            <w:r>
              <w:rPr>
                <w:rFonts w:hint="eastAsia" w:ascii="仿宋" w:hAnsi="仿宋" w:eastAsia="仿宋"/>
                <w:b/>
                <w:color w:val="000000"/>
                <w:sz w:val="24"/>
                <w:szCs w:val="24"/>
              </w:rPr>
              <w:t>本次行权数量（万股）</w:t>
            </w:r>
          </w:p>
        </w:tc>
        <w:tc>
          <w:tcPr>
            <w:tcW w:w="19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color w:val="000000"/>
                <w:sz w:val="24"/>
                <w:szCs w:val="24"/>
              </w:rPr>
            </w:pPr>
            <w:r>
              <w:rPr>
                <w:rFonts w:hint="eastAsia" w:ascii="仿宋" w:hAnsi="仿宋" w:eastAsia="仿宋"/>
                <w:b/>
                <w:color w:val="000000"/>
                <w:sz w:val="24"/>
                <w:szCs w:val="24"/>
              </w:rPr>
              <w:t>本次行权占股票期权激励计划已授予权益总量的百分比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注：1.具体包括持股5%以上股东或实际控制人及其配偶、父母、子女、外籍员工等；2.激励对象如为该类人员的，除在表格中说明其职务外，还应附注说明其特定身份。</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四、本次行权股份的上市流通安排</w:t>
      </w:r>
    </w:p>
    <w:p>
      <w:pPr>
        <w:adjustRightInd w:val="0"/>
        <w:spacing w:line="560" w:lineRule="exact"/>
        <w:ind w:firstLine="822" w:firstLineChars="257"/>
        <w:rPr>
          <w:rFonts w:ascii="仿宋" w:hAnsi="仿宋" w:eastAsia="仿宋"/>
          <w:sz w:val="32"/>
          <w:szCs w:val="32"/>
        </w:rPr>
      </w:pPr>
      <w:r>
        <w:rPr>
          <w:rFonts w:hint="eastAsia" w:ascii="仿宋" w:hAnsi="仿宋" w:eastAsia="仿宋"/>
          <w:color w:val="000000"/>
          <w:sz w:val="32"/>
          <w:szCs w:val="32"/>
        </w:rPr>
        <w:t>说明本次行权股份的上市流通安</w:t>
      </w:r>
      <w:r>
        <w:rPr>
          <w:rFonts w:hint="eastAsia" w:ascii="仿宋" w:hAnsi="仿宋" w:eastAsia="仿宋"/>
          <w:sz w:val="32"/>
          <w:szCs w:val="32"/>
        </w:rPr>
        <w:t>排、董事和高级管理人员本次行权股份的限售和转让限制等。</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五、验资及股份登记情况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说明本次行权资金的缴款时间和缴款金额,会计师事务所对本次行权事项验资的情况,以及相关股票在中国证券登记结算有限责任公司深圳分公司办理登记手续情况。</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六、本次行权募集资金的使用计划</w:t>
      </w:r>
    </w:p>
    <w:p>
      <w:pPr>
        <w:widowControl/>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说明本次行权募集资金的使用计划。</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七、本次行权后新增股份对上市公司的影响</w:t>
      </w:r>
    </w:p>
    <w:p>
      <w:pPr>
        <w:widowControl/>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1. 列表说明本次行权对上市公司股权结构的影响。</w:t>
      </w:r>
    </w:p>
    <w:p>
      <w:pPr>
        <w:widowControl/>
        <w:adjustRightInd w:val="0"/>
        <w:snapToGrid w:val="0"/>
        <w:spacing w:line="560" w:lineRule="exact"/>
        <w:ind w:firstLine="640" w:firstLineChars="200"/>
        <w:jc w:val="right"/>
        <w:rPr>
          <w:rFonts w:ascii="仿宋" w:hAnsi="仿宋" w:eastAsia="仿宋" w:cs="Arial"/>
          <w:color w:val="000000"/>
          <w:kern w:val="0"/>
          <w:sz w:val="32"/>
          <w:szCs w:val="32"/>
        </w:rPr>
      </w:pPr>
      <w:r>
        <w:rPr>
          <w:rFonts w:hint="eastAsia" w:ascii="仿宋" w:hAnsi="仿宋" w:eastAsia="仿宋" w:cs="Arial"/>
          <w:color w:val="000000"/>
          <w:kern w:val="0"/>
          <w:sz w:val="32"/>
          <w:szCs w:val="32"/>
        </w:rPr>
        <w:t>单位：股</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84"/>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变动前</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本次变动</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股份数量</w:t>
            </w: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r>
    </w:tbl>
    <w:p>
      <w:pPr>
        <w:widowControl/>
        <w:numPr>
          <w:ilvl w:val="0"/>
          <w:numId w:val="3"/>
        </w:numPr>
        <w:adjustRightInd w:val="0"/>
        <w:snapToGrid w:val="0"/>
        <w:spacing w:line="560" w:lineRule="exact"/>
        <w:ind w:firstLine="800" w:firstLineChars="250"/>
        <w:jc w:val="left"/>
        <w:rPr>
          <w:rFonts w:hint="eastAsia" w:ascii="仿宋" w:hAnsi="仿宋" w:eastAsia="仿宋"/>
          <w:color w:val="000000"/>
          <w:sz w:val="32"/>
          <w:szCs w:val="32"/>
        </w:rPr>
      </w:pPr>
      <w:r>
        <w:rPr>
          <w:rFonts w:hint="eastAsia" w:ascii="仿宋" w:hAnsi="仿宋" w:eastAsia="仿宋"/>
          <w:color w:val="000000"/>
          <w:sz w:val="32"/>
          <w:szCs w:val="32"/>
        </w:rPr>
        <w:t xml:space="preserve">说明本次股份变动后上市公司股本结构变动情况，按新股本计算的每股收益调整情况；是否导致上市公司股权分布不符合上市条件、是否导致公司控制权发生变化；若公司具有表决权差异安排，说明本次股本变动前后拥有特别表决权股份的股东在上市公司中拥有的表决权比例的变化情况。 </w:t>
      </w:r>
    </w:p>
    <w:p>
      <w:pPr>
        <w:widowControl/>
        <w:numPr>
          <w:ilvl w:val="0"/>
          <w:numId w:val="3"/>
        </w:numPr>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说明本次行权后对公司财务指标（每股收益等）的影响。</w:t>
      </w:r>
    </w:p>
    <w:p>
      <w:pPr>
        <w:widowControl/>
        <w:numPr>
          <w:ilvl w:val="0"/>
          <w:numId w:val="3"/>
        </w:numPr>
        <w:adjustRightInd w:val="0"/>
        <w:snapToGrid/>
        <w:spacing w:line="560" w:lineRule="exact"/>
        <w:ind w:firstLine="800" w:firstLineChars="250"/>
        <w:jc w:val="left"/>
        <w:rPr>
          <w:rFonts w:ascii="仿宋" w:hAnsi="仿宋" w:eastAsia="仿宋"/>
          <w:color w:val="000000"/>
          <w:sz w:val="32"/>
          <w:szCs w:val="32"/>
        </w:rPr>
      </w:pPr>
      <w:r>
        <w:rPr>
          <w:rFonts w:hint="eastAsia" w:ascii="仿宋" w:hAnsi="仿宋" w:eastAsia="仿宋"/>
          <w:sz w:val="32"/>
          <w:szCs w:val="32"/>
        </w:rPr>
        <w:t>因本次行权导致股东及其一致行动人拥有权益的股份比例被动触及或</w:t>
      </w:r>
      <w:r>
        <w:rPr>
          <w:rFonts w:hint="eastAsia" w:ascii="仿宋" w:hAnsi="仿宋" w:eastAsia="仿宋"/>
          <w:sz w:val="32"/>
          <w:szCs w:val="32"/>
          <w:lang w:eastAsia="zh-CN"/>
        </w:rPr>
        <w:t>者</w:t>
      </w:r>
      <w:r>
        <w:rPr>
          <w:rFonts w:hint="eastAsia" w:ascii="仿宋" w:hAnsi="仿宋" w:eastAsia="仿宋"/>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sz w:val="32"/>
          <w:szCs w:val="32"/>
        </w:rPr>
        <w:t>的，说明该股东及其一致行动人的持股数量和持股比例在股本变动前后的变化情况。</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八、律师关于本次行权的法律意见</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说明律师对本次行权合法有效性出具的法律意见书的结论性意见。</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九、其他需要说明的情况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其他未尽事宜的处理措施。</w:t>
      </w:r>
    </w:p>
    <w:p>
      <w:pPr>
        <w:adjustRightInd w:val="0"/>
        <w:spacing w:line="560" w:lineRule="exact"/>
        <w:ind w:firstLine="822" w:firstLineChars="257"/>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b/>
          <w:kern w:val="44"/>
          <w:sz w:val="32"/>
          <w:szCs w:val="32"/>
        </w:rPr>
      </w:pPr>
      <w:r>
        <w:rPr>
          <w:rFonts w:hint="eastAsia" w:ascii="仿宋" w:hAnsi="仿宋" w:eastAsia="仿宋"/>
          <w:sz w:val="32"/>
          <w:szCs w:val="32"/>
        </w:rPr>
        <w:t>XXXX年XX月XX日</w:t>
      </w:r>
      <w:r>
        <w:rPr>
          <w:rFonts w:hint="eastAsia" w:ascii="仿宋" w:hAnsi="仿宋" w:eastAsia="仿宋"/>
          <w:color w:val="000000"/>
          <w:sz w:val="32"/>
          <w:szCs w:val="32"/>
        </w:rPr>
        <w:t xml:space="preserve"> </w:t>
      </w:r>
    </w:p>
    <w:p>
      <w:pPr>
        <w:widowControl/>
        <w:spacing w:beforeAutospacing="1" w:afterAutospacing="1"/>
        <w:jc w:val="left"/>
        <w:rPr>
          <w:rFonts w:ascii="仿宋" w:hAnsi="仿宋" w:eastAsia="仿宋"/>
          <w:b/>
          <w:kern w:val="44"/>
          <w:sz w:val="32"/>
          <w:szCs w:val="32"/>
        </w:rPr>
      </w:pPr>
    </w:p>
    <w:p>
      <w:pPr>
        <w:widowControl/>
        <w:adjustRightInd/>
        <w:spacing w:line="560" w:lineRule="exact"/>
        <w:ind w:firstLine="643" w:firstLineChars="200"/>
        <w:jc w:val="left"/>
        <w:textAlignment w:val="center"/>
        <w:rPr>
          <w:rFonts w:hint="eastAsia" w:ascii="仿宋" w:hAnsi="仿宋" w:eastAsia="仿宋" w:cs="仿宋"/>
          <w:b w:val="0"/>
          <w:color w:val="000000"/>
          <w:kern w:val="0"/>
          <w:sz w:val="32"/>
          <w:szCs w:val="32"/>
          <w:u w:val="none"/>
          <w:lang w:eastAsia="zh" w:bidi="ar"/>
        </w:rPr>
      </w:pPr>
      <w:r>
        <w:rPr>
          <w:rFonts w:hint="eastAsia" w:ascii="仿宋" w:hAnsi="仿宋" w:eastAsia="仿宋" w:cs="仿宋"/>
          <w:b/>
          <w:bCs/>
          <w:color w:val="000000"/>
          <w:kern w:val="0"/>
          <w:sz w:val="32"/>
          <w:szCs w:val="32"/>
          <w:u w:val="none"/>
          <w:lang w:eastAsia="zh" w:bidi="ar"/>
        </w:rPr>
        <w:t>备查文件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 w:bidi="ar"/>
        </w:rPr>
        <w:t>1</w:t>
      </w:r>
      <w:r>
        <w:rPr>
          <w:rFonts w:hint="eastAsia" w:ascii="仿宋" w:hAnsi="仿宋" w:eastAsia="仿宋" w:cs="仿宋"/>
          <w:b w:val="0"/>
          <w:bCs w:val="0"/>
          <w:i w:val="0"/>
          <w:iCs w:val="0"/>
          <w:color w:val="000000"/>
          <w:kern w:val="0"/>
          <w:sz w:val="32"/>
          <w:szCs w:val="32"/>
          <w:u w:val="none"/>
          <w:lang w:val="en-US" w:eastAsia="zh-CN" w:bidi="ar"/>
        </w:rPr>
        <w:t>. 薪酬与考核委员会对股票期权行权条件是否成就的意见；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 w:bidi="ar"/>
        </w:rPr>
        <w:t>2</w:t>
      </w:r>
      <w:r>
        <w:rPr>
          <w:rFonts w:hint="eastAsia" w:ascii="仿宋" w:hAnsi="仿宋" w:eastAsia="仿宋" w:cs="仿宋"/>
          <w:b w:val="0"/>
          <w:bCs w:val="0"/>
          <w:i w:val="0"/>
          <w:iCs w:val="0"/>
          <w:color w:val="000000"/>
          <w:kern w:val="0"/>
          <w:sz w:val="32"/>
          <w:szCs w:val="32"/>
          <w:u w:val="none"/>
          <w:lang w:val="en-US" w:eastAsia="zh-CN" w:bidi="ar"/>
        </w:rPr>
        <w:t>. 薪酬与考核委员会对激励对象名单的核查意见；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仿宋" w:hAnsi="仿宋" w:eastAsia="仿宋" w:cs="仿宋"/>
          <w:b w:val="0"/>
          <w:bCs w:val="0"/>
          <w:i w:val="0"/>
          <w:iCs w:val="0"/>
          <w:color w:val="000000"/>
          <w:kern w:val="0"/>
          <w:sz w:val="32"/>
          <w:szCs w:val="32"/>
          <w:u w:val="none"/>
          <w:lang w:val="en-US" w:eastAsia="zh" w:bidi="ar"/>
        </w:rPr>
      </w:pPr>
      <w:r>
        <w:rPr>
          <w:rFonts w:hint="eastAsia" w:ascii="仿宋" w:hAnsi="仿宋" w:eastAsia="仿宋" w:cs="仿宋"/>
          <w:b w:val="0"/>
          <w:bCs w:val="0"/>
          <w:i w:val="0"/>
          <w:iCs w:val="0"/>
          <w:color w:val="000000"/>
          <w:kern w:val="0"/>
          <w:sz w:val="32"/>
          <w:szCs w:val="32"/>
          <w:u w:val="none"/>
          <w:lang w:val="en-US" w:eastAsia="zh" w:bidi="ar"/>
        </w:rPr>
        <w:t>3</w:t>
      </w:r>
      <w:r>
        <w:rPr>
          <w:rFonts w:hint="eastAsia" w:ascii="仿宋" w:hAnsi="仿宋" w:eastAsia="仿宋" w:cs="仿宋"/>
          <w:b w:val="0"/>
          <w:bCs w:val="0"/>
          <w:i w:val="0"/>
          <w:iCs w:val="0"/>
          <w:color w:val="000000"/>
          <w:kern w:val="0"/>
          <w:sz w:val="32"/>
          <w:szCs w:val="32"/>
          <w:u w:val="none"/>
          <w:lang w:val="en-US" w:eastAsia="zh-CN" w:bidi="ar"/>
        </w:rPr>
        <w:t>. 法律意见书；</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仿宋" w:hAnsi="仿宋" w:eastAsia="仿宋" w:cs="仿宋"/>
          <w:b w:val="0"/>
          <w:bCs w:val="0"/>
          <w:i w:val="0"/>
          <w:iCs w:val="0"/>
          <w:color w:val="000000"/>
          <w:kern w:val="0"/>
          <w:sz w:val="32"/>
          <w:szCs w:val="32"/>
          <w:u w:val="none"/>
          <w:lang w:val="en-US" w:eastAsia="zh" w:bidi="ar"/>
        </w:rPr>
      </w:pPr>
      <w:r>
        <w:rPr>
          <w:rFonts w:hint="eastAsia" w:ascii="仿宋" w:hAnsi="仿宋" w:eastAsia="仿宋" w:cs="仿宋"/>
          <w:b w:val="0"/>
          <w:bCs w:val="0"/>
          <w:i w:val="0"/>
          <w:iCs w:val="0"/>
          <w:color w:val="000000"/>
          <w:kern w:val="0"/>
          <w:sz w:val="32"/>
          <w:szCs w:val="32"/>
          <w:u w:val="none"/>
          <w:lang w:val="en-US" w:eastAsia="zh" w:bidi="ar"/>
        </w:rPr>
        <w:t>4</w:t>
      </w:r>
      <w:r>
        <w:rPr>
          <w:rFonts w:hint="eastAsia" w:ascii="仿宋" w:hAnsi="仿宋" w:eastAsia="仿宋" w:cs="仿宋"/>
          <w:b w:val="0"/>
          <w:bCs w:val="0"/>
          <w:i w:val="0"/>
          <w:iCs w:val="0"/>
          <w:color w:val="000000"/>
          <w:kern w:val="0"/>
          <w:sz w:val="32"/>
          <w:szCs w:val="32"/>
          <w:u w:val="none"/>
          <w:lang w:val="en-US" w:eastAsia="zh-CN" w:bidi="ar"/>
        </w:rPr>
        <w:t>. 会计师事务所出具的验资报告</w:t>
      </w:r>
      <w:r>
        <w:rPr>
          <w:rFonts w:hint="eastAsia" w:ascii="仿宋" w:hAnsi="仿宋" w:eastAsia="仿宋" w:cs="仿宋"/>
          <w:b w:val="0"/>
          <w:bCs w:val="0"/>
          <w:i w:val="0"/>
          <w:iCs w:val="0"/>
          <w:color w:val="000000"/>
          <w:kern w:val="0"/>
          <w:sz w:val="32"/>
          <w:szCs w:val="32"/>
          <w:u w:val="none"/>
          <w:lang w:val="en-US" w:eastAsia="zh" w:bidi="ar"/>
        </w:rPr>
        <w:t>。</w:t>
      </w:r>
    </w:p>
    <w:p>
      <w:pPr>
        <w:pStyle w:val="2"/>
        <w:spacing w:line="560" w:lineRule="exact"/>
        <w:ind w:firstLine="360" w:firstLineChars="200"/>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99" w:name="_Toc164973728"/>
      <w:bookmarkStart w:id="100" w:name="_Toc29877"/>
      <w:bookmarkStart w:id="101" w:name="_Toc20154"/>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上市公司股权激励计划限制性股票符合归属条件公告格式</w:t>
      </w:r>
      <w:bookmarkEnd w:id="99"/>
      <w:bookmarkEnd w:id="100"/>
      <w:bookmarkEnd w:id="101"/>
    </w:p>
    <w:p>
      <w:pPr>
        <w:snapToGrid w:val="0"/>
        <w:spacing w:line="560" w:lineRule="exact"/>
        <w:ind w:firstLine="643" w:firstLineChars="200"/>
        <w:jc w:val="center"/>
        <w:rPr>
          <w:rFonts w:ascii="仿宋" w:hAnsi="仿宋" w:eastAsia="仿宋"/>
          <w:b/>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napToGrid w:val="0"/>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上市规则》规定的第二类限制性股票（以下简称限制性股票），符合归属条件后拟进行归属的，需履行信息披露义务，适用本公告格式。</w:t>
      </w:r>
    </w:p>
    <w:p>
      <w:pPr>
        <w:adjustRightInd w:val="0"/>
        <w:snapToGrid w:val="0"/>
        <w:spacing w:line="560" w:lineRule="exact"/>
        <w:ind w:firstLine="640" w:firstLineChars="200"/>
        <w:jc w:val="left"/>
        <w:rPr>
          <w:rFonts w:ascii="仿宋" w:hAnsi="仿宋" w:eastAsia="仿宋"/>
          <w:sz w:val="32"/>
          <w:szCs w:val="32"/>
        </w:rPr>
      </w:pPr>
    </w:p>
    <w:p>
      <w:pPr>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Cs/>
          <w:color w:val="000000"/>
          <w:sz w:val="32"/>
          <w:szCs w:val="32"/>
        </w:rPr>
      </w:pPr>
      <w: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701040</wp:posOffset>
                </wp:positionV>
                <wp:extent cx="5715000" cy="1543050"/>
                <wp:effectExtent l="4445" t="5080" r="14605" b="13970"/>
                <wp:wrapNone/>
                <wp:docPr id="84" name="矩形 84"/>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55.2pt;height:121.5pt;width:450pt;z-index:251698176;mso-width-relative:page;mso-height-relative:page;" fillcolor="#FFFFFF" filled="t" stroked="t" coordsize="21600,21600" o:gfxdata="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BE4bdkAAAALAQAADwAAAAAAAAABACAAAAAi&#10;AAAAZHJzL2Rvd25yZXYueG1sUEsBAhQAFAAAAAgAh07iQFHGRtt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r>
        <w:rPr>
          <w:rFonts w:hint="eastAsia" w:ascii="仿宋" w:hAnsi="仿宋" w:eastAsia="仿宋"/>
          <w:bCs/>
          <w:color w:val="000000"/>
          <w:sz w:val="32"/>
          <w:szCs w:val="32"/>
        </w:rPr>
        <w:t>XXX股份有限公司股权激励计划限制性股票符合归属</w:t>
      </w:r>
    </w:p>
    <w:p>
      <w:pPr>
        <w:spacing w:line="560" w:lineRule="exact"/>
        <w:jc w:val="center"/>
        <w:rPr>
          <w:rFonts w:ascii="仿宋" w:hAnsi="仿宋" w:eastAsia="仿宋"/>
          <w:b/>
          <w:bCs/>
          <w:color w:val="000000"/>
          <w:sz w:val="32"/>
          <w:szCs w:val="32"/>
        </w:rPr>
      </w:pPr>
      <w:r>
        <w:rPr>
          <w:rFonts w:hint="eastAsia" w:ascii="仿宋" w:hAnsi="仿宋" w:eastAsia="仿宋"/>
          <w:bCs/>
          <w:color w:val="000000"/>
          <w:sz w:val="32"/>
          <w:szCs w:val="32"/>
        </w:rPr>
        <w:t>条件公告</w:t>
      </w: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pStyle w:val="55"/>
        <w:numPr>
          <w:ilvl w:val="0"/>
          <w:numId w:val="4"/>
        </w:numPr>
        <w:snapToGrid w:val="0"/>
        <w:spacing w:line="560" w:lineRule="exact"/>
        <w:ind w:firstLineChars="0"/>
        <w:rPr>
          <w:rFonts w:ascii="仿宋" w:hAnsi="仿宋" w:eastAsia="仿宋"/>
          <w:b/>
          <w:color w:val="000000"/>
          <w:sz w:val="32"/>
          <w:szCs w:val="32"/>
        </w:rPr>
      </w:pPr>
      <w:r>
        <w:rPr>
          <w:rFonts w:hint="eastAsia" w:ascii="仿宋" w:hAnsi="仿宋" w:eastAsia="仿宋"/>
          <w:color w:val="000000"/>
          <w:sz w:val="32"/>
          <w:szCs w:val="32"/>
        </w:rPr>
        <w:t xml:space="preserve"> 限制性股票拟归属数量</w:t>
      </w:r>
    </w:p>
    <w:p>
      <w:pPr>
        <w:numPr>
          <w:ilvl w:val="0"/>
          <w:numId w:val="4"/>
        </w:numPr>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归属股票来源</w:t>
      </w:r>
    </w:p>
    <w:p>
      <w:pPr>
        <w:adjustRightInd w:val="0"/>
        <w:spacing w:line="560" w:lineRule="exact"/>
        <w:rPr>
          <w:rFonts w:ascii="仿宋" w:hAnsi="仿宋" w:eastAsia="仿宋"/>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1. 股权激励计划简介。说明股权激励计划经董事会、股东会审议通过的时间，股权激励方案的主要内容，包括股份来源、限制性股票数量、归属时间、价格等。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限制性股票授予情况。说明限制性股票授予履行的审批程序、授予日期、授予对象、授予数量等。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限制性股票数量及授予价格的历次变动情况（如有），说明历次因激励对象工作或职务变动、标的股票除权除息、归属等原因激励对象、限制性股票数量、授予价格发生变动的情况，已授予限制性股票和预留限制性股票的变动情况应分开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说明本次实施的股权激励计划内容与已披露的激励计划存在的差异，董事会关于差异情况的说明以及重新履行的审批程序情况。</w:t>
      </w:r>
    </w:p>
    <w:p>
      <w:pPr>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二、激励对象符合归属条件的说明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董事会就股权激励计划设定的限制性股票归属条件是否成就的审议情况；董事反对或弃权的，应当披露反对或弃权理由。</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列表说明激励对象本次归属是否符合股权激励计划规定的各项归属条件。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779"/>
        <w:gridCol w:w="3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8"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序号</w:t>
            </w:r>
          </w:p>
        </w:tc>
        <w:tc>
          <w:tcPr>
            <w:tcW w:w="3780"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公司限制性股票激励计划</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规定的归属条件</w:t>
            </w:r>
          </w:p>
        </w:tc>
        <w:tc>
          <w:tcPr>
            <w:tcW w:w="3780"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激励对象符合归属条件</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jc w:val="center"/>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vAlign w:val="center"/>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8" w:type="dxa"/>
            <w:tcBorders>
              <w:top w:val="single" w:color="auto" w:sz="4" w:space="0"/>
              <w:left w:val="single" w:color="auto" w:sz="12" w:space="0"/>
              <w:bottom w:val="single" w:color="auto" w:sz="12"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780" w:type="dxa"/>
            <w:tcBorders>
              <w:top w:val="single" w:color="auto" w:sz="4" w:space="0"/>
              <w:left w:val="single" w:color="auto" w:sz="4" w:space="0"/>
              <w:bottom w:val="single" w:color="auto" w:sz="12"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12" w:space="0"/>
              <w:right w:val="single" w:color="auto" w:sz="12" w:space="0"/>
            </w:tcBorders>
            <w:vAlign w:val="center"/>
          </w:tcPr>
          <w:p>
            <w:pPr>
              <w:pStyle w:val="12"/>
              <w:ind w:firstLine="240" w:firstLineChars="100"/>
              <w:rPr>
                <w:rFonts w:ascii="仿宋" w:hAnsi="仿宋" w:eastAsia="仿宋" w:cs="宋体"/>
                <w:color w:val="00000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对部分或全部未达到归属条件的，说明相应限制性股票的处理方法。</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三、本次限制性股票可归属的具体情况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授予日：说明董事会确定的本次归属的限制性股票权益授予日。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归属数量：说明本次归属数量。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归属人数：说明本次归属人数。</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授予价格：说明本次限制性股票的授予价格。</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股票来源：说明本次归属的股票来源情况，如向授予对象发行股票或回购本公司股票等。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激励对象名单及归属情况：列表说明本次限制性股票归属具体情况，包括但不限于：激励对象姓名、职务、已获授予的限制性股票数量、本次可归属数量、可归属数量占已获授予的限制性股票总量的百分比。董事、高级管理人员，以及单独或合计持股5%以上股东或实际控制人及其配偶、父母、子女及外籍员工需逐一披露，其他激励对象可汇总披露。</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21"/>
        <w:gridCol w:w="1121"/>
        <w:gridCol w:w="1870"/>
        <w:gridCol w:w="149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kern w:val="0"/>
                <w:sz w:val="24"/>
                <w:szCs w:val="24"/>
              </w:rPr>
            </w:pPr>
            <w:r>
              <w:rPr>
                <w:rFonts w:hint="eastAsia" w:ascii="仿宋" w:hAnsi="仿宋" w:eastAsia="仿宋" w:cs="黑体"/>
                <w:b/>
                <w:kern w:val="0"/>
                <w:sz w:val="24"/>
                <w:szCs w:val="24"/>
              </w:rPr>
              <w:t>序号</w:t>
            </w:r>
          </w:p>
        </w:tc>
        <w:tc>
          <w:tcPr>
            <w:tcW w:w="1121"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kern w:val="0"/>
                <w:sz w:val="24"/>
                <w:szCs w:val="24"/>
              </w:rPr>
            </w:pPr>
            <w:r>
              <w:rPr>
                <w:rFonts w:hint="eastAsia" w:ascii="仿宋" w:hAnsi="仿宋" w:eastAsia="仿宋" w:cs="黑体"/>
                <w:b/>
                <w:kern w:val="0"/>
                <w:sz w:val="24"/>
                <w:szCs w:val="24"/>
              </w:rPr>
              <w:t>姓名</w:t>
            </w:r>
          </w:p>
        </w:tc>
        <w:tc>
          <w:tcPr>
            <w:tcW w:w="1121"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cs="黑体"/>
                <w:b/>
                <w:kern w:val="0"/>
                <w:sz w:val="24"/>
                <w:szCs w:val="24"/>
              </w:rPr>
              <w:t>职务</w:t>
            </w:r>
            <w:r>
              <w:rPr>
                <w:rFonts w:hint="eastAsia" w:ascii="仿宋" w:hAnsi="仿宋" w:eastAsia="仿宋" w:cs="黑体"/>
                <w:b/>
                <w:kern w:val="0"/>
                <w:sz w:val="24"/>
                <w:szCs w:val="24"/>
                <w:vertAlign w:val="superscript"/>
              </w:rPr>
              <w:t>2</w:t>
            </w:r>
          </w:p>
        </w:tc>
        <w:tc>
          <w:tcPr>
            <w:tcW w:w="187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cs="黑体"/>
                <w:b/>
                <w:kern w:val="0"/>
                <w:sz w:val="24"/>
                <w:szCs w:val="24"/>
              </w:rPr>
              <w:t>本次归属前已获授限制性股票数量</w:t>
            </w:r>
          </w:p>
        </w:tc>
        <w:tc>
          <w:tcPr>
            <w:tcW w:w="1496"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本次可归属</w:t>
            </w:r>
          </w:p>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限制性股票数量</w:t>
            </w:r>
          </w:p>
        </w:tc>
        <w:tc>
          <w:tcPr>
            <w:tcW w:w="2057"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b/>
                <w:sz w:val="24"/>
                <w:szCs w:val="24"/>
              </w:rPr>
              <w:t>本次归属数量占已获授限制性股票的百分比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注：1.包括持股5%以上股东或实际控制人及其配偶、父母、子女、以及外籍员工等；2.激励对象如为该类人员的，除在表格中说明其职务外，还附注说明其特定身份。</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w:t>
      </w:r>
      <w:r>
        <w:rPr>
          <w:rFonts w:hint="eastAsia" w:ascii="仿宋" w:hAnsi="仿宋" w:eastAsia="仿宋"/>
          <w:b/>
          <w:color w:val="000000"/>
          <w:sz w:val="32"/>
          <w:szCs w:val="32"/>
          <w:lang w:eastAsia="zh-CN"/>
        </w:rPr>
        <w:t>薪酬与考核委员</w:t>
      </w:r>
      <w:r>
        <w:rPr>
          <w:rFonts w:hint="eastAsia" w:ascii="仿宋" w:hAnsi="仿宋" w:eastAsia="仿宋"/>
          <w:b/>
          <w:color w:val="000000"/>
          <w:sz w:val="32"/>
          <w:szCs w:val="32"/>
        </w:rPr>
        <w:t>会意见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会就股权激励计划设定的限制性股票归属条件是否成就发表的明确意见、</w:t>
      </w: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会对激励对象名单的核实情况。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五、激励对象买卖公司股票情况的说明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激励对象为董事、高级管理人员、持股5%以上股东的，说明本次董事会决议日前6个月内买卖公司股票的情况说明。</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六、法律意见书的结论性意见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律师事务所就本次限制性股票归属出具的法律意见书的结论性意见。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七、本次归属对公司相关财务状况和经营成果的影响</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公司应对股权激励限制性股票定价及会计核算影响变化情况作出说明, 并说明本次归属对公司财务状况、经营成果、财务指标（如每股收益）等的影响。</w:t>
      </w:r>
    </w:p>
    <w:p>
      <w:pPr>
        <w:snapToGrid w:val="0"/>
        <w:spacing w:line="56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pPr>
    </w:p>
    <w:p>
      <w:pPr>
        <w:adjustRightInd w:val="0"/>
        <w:spacing w:line="560" w:lineRule="exact"/>
        <w:ind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1</w:t>
      </w:r>
      <w:r>
        <w:rPr>
          <w:rFonts w:hint="eastAsia" w:ascii="仿宋" w:hAnsi="仿宋" w:eastAsia="仿宋"/>
          <w:color w:val="000000"/>
          <w:sz w:val="32"/>
          <w:szCs w:val="32"/>
        </w:rPr>
        <w:t xml:space="preserve">. </w:t>
      </w: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会意见；</w:t>
      </w:r>
    </w:p>
    <w:p>
      <w:pPr>
        <w:adjustRightInd w:val="0"/>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2</w:t>
      </w:r>
      <w:r>
        <w:rPr>
          <w:rFonts w:hint="eastAsia" w:ascii="仿宋" w:hAnsi="仿宋" w:eastAsia="仿宋"/>
          <w:color w:val="000000"/>
          <w:sz w:val="32"/>
          <w:szCs w:val="32"/>
        </w:rPr>
        <w:t>. 法律意见书</w:t>
      </w:r>
      <w:r>
        <w:rPr>
          <w:rFonts w:hint="eastAsia" w:ascii="仿宋" w:hAnsi="仿宋" w:eastAsia="仿宋"/>
          <w:color w:val="000000"/>
          <w:sz w:val="32"/>
          <w:szCs w:val="32"/>
          <w:lang w:eastAsia="zh"/>
        </w:rPr>
        <w:t>。</w:t>
      </w:r>
    </w:p>
    <w:p>
      <w:pPr>
        <w:pStyle w:val="2"/>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102" w:name="_Toc24283"/>
      <w:bookmarkStart w:id="103" w:name="_Toc164973729"/>
      <w:bookmarkStart w:id="104" w:name="_Toc29950"/>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上市公司股权激励计划限制性股票归属结果暨股份上市公告格式</w:t>
      </w:r>
      <w:bookmarkEnd w:id="102"/>
      <w:bookmarkEnd w:id="103"/>
      <w:bookmarkEnd w:id="104"/>
    </w:p>
    <w:p>
      <w:pPr>
        <w:snapToGrid w:val="0"/>
        <w:spacing w:line="560" w:lineRule="exact"/>
        <w:jc w:val="center"/>
        <w:rPr>
          <w:rFonts w:ascii="仿宋" w:hAnsi="仿宋" w:eastAsia="仿宋"/>
          <w:b/>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上市规则》规定的第二类限制性股票（以下简称限制性股票），完成全部或部分股票归属以及股份上市的，需履行信息披露义务，适用本公告格式。</w:t>
      </w:r>
    </w:p>
    <w:p>
      <w:pPr>
        <w:snapToGrid w:val="0"/>
        <w:spacing w:line="560" w:lineRule="exact"/>
        <w:ind w:firstLine="640" w:firstLineChars="200"/>
        <w:rPr>
          <w:rFonts w:ascii="仿宋" w:hAnsi="仿宋" w:eastAsia="仿宋"/>
          <w:sz w:val="32"/>
          <w:szCs w:val="32"/>
        </w:rPr>
      </w:pPr>
    </w:p>
    <w:p>
      <w:pPr>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482"/>
        <w:jc w:val="center"/>
        <w:rPr>
          <w:rFonts w:ascii="仿宋" w:hAnsi="仿宋" w:eastAsia="仿宋"/>
          <w:bCs/>
          <w:color w:val="000000"/>
          <w:sz w:val="32"/>
          <w:szCs w:val="32"/>
        </w:rPr>
      </w:pPr>
      <w:r>
        <w:rPr>
          <w:rFonts w:hint="eastAsia" w:ascii="仿宋" w:hAnsi="仿宋" w:eastAsia="仿宋"/>
          <w:bCs/>
          <w:color w:val="000000"/>
          <w:sz w:val="32"/>
          <w:szCs w:val="32"/>
        </w:rPr>
        <w:t>XXX股份有限公司股权激励计划限制性股票归属结果暨</w:t>
      </w:r>
    </w:p>
    <w:p>
      <w:pPr>
        <w:spacing w:line="560" w:lineRule="exact"/>
        <w:ind w:firstLine="482"/>
        <w:jc w:val="center"/>
        <w:rPr>
          <w:rFonts w:ascii="仿宋" w:hAnsi="仿宋" w:eastAsia="仿宋"/>
          <w:sz w:val="32"/>
          <w:szCs w:val="32"/>
        </w:rPr>
      </w:pPr>
      <w:r>
        <w:rPr>
          <w:rFonts w:hint="eastAsia" w:ascii="仿宋" w:hAnsi="仿宋" w:eastAsia="仿宋"/>
          <w:bCs/>
          <w:color w:val="000000"/>
          <w:sz w:val="32"/>
          <w:szCs w:val="32"/>
        </w:rPr>
        <w:t>股份上市公告</w:t>
      </w:r>
    </w:p>
    <w:p>
      <w:pPr>
        <w:adjustRightInd w:val="0"/>
        <w:spacing w:line="560" w:lineRule="exact"/>
        <w:ind w:firstLine="539" w:firstLineChars="257"/>
        <w:rPr>
          <w:rFonts w:ascii="仿宋" w:hAnsi="仿宋" w:eastAsia="仿宋"/>
          <w:b/>
          <w:color w:val="000000"/>
          <w:sz w:val="32"/>
          <w:szCs w:val="32"/>
        </w:rPr>
      </w:pPr>
      <w:r>
        <mc:AlternateContent>
          <mc:Choice Requires="wps">
            <w:drawing>
              <wp:anchor distT="0" distB="0" distL="114300" distR="114300" simplePos="0" relativeHeight="251699200" behindDoc="0" locked="0" layoutInCell="1" allowOverlap="1">
                <wp:simplePos x="0" y="0"/>
                <wp:positionH relativeFrom="column">
                  <wp:posOffset>-190500</wp:posOffset>
                </wp:positionH>
                <wp:positionV relativeFrom="paragraph">
                  <wp:posOffset>85090</wp:posOffset>
                </wp:positionV>
                <wp:extent cx="5715000" cy="1543050"/>
                <wp:effectExtent l="4445" t="5080" r="14605" b="13970"/>
                <wp:wrapNone/>
                <wp:docPr id="82" name="矩形 82"/>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pt;margin-top:6.7pt;height:121.5pt;width:450pt;z-index:251699200;mso-width-relative:page;mso-height-relative:page;" fillcolor="#FFFFFF" filled="t" stroked="t" coordsize="21600,21600" o:gfxdata="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HkbytkAAAAKAQAADwAAAAAAAAABACAAAAAi&#10;AAAAZHJzL2Rvd25yZXYueG1sUEsBAhQAFAAAAAgAh07iQJLJEa1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本次归属日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本次归属股票数量、归属人数</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本次归属股票上市流通安排/限售安排</w: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股权激励计划简介。说明股权激励计划经董事会、股东会审议通过的时间，股权激励方案的主要内容，包括股份来源、限制性股票数量、归属时间、授予价格等。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限制性股票授予情况。说明限制性股票授予履行的审批程序、授予日期、授予对象、授予数量等。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限制性股票数量及授予价格的历次变动情况（如有），说明历次因激励对象工作或职务变动、标的股票除权除息、归属等原因激励对象、限制性股票数量、授予价格发生变动的情况，已授予限制性股票和预留限制性股票的变动情况应分开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说明本次实施的股权激励计划内容与已披露的激励计划存在的差异，董事会关于差异情况的说明以及重新履行的审批程序情况。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二、激励对象符合归属条件的说明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董事会就股权激励计划设定的限制性股票归属条件是否成就的审议情况；董事反对或弃权的，应当披露反对或弃权理由。</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列表说明激励对象本次归属是否符合股权激励计划规定的各项归属条件。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779"/>
        <w:gridCol w:w="3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8"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序号</w:t>
            </w:r>
          </w:p>
        </w:tc>
        <w:tc>
          <w:tcPr>
            <w:tcW w:w="3780"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公司限制性股票激励计划</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规定的归属条件</w:t>
            </w:r>
          </w:p>
        </w:tc>
        <w:tc>
          <w:tcPr>
            <w:tcW w:w="3780"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激励对象符合归属条件</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jc w:val="center"/>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vAlign w:val="center"/>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8" w:type="dxa"/>
            <w:tcBorders>
              <w:top w:val="single" w:color="auto" w:sz="4" w:space="0"/>
              <w:left w:val="single" w:color="auto" w:sz="12" w:space="0"/>
              <w:bottom w:val="single" w:color="auto" w:sz="12"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780" w:type="dxa"/>
            <w:tcBorders>
              <w:top w:val="single" w:color="auto" w:sz="4" w:space="0"/>
              <w:left w:val="single" w:color="auto" w:sz="4" w:space="0"/>
              <w:bottom w:val="single" w:color="auto" w:sz="12"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12" w:space="0"/>
              <w:right w:val="single" w:color="auto" w:sz="12" w:space="0"/>
            </w:tcBorders>
            <w:vAlign w:val="center"/>
          </w:tcPr>
          <w:p>
            <w:pPr>
              <w:pStyle w:val="12"/>
              <w:ind w:firstLine="240" w:firstLineChars="100"/>
              <w:rPr>
                <w:rFonts w:ascii="仿宋" w:hAnsi="仿宋" w:eastAsia="仿宋" w:cs="宋体"/>
                <w:color w:val="00000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对部分或全部未达到归属条件的，说明相应限制性股票的处理方法。</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三、本次限制性股票归属的具体情况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归属日：说明本次限制性股票的归属日。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归属数量：说明本次归属数量。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归属人数：说明本次归属人数。</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股票来源：说明本次归属的股票来源情况，如向授予对象发行股票或回购本公司股票等。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股票来源于回购股份的，应当简要</w:t>
      </w:r>
      <w:r>
        <w:rPr>
          <w:rFonts w:hint="eastAsia" w:ascii="仿宋" w:hAnsi="仿宋" w:eastAsia="仿宋"/>
          <w:color w:val="000000"/>
          <w:sz w:val="32"/>
          <w:szCs w:val="32"/>
        </w:rPr>
        <w:t>说明回购股份的实施情况</w:t>
      </w:r>
      <w:r>
        <w:rPr>
          <w:rFonts w:hint="eastAsia" w:ascii="仿宋" w:hAnsi="仿宋" w:eastAsia="仿宋"/>
          <w:color w:val="000000"/>
          <w:sz w:val="32"/>
          <w:szCs w:val="32"/>
          <w:lang w:eastAsia="zh-CN"/>
        </w:rPr>
        <w:t>，</w:t>
      </w:r>
      <w:r>
        <w:rPr>
          <w:rFonts w:hint="eastAsia" w:ascii="仿宋" w:hAnsi="仿宋" w:eastAsia="仿宋"/>
          <w:color w:val="000000"/>
          <w:sz w:val="32"/>
          <w:szCs w:val="32"/>
        </w:rPr>
        <w:t>包括回购股份数量、购买的最高价、最低价、均价、使用资金总额、实施期间等</w:t>
      </w:r>
      <w:r>
        <w:rPr>
          <w:rFonts w:hint="eastAsia" w:ascii="仿宋" w:hAnsi="仿宋" w:eastAsia="仿宋"/>
          <w:color w:val="000000"/>
          <w:sz w:val="32"/>
          <w:szCs w:val="32"/>
          <w:lang w:eastAsia="zh-CN"/>
        </w:rPr>
        <w:t>；</w:t>
      </w:r>
      <w:r>
        <w:rPr>
          <w:rFonts w:hint="eastAsia" w:ascii="仿宋" w:hAnsi="仿宋" w:eastAsia="仿宋"/>
          <w:color w:val="000000"/>
          <w:sz w:val="32"/>
          <w:szCs w:val="32"/>
        </w:rPr>
        <w:t>授予或者转让的股份数量、价格及定价依据、授予或者转让价格与回购均价差异的会计处理等。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激励对象名单及归属情况：列表说明本次限制性股票归属具体情况，包括但不限于：激励对象姓名、职务、已获授予的限制性股票数量、本次归属数量、归属数量占已获授予的限制性股票数量的百分比。董事、高级管理人员，以及单独或合计持股5%以上股东或实际控制人及其配偶、父母、子女以及外籍员工需逐一披露，其他激励对象可汇总披露。</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在资金缴纳、股份登记过程中，激励对象因离职、资金筹集不足等原因放弃权益的，明确说明激励对象发生变化的情况、放弃权益的处理方式。</w:t>
      </w:r>
    </w:p>
    <w:tbl>
      <w:tblPr>
        <w:tblStyle w:val="28"/>
        <w:tblW w:w="820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1"/>
        <w:gridCol w:w="1080"/>
        <w:gridCol w:w="180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kern w:val="0"/>
                <w:sz w:val="24"/>
                <w:szCs w:val="24"/>
              </w:rPr>
            </w:pPr>
            <w:r>
              <w:rPr>
                <w:rFonts w:hint="eastAsia" w:ascii="仿宋" w:hAnsi="仿宋" w:eastAsia="仿宋" w:cs="黑体"/>
                <w:b/>
                <w:kern w:val="0"/>
                <w:sz w:val="24"/>
                <w:szCs w:val="24"/>
              </w:rPr>
              <w:t>序号</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kern w:val="0"/>
                <w:sz w:val="24"/>
                <w:szCs w:val="24"/>
              </w:rPr>
            </w:pPr>
            <w:r>
              <w:rPr>
                <w:rFonts w:hint="eastAsia" w:ascii="仿宋" w:hAnsi="仿宋" w:eastAsia="仿宋" w:cs="黑体"/>
                <w:b/>
                <w:kern w:val="0"/>
                <w:sz w:val="24"/>
                <w:szCs w:val="24"/>
              </w:rPr>
              <w:t>姓名</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cs="黑体"/>
                <w:b/>
                <w:kern w:val="0"/>
                <w:sz w:val="24"/>
                <w:szCs w:val="24"/>
              </w:rPr>
              <w:t>职务</w:t>
            </w:r>
          </w:p>
        </w:tc>
        <w:tc>
          <w:tcPr>
            <w:tcW w:w="180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cs="黑体"/>
                <w:b/>
                <w:kern w:val="0"/>
                <w:sz w:val="24"/>
                <w:szCs w:val="24"/>
              </w:rPr>
              <w:t>本次行权前已获授限制性股票数量</w:t>
            </w:r>
          </w:p>
        </w:tc>
        <w:tc>
          <w:tcPr>
            <w:tcW w:w="144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本次归属</w:t>
            </w:r>
          </w:p>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限制性股票数量</w:t>
            </w:r>
          </w:p>
        </w:tc>
        <w:tc>
          <w:tcPr>
            <w:tcW w:w="19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b/>
                <w:sz w:val="24"/>
                <w:szCs w:val="24"/>
              </w:rPr>
              <w:t>本次归属数量占已获授限制性股票的百分比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adjustRightIn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注：1.包括持股5%以上股东或实际控制人及其配偶、父母、子女、以及外籍员工等；2.激励对象如为该类人员的，除在表格中说明其职务外，还附注说明其特定身份。</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四、本次限制性股票归属股票的上市流通安排/限售安排</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本次归属股票上市流通安排，包括上市流通日、上市流通数量。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本次归属股票的限售安排（如适用）。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董事和高级管理人员本次归属股票的限售和转让限制。</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五、验资及股份登记情况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说明本次限制性股票归属的缴款时间和缴款金额,会计师事务所对本次归属事项进行验资的情况,以及相关股票在中国证券登记结算有限责任公司深圳分公司办理登记手续情况。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六、本次行权募集资金的使用计划</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说明本次行权募集资金的使用计划。</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七、本次归属后新增股份对上市公司的影响</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列表说明本次归属对上市公司股权结构的影响。</w:t>
      </w:r>
    </w:p>
    <w:p>
      <w:pPr>
        <w:widowControl/>
        <w:adjustRightInd w:val="0"/>
        <w:snapToGrid w:val="0"/>
        <w:spacing w:line="560" w:lineRule="exact"/>
        <w:ind w:firstLine="640" w:firstLineChars="200"/>
        <w:jc w:val="right"/>
        <w:rPr>
          <w:rFonts w:ascii="仿宋" w:hAnsi="仿宋" w:eastAsia="仿宋" w:cs="Arial"/>
          <w:color w:val="000000"/>
          <w:kern w:val="0"/>
          <w:sz w:val="32"/>
          <w:szCs w:val="32"/>
        </w:rPr>
      </w:pPr>
      <w:r>
        <w:rPr>
          <w:rFonts w:hint="eastAsia" w:ascii="仿宋" w:hAnsi="仿宋" w:eastAsia="仿宋" w:cs="Arial"/>
          <w:color w:val="000000"/>
          <w:kern w:val="0"/>
          <w:sz w:val="32"/>
          <w:szCs w:val="32"/>
        </w:rPr>
        <w:t>单位：股</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84"/>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变动前</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本次变动</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股份数量</w:t>
            </w: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 说明本次股份变动后上市公司股本结构变动情况，按新股本计算的每股收益调整情况；是否导致上市公司股权分布不符合上市条件、是否导致公司控制权发生变化；若公司具有表决权差异安排，说明本次股本变动前后拥有特别表决权股份的股东在上市公司中拥有的表决权比例的变化情况。   </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 说明本次归属后对公司财务指标（每股收益等）的影响。</w:t>
      </w:r>
    </w:p>
    <w:p>
      <w:pPr>
        <w:adjustRightInd w:val="0"/>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b w:val="0"/>
          <w:bCs w:val="0"/>
          <w:color w:val="000000"/>
          <w:sz w:val="32"/>
          <w:szCs w:val="32"/>
          <w:lang w:val="en-US" w:eastAsia="zh-CN"/>
        </w:rPr>
        <w:t>4.因股本变动</w:t>
      </w:r>
      <w:r>
        <w:rPr>
          <w:rFonts w:hint="eastAsia" w:ascii="仿宋" w:hAnsi="仿宋" w:eastAsia="仿宋" w:cs="Times New Roman"/>
          <w:b w:val="0"/>
          <w:bCs w:val="0"/>
          <w:color w:val="000000"/>
          <w:sz w:val="32"/>
          <w:szCs w:val="32"/>
          <w:lang w:eastAsia="zh-CN"/>
        </w:rPr>
        <w:t>导致股东及其一致行动人拥有权益的股份比例被动触及或者达到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lang w:eastAsia="zh-CN"/>
        </w:rPr>
        <w:t>的，说明该股东及其一致行动人的持股数量和持股比例在股本变动前后的变化情况。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八、律师关于本次归属的法律意见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说明律师对本次归属合法有效性出具的法律意见书的结论性意见。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九、其他需要说明的情况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说明其他未尽事宜的处理措施。</w:t>
      </w:r>
    </w:p>
    <w:p>
      <w:pPr>
        <w:adjustRightInd w:val="0"/>
        <w:snapToGrid w:val="0"/>
        <w:spacing w:line="560" w:lineRule="exact"/>
        <w:ind w:firstLine="640" w:firstLineChars="200"/>
        <w:rPr>
          <w:rFonts w:ascii="仿宋" w:hAnsi="仿宋" w:eastAsia="仿宋"/>
          <w:color w:val="000000"/>
          <w:sz w:val="32"/>
          <w:szCs w:val="32"/>
        </w:rPr>
      </w:pPr>
    </w:p>
    <w:p>
      <w:pPr>
        <w:adjustRightInd w:val="0"/>
        <w:snapToGrid w:val="0"/>
        <w:spacing w:line="560" w:lineRule="exact"/>
        <w:ind w:firstLine="640" w:firstLineChars="200"/>
        <w:jc w:val="righ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hint="eastAsia" w:ascii="仿宋" w:hAnsi="仿宋" w:eastAsia="仿宋"/>
          <w:sz w:val="32"/>
          <w:szCs w:val="32"/>
        </w:rPr>
      </w:pPr>
      <w:r>
        <w:rPr>
          <w:rFonts w:hint="eastAsia" w:ascii="仿宋" w:hAnsi="仿宋" w:eastAsia="仿宋"/>
          <w:sz w:val="32"/>
          <w:szCs w:val="32"/>
        </w:rPr>
        <w:t>XXXX年XX月XX日</w:t>
      </w:r>
    </w:p>
    <w:p>
      <w:pPr>
        <w:adjustRightInd w:val="0"/>
        <w:spacing w:line="560" w:lineRule="exact"/>
        <w:ind w:firstLine="640" w:firstLineChars="200"/>
        <w:rPr>
          <w:rFonts w:hint="eastAsia" w:ascii="仿宋" w:hAnsi="仿宋" w:eastAsia="仿宋"/>
          <w:b/>
          <w:color w:val="000000"/>
          <w:sz w:val="32"/>
          <w:szCs w:val="32"/>
          <w:lang w:eastAsia="zh"/>
        </w:rPr>
      </w:pPr>
      <w:r>
        <w:rPr>
          <w:rFonts w:hint="eastAsia" w:ascii="仿宋" w:hAnsi="仿宋" w:eastAsia="仿宋"/>
          <w:sz w:val="32"/>
          <w:szCs w:val="32"/>
        </w:rPr>
        <w:br w:type="page"/>
      </w:r>
      <w:r>
        <w:rPr>
          <w:rFonts w:hint="eastAsia" w:ascii="仿宋" w:hAnsi="仿宋" w:eastAsia="仿宋"/>
          <w:b/>
          <w:color w:val="000000"/>
          <w:sz w:val="32"/>
          <w:szCs w:val="32"/>
        </w:rPr>
        <w:t>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董事会关于股权激励获得股份符合归属条件的决议</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会对归属条件是否成就的意见；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3.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会对激励对象名单的核查意见</w:t>
      </w:r>
      <w:r>
        <w:rPr>
          <w:rFonts w:hint="eastAsia" w:ascii="仿宋" w:hAnsi="仿宋" w:eastAsia="仿宋"/>
          <w:color w:val="000000"/>
          <w:sz w:val="32"/>
          <w:szCs w:val="32"/>
          <w:lang w:eastAsia="zh-CN"/>
        </w:rPr>
        <w:t>；</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法律意见书</w:t>
      </w:r>
      <w:r>
        <w:rPr>
          <w:rFonts w:hint="eastAsia" w:ascii="仿宋" w:hAnsi="仿宋" w:eastAsia="仿宋"/>
          <w:color w:val="000000"/>
          <w:sz w:val="32"/>
          <w:szCs w:val="32"/>
          <w:lang w:eastAsia="zh-CN"/>
        </w:rPr>
        <w:t>；</w:t>
      </w:r>
    </w:p>
    <w:p>
      <w:pPr>
        <w:adjustRightInd w:val="0"/>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5. 会计师事务所出具的验资报告</w:t>
      </w:r>
      <w:r>
        <w:rPr>
          <w:rFonts w:hint="eastAsia" w:ascii="仿宋" w:hAnsi="仿宋" w:eastAsia="仿宋"/>
          <w:color w:val="000000"/>
          <w:sz w:val="32"/>
          <w:szCs w:val="32"/>
          <w:lang w:eastAsia="zh"/>
        </w:rPr>
        <w:t>。</w:t>
      </w:r>
    </w:p>
    <w:p>
      <w:pPr>
        <w:spacing w:line="240" w:lineRule="auto"/>
        <w:ind w:right="0" w:firstLine="0"/>
        <w:jc w:val="left"/>
        <w:rPr>
          <w:rFonts w:hint="eastAsia" w:ascii="仿宋" w:hAnsi="仿宋" w:eastAsia="仿宋"/>
          <w:sz w:val="32"/>
          <w:szCs w:val="32"/>
        </w:rPr>
      </w:pPr>
    </w:p>
    <w:p>
      <w:pPr>
        <w:keepNext w:val="0"/>
        <w:keepLines w:val="0"/>
        <w:spacing w:line="240" w:lineRule="auto"/>
        <w:jc w:val="left"/>
        <w:outlineLvl w:val="9"/>
        <w:rPr>
          <w:rFonts w:hint="eastAsia" w:ascii="方正小标宋简体" w:hAnsi="仿宋" w:eastAsia="方正小标宋简体"/>
          <w:kern w:val="44"/>
          <w:sz w:val="44"/>
          <w:szCs w:val="44"/>
        </w:rPr>
      </w:pPr>
      <w:bookmarkStart w:id="105" w:name="_Toc23500"/>
      <w:bookmarkStart w:id="106" w:name="_Toc25787"/>
      <w:bookmarkStart w:id="107" w:name="_Toc164973730"/>
      <w:r>
        <w:rPr>
          <w:rFonts w:hint="eastAsia" w:ascii="方正小标宋简体" w:hAnsi="仿宋" w:eastAsia="方正小标宋简体"/>
          <w:kern w:val="44"/>
          <w:sz w:val="44"/>
          <w:szCs w:val="44"/>
        </w:rPr>
        <w:br w:type="page"/>
      </w: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上市公司股东股份质押（冻结或拍卖等）的公告格式</w:t>
      </w:r>
      <w:bookmarkEnd w:id="105"/>
      <w:bookmarkEnd w:id="106"/>
      <w:bookmarkEnd w:id="107"/>
    </w:p>
    <w:p>
      <w:pPr>
        <w:overflowPunct w:val="0"/>
        <w:autoSpaceDE w:val="0"/>
        <w:autoSpaceDN w:val="0"/>
        <w:adjustRightInd w:val="0"/>
        <w:spacing w:line="560" w:lineRule="exact"/>
        <w:ind w:firstLine="420"/>
        <w:rPr>
          <w:rFonts w:ascii="仿宋" w:hAnsi="仿宋" w:eastAsia="仿宋"/>
          <w:b/>
          <w:kern w:val="0"/>
          <w:sz w:val="32"/>
          <w:szCs w:val="32"/>
        </w:rPr>
      </w:pPr>
    </w:p>
    <w:p>
      <w:pPr>
        <w:overflowPunct w:val="0"/>
        <w:autoSpaceDE w:val="0"/>
        <w:autoSpaceDN w:val="0"/>
        <w:adjustRightInd w:val="0"/>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特别说明：</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1．上市公司股东及其一致行动人质押或解除质押的股份数量、比例应当合并计算。</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2．对于同时存在股份质押和解除质押情形的，应当分别披露质押和解除质押情况。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3．上市公司股东及其一致行动人所持公司5%以上的股份出现平仓风险时，应当及时告知上市公司并按照本公告格式披露公告。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4．上市公司股东及其一致行动人所持股份被冻结（含轮候冻结）/标记、拍卖（包括司法机关等依法进行的拍卖、变卖、</w:t>
      </w:r>
      <w:r>
        <w:rPr>
          <w:rFonts w:hint="eastAsia" w:ascii="仿宋" w:hAnsi="仿宋" w:eastAsia="仿宋"/>
          <w:sz w:val="32"/>
          <w:szCs w:val="32"/>
          <w:highlight w:val="none"/>
          <w:lang w:eastAsia="zh-CN"/>
        </w:rPr>
        <w:t>司法扣划、</w:t>
      </w:r>
      <w:r>
        <w:rPr>
          <w:rFonts w:hint="eastAsia" w:ascii="仿宋" w:hAnsi="仿宋" w:eastAsia="仿宋"/>
          <w:sz w:val="32"/>
          <w:szCs w:val="32"/>
        </w:rPr>
        <w:t>划转等强制执行措施）、托管、设定信托或限制表决权等（以下简称“冻结或拍卖等”），或者出现被强制过户风险的，比照上述标准适用本公告格式。</w:t>
      </w:r>
    </w:p>
    <w:p>
      <w:pPr>
        <w:widowControl/>
        <w:tabs>
          <w:tab w:val="left" w:pos="709"/>
        </w:tabs>
        <w:adjustRightInd w:val="0"/>
        <w:spacing w:line="560" w:lineRule="exact"/>
        <w:ind w:left="372" w:right="360" w:firstLine="200"/>
        <w:rPr>
          <w:rFonts w:ascii="仿宋" w:hAnsi="仿宋" w:eastAsia="仿宋"/>
          <w:sz w:val="32"/>
          <w:szCs w:val="32"/>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XX股份有限公司股份质押（冻结或拍卖等）的公告</w:t>
      </w:r>
    </w:p>
    <w:p>
      <w:pPr>
        <w:overflowPunct w:val="0"/>
        <w:autoSpaceDE w:val="0"/>
        <w:autoSpaceDN w:val="0"/>
        <w:adjustRightInd w:val="0"/>
        <w:spacing w:line="560" w:lineRule="exact"/>
        <w:ind w:firstLine="480"/>
        <w:rPr>
          <w:rFonts w:ascii="仿宋" w:hAnsi="仿宋" w:eastAsia="仿宋" w:cs="宋体"/>
          <w:kern w:val="0"/>
          <w:sz w:val="32"/>
          <w:szCs w:val="32"/>
        </w:rPr>
      </w:pPr>
      <w:r>
        <mc:AlternateContent>
          <mc:Choice Requires="wps">
            <w:drawing>
              <wp:anchor distT="0" distB="0" distL="114300" distR="114300" simplePos="0" relativeHeight="251715584" behindDoc="0" locked="0" layoutInCell="1" allowOverlap="1">
                <wp:simplePos x="0" y="0"/>
                <wp:positionH relativeFrom="column">
                  <wp:posOffset>-238125</wp:posOffset>
                </wp:positionH>
                <wp:positionV relativeFrom="paragraph">
                  <wp:posOffset>15240</wp:posOffset>
                </wp:positionV>
                <wp:extent cx="5715000" cy="1543050"/>
                <wp:effectExtent l="4445" t="5080" r="10795" b="635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1.2pt;height:121.5pt;width:450pt;z-index:251715584;mso-width-relative:page;mso-height-relative:page;" fillcolor="#FFFFFF" filled="t" stroked="t" coordsize="21600,21600" o:gfxdata="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GwO1dcAAAAJAQAADwAAAAAAAAABACAAAAAiAAAA&#10;ZHJzL2Rvd25yZXYueG1sUEsBAhQAFAAAAAgAh07iQI1ZL1NBAgAAi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adjustRightInd w:val="0"/>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特别风险提示：</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1．控股股东或第一大股东及其一致行动人质押股份数量，或者累计被冻结或拍卖等股份数量（含本次）占其所持公司股份数量比例达到或超过80%，请投资者注意相关风险（如适用）。</w:t>
      </w:r>
    </w:p>
    <w:p>
      <w:pPr>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2．上市公司股东及其一致行动人所持公司5%以上的股份出现平仓风险或被强制过户风险，请投资者注意相关风险（如适用）。</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highlight w:val="none"/>
          <w:lang w:val="en-US" w:eastAsia="zh-CN"/>
        </w:rPr>
        <w:t>3. 根据中国证监会《上市公司股东减持股份管理暂行办法》及本所《上市公司自律监管指引第18号——股东及董事、高级管理人员减持股份》等相关规定，大股东通过司法扣划、划转等非交易过户方式减持股份，或者其他股东通过司法扣划、划转等非交易过户方式减持其持有的公司首次公开发行前发行的股份的，</w:t>
      </w:r>
      <w:r>
        <w:rPr>
          <w:rFonts w:hint="eastAsia" w:ascii="仿宋" w:hAnsi="仿宋" w:eastAsia="仿宋" w:cs="Times New Roman"/>
          <w:sz w:val="32"/>
          <w:szCs w:val="32"/>
          <w:highlight w:val="none"/>
          <w:lang w:val="en-US" w:eastAsia="zh-CN"/>
        </w:rPr>
        <w:t>参照适用通过协议转让方式减持股份的规定，</w:t>
      </w:r>
      <w:r>
        <w:rPr>
          <w:rFonts w:hint="eastAsia" w:ascii="仿宋" w:hAnsi="仿宋" w:eastAsia="仿宋"/>
          <w:sz w:val="32"/>
          <w:szCs w:val="32"/>
          <w:highlight w:val="none"/>
          <w:lang w:val="en-US" w:eastAsia="zh-CN"/>
        </w:rPr>
        <w:t>受让方在受让后6个月内不得减持其所受让的股份（如适用）。</w:t>
      </w:r>
    </w:p>
    <w:p>
      <w:pPr>
        <w:adjustRightInd w:val="0"/>
        <w:spacing w:line="560" w:lineRule="exact"/>
        <w:ind w:firstLine="640" w:firstLineChars="200"/>
        <w:rPr>
          <w:rFonts w:ascii="仿宋" w:hAnsi="仿宋" w:eastAsia="仿宋"/>
          <w:sz w:val="32"/>
          <w:szCs w:val="32"/>
        </w:rPr>
      </w:pPr>
    </w:p>
    <w:p>
      <w:pPr>
        <w:widowControl/>
        <w:spacing w:line="560" w:lineRule="exact"/>
        <w:ind w:firstLine="643" w:firstLineChars="200"/>
        <w:rPr>
          <w:rFonts w:ascii="仿宋" w:hAnsi="仿宋" w:eastAsia="仿宋" w:cs="宋体"/>
          <w:b/>
          <w:kern w:val="0"/>
          <w:sz w:val="32"/>
          <w:szCs w:val="32"/>
        </w:rPr>
      </w:pPr>
      <w:r>
        <w:rPr>
          <w:rFonts w:hint="eastAsia" w:ascii="仿宋" w:hAnsi="仿宋" w:eastAsia="仿宋" w:cs="宋体"/>
          <w:b/>
          <w:bCs/>
          <w:kern w:val="0"/>
          <w:sz w:val="32"/>
          <w:szCs w:val="32"/>
        </w:rPr>
        <w:t>一、股东股份质押</w:t>
      </w:r>
      <w:r>
        <w:rPr>
          <w:rFonts w:hint="eastAsia" w:ascii="仿宋" w:hAnsi="仿宋" w:eastAsia="仿宋"/>
          <w:b/>
          <w:color w:val="000000"/>
          <w:kern w:val="0"/>
          <w:sz w:val="32"/>
          <w:szCs w:val="32"/>
        </w:rPr>
        <w:t>（冻结或拍卖等）</w:t>
      </w:r>
      <w:r>
        <w:rPr>
          <w:rFonts w:hint="eastAsia" w:ascii="仿宋" w:hAnsi="仿宋" w:eastAsia="仿宋" w:cs="宋体"/>
          <w:b/>
          <w:bCs/>
          <w:kern w:val="0"/>
          <w:sz w:val="32"/>
          <w:szCs w:val="32"/>
        </w:rPr>
        <w:t>基本情况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公司近日接到股东函告（或通过其他途径），获悉其所持有本公司的部分股份被质押（冻结或拍卖等），具体事项如下：</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（一）股东股份质押基本情况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1．本次股份质押基本情况（如有多名股东、多笔质押的，应逐笔分开披露）</w:t>
      </w:r>
    </w:p>
    <w:tbl>
      <w:tblPr>
        <w:tblStyle w:val="28"/>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47"/>
        <w:gridCol w:w="754"/>
        <w:gridCol w:w="753"/>
        <w:gridCol w:w="754"/>
        <w:gridCol w:w="1430"/>
        <w:gridCol w:w="1097"/>
        <w:gridCol w:w="979"/>
        <w:gridCol w:w="868"/>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15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是否为控股股东或第一大股东及其一致行动人</w:t>
            </w:r>
          </w:p>
        </w:tc>
        <w:tc>
          <w:tcPr>
            <w:tcW w:w="75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本次质押数 量</w:t>
            </w:r>
          </w:p>
        </w:tc>
        <w:tc>
          <w:tcPr>
            <w:tcW w:w="75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是否为限售股（如是，注明限售类型）</w:t>
            </w:r>
          </w:p>
        </w:tc>
        <w:tc>
          <w:tcPr>
            <w:tcW w:w="109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是否为补充质押</w:t>
            </w:r>
          </w:p>
        </w:tc>
        <w:tc>
          <w:tcPr>
            <w:tcW w:w="97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质押起始日</w:t>
            </w:r>
          </w:p>
        </w:tc>
        <w:tc>
          <w:tcPr>
            <w:tcW w:w="8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质押到期日</w:t>
            </w: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质权人</w:t>
            </w: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sz w:val="24"/>
              </w:rPr>
            </w:pP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sz w:val="24"/>
              </w:rPr>
            </w:pP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质押用途应明确具体类型，包括但不限于：支持上市公司生产经营、个人消费、偿还债务、自身生产经营、股权类投资、债权类投资、不动产投资、二级市场证券投资、委托理财、补充质押、其他（请注明具体类型）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质押股份是否负担重大资产重组等业绩补偿义务，如是，请说明质权人知悉相关股份具有潜在业绩补偿义务的情况，以及与质权人就相关股份在履行业绩补偿义务时处置方式的约定。</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2．股东股份累计质押情况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截至公告披露日，上述股东及其一致行动人所持质押股份情况如下：</w:t>
      </w:r>
    </w:p>
    <w:tbl>
      <w:tblPr>
        <w:tblStyle w:val="28"/>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69"/>
        <w:gridCol w:w="769"/>
        <w:gridCol w:w="960"/>
        <w:gridCol w:w="960"/>
        <w:gridCol w:w="960"/>
        <w:gridCol w:w="960"/>
        <w:gridCol w:w="1116"/>
        <w:gridCol w:w="867"/>
        <w:gridCol w:w="99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持股数量</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持股比例</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本次质押前质押股份数量</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本次质押后质押股份数量</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198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已质押股份</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情况</w:t>
            </w:r>
          </w:p>
        </w:tc>
        <w:tc>
          <w:tcPr>
            <w:tcW w:w="197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未质押股份</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已质押股份限售和冻结、标记数量</w:t>
            </w:r>
          </w:p>
        </w:tc>
        <w:tc>
          <w:tcPr>
            <w:tcW w:w="86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占已质押股份比例</w:t>
            </w: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未质押股份限售和冻结数量</w:t>
            </w:r>
          </w:p>
        </w:tc>
        <w:tc>
          <w:tcPr>
            <w:tcW w:w="9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3" w:firstLineChars="200"/>
        <w:rPr>
          <w:rFonts w:ascii="仿宋" w:hAnsi="仿宋" w:eastAsia="仿宋" w:cs="宋体"/>
          <w:b/>
          <w:kern w:val="0"/>
          <w:sz w:val="32"/>
          <w:szCs w:val="32"/>
        </w:rPr>
      </w:pPr>
      <w:r>
        <w:rPr>
          <w:rFonts w:hint="eastAsia" w:ascii="仿宋" w:hAnsi="仿宋" w:eastAsia="仿宋"/>
          <w:b/>
          <w:color w:val="000000"/>
          <w:kern w:val="0"/>
          <w:sz w:val="32"/>
          <w:szCs w:val="32"/>
        </w:rPr>
        <w:t>（二）控股股东或第一大股东</w:t>
      </w:r>
      <w:r>
        <w:rPr>
          <w:rFonts w:hint="eastAsia" w:ascii="仿宋" w:hAnsi="仿宋" w:eastAsia="仿宋" w:cs="宋体"/>
          <w:b/>
          <w:kern w:val="0"/>
          <w:sz w:val="32"/>
          <w:szCs w:val="32"/>
        </w:rPr>
        <w:t>及其一致行动人股份质押情况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1．控股股东或第一大股东及其一致行动人质押股份数量占其所持公司股份数量比例达到或超过50%的，对于本次及后续每笔股份质押，除</w:t>
      </w:r>
      <w:r>
        <w:rPr>
          <w:rFonts w:hint="eastAsia" w:ascii="仿宋" w:hAnsi="仿宋" w:eastAsia="仿宋"/>
          <w:color w:val="000000"/>
          <w:kern w:val="0"/>
          <w:sz w:val="32"/>
          <w:szCs w:val="32"/>
          <w:lang w:eastAsia="zh-CN"/>
        </w:rPr>
        <w:t>需</w:t>
      </w:r>
      <w:r>
        <w:rPr>
          <w:rFonts w:hint="eastAsia" w:ascii="仿宋" w:hAnsi="仿宋" w:eastAsia="仿宋"/>
          <w:color w:val="000000"/>
          <w:kern w:val="0"/>
          <w:sz w:val="32"/>
          <w:szCs w:val="32"/>
        </w:rPr>
        <w:t>按照本公告格式披露“（一）股东股份质押基本情况”外，还应当披露以下信息：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（1）本次股份质押融资是否用于满足上市公司生产经营相关需求。</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（2）未来半年内和一年内分别到期的质押股份累计数量、</w:t>
      </w:r>
      <w:r>
        <w:rPr>
          <w:rFonts w:hint="eastAsia" w:ascii="仿宋" w:hAnsi="仿宋" w:eastAsia="仿宋" w:cs="宋体"/>
          <w:kern w:val="0"/>
          <w:sz w:val="32"/>
          <w:szCs w:val="32"/>
        </w:rPr>
        <w:t>占其所持股份比例、</w:t>
      </w:r>
      <w:r>
        <w:rPr>
          <w:rFonts w:hint="eastAsia" w:ascii="仿宋" w:hAnsi="仿宋" w:eastAsia="仿宋" w:cs="宋体"/>
          <w:sz w:val="32"/>
          <w:szCs w:val="32"/>
        </w:rPr>
        <w:t>占公司总股本比例、</w:t>
      </w:r>
      <w:r>
        <w:rPr>
          <w:rFonts w:hint="eastAsia" w:ascii="仿宋" w:hAnsi="仿宋" w:eastAsia="仿宋"/>
          <w:color w:val="000000"/>
          <w:kern w:val="0"/>
          <w:sz w:val="32"/>
          <w:szCs w:val="32"/>
        </w:rPr>
        <w:t>对应融资余额，并说明还款资金来源及资金偿付能力。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（3）是否存在非经营性资金占用、违规担保等侵害上市公司利益的情形。如是，请说明具体情况及解决措施，本次股份质押融资是否用于解决上述情形。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（4）股份质押事项对上市公司生产经营（包括但不限于购销业务、融资授信及融资成本、持续经营能力）、公司治理（包括但不限于股权或控制权稳定、</w:t>
      </w:r>
      <w:r>
        <w:rPr>
          <w:rFonts w:hint="eastAsia" w:ascii="仿宋" w:hAnsi="仿宋" w:eastAsia="仿宋"/>
          <w:color w:val="000000"/>
          <w:kern w:val="0"/>
          <w:sz w:val="32"/>
          <w:szCs w:val="32"/>
          <w:lang w:eastAsia="zh-CN"/>
        </w:rPr>
        <w:t>股东会及</w:t>
      </w:r>
      <w:r>
        <w:rPr>
          <w:rFonts w:hint="eastAsia" w:ascii="仿宋" w:hAnsi="仿宋" w:eastAsia="仿宋"/>
          <w:color w:val="000000"/>
          <w:kern w:val="0"/>
          <w:sz w:val="32"/>
          <w:szCs w:val="32"/>
          <w:highlight w:val="none"/>
        </w:rPr>
        <w:t>董事会</w:t>
      </w:r>
      <w:r>
        <w:rPr>
          <w:rFonts w:hint="eastAsia" w:ascii="仿宋" w:hAnsi="仿宋" w:eastAsia="仿宋"/>
          <w:color w:val="000000"/>
          <w:kern w:val="0"/>
          <w:sz w:val="32"/>
          <w:szCs w:val="32"/>
        </w:rPr>
        <w:t>运作、日常管理）、业绩补偿义务履行（包括但不限于业绩补偿义务概况、预计补偿金额及方式、履行能力和履行保障，如适用）等可能产生的影响，以及拟采取的防范应对措施。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2．控股股东或第一大股东及其一致行动人质押股份数量占其所持公司股份数量比例达到或超过80%的，除</w:t>
      </w:r>
      <w:r>
        <w:rPr>
          <w:rFonts w:hint="eastAsia" w:ascii="仿宋" w:hAnsi="仿宋" w:eastAsia="仿宋"/>
          <w:color w:val="000000"/>
          <w:kern w:val="0"/>
          <w:sz w:val="32"/>
          <w:szCs w:val="32"/>
          <w:lang w:eastAsia="zh-CN"/>
        </w:rPr>
        <w:t>需</w:t>
      </w:r>
      <w:r>
        <w:rPr>
          <w:rFonts w:hint="eastAsia" w:ascii="仿宋" w:hAnsi="仿宋" w:eastAsia="仿宋"/>
          <w:color w:val="000000"/>
          <w:kern w:val="0"/>
          <w:sz w:val="32"/>
          <w:szCs w:val="32"/>
        </w:rPr>
        <w:t>按照前条要求披露外，还应当披露以下信息：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控股股东或第一大股东及其一致行动人如为法人的，应当说明名称、企业性质、注册地、主要办公地点、法定代表人、注册资本、经营范围、主营业务情况、最近一年及一期主要财务数据（包括但不限于资产总额、负债总额、营业收入、净利润和经营活动产生的现金流量净额）和偿债能力指标（包括但不限于资产负债率、流动比率、速动比率、现金/流动负债比率）；当前各类借款总余额，未来半年内和一年内需偿付的上述债务金额（包含对外发行债券的，还应当说明已发行债券余额、到期时间和回售安排等），最近一年是否存在大额债务逾期或违约记录及金额，是否存在主体和债项信用等级下调的情形，因债务问题涉及的重大诉讼或仲裁情况，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控股股东或第一大股东及其一致行动人如为自然人的，应当说明其姓名、性别、国籍、住所、最近三年的职业和职务，控制的核心企业或资产的主营业务情况、最近一年及一期主要财务数据和偿债能力指标，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（3）本次股份质押融资资金具体用途和预计还款资金来源。</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（4）高比例质押股份的原因</w:t>
      </w:r>
      <w:r>
        <w:rPr>
          <w:rFonts w:hint="eastAsia" w:ascii="仿宋" w:hAnsi="仿宋" w:eastAsia="仿宋"/>
          <w:color w:val="000000"/>
          <w:kern w:val="0"/>
          <w:sz w:val="32"/>
          <w:szCs w:val="32"/>
          <w:lang w:eastAsia="zh-CN"/>
        </w:rPr>
        <w:t>及必要性</w:t>
      </w:r>
      <w:r>
        <w:rPr>
          <w:rFonts w:hint="eastAsia" w:ascii="仿宋" w:hAnsi="仿宋" w:eastAsia="仿宋"/>
          <w:color w:val="000000"/>
          <w:kern w:val="0"/>
          <w:sz w:val="32"/>
          <w:szCs w:val="32"/>
        </w:rPr>
        <w:t>，结合履约保障比例和可追加担保资产情况等，分析股东履约能力和追加担保能力，并说明是否存在平仓风险，以及拟采取的防范应对措施。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（5）最近一年又一期与上市公司资金往来、关联交易、担保等重大利益往来情况，说明是否存在侵害上市公司利益的情形。如是，请说明具体情况及解决措施，本次股份质押融资是否用于解决上述情形。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本次质押为补充质押的，可免于披露本条第（1）项至第（3）项信息。</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（三）股东股份被冻结或拍卖等基本情况</w:t>
      </w:r>
    </w:p>
    <w:p>
      <w:pPr>
        <w:tabs>
          <w:tab w:val="left" w:pos="1800"/>
          <w:tab w:val="left" w:pos="1980"/>
        </w:tabs>
        <w:spacing w:line="560" w:lineRule="exact"/>
        <w:ind w:firstLine="614" w:firstLineChars="192"/>
        <w:rPr>
          <w:rFonts w:hint="eastAsia" w:ascii="仿宋" w:hAnsi="仿宋" w:eastAsia="仿宋"/>
          <w:sz w:val="32"/>
          <w:szCs w:val="32"/>
          <w:highlight w:val="none"/>
        </w:rPr>
      </w:pPr>
      <w:r>
        <w:rPr>
          <w:rFonts w:hint="eastAsia" w:ascii="仿宋" w:hAnsi="仿宋" w:eastAsia="仿宋"/>
          <w:sz w:val="32"/>
          <w:szCs w:val="32"/>
        </w:rPr>
        <w:t>1．</w:t>
      </w:r>
      <w:r>
        <w:rPr>
          <w:rFonts w:hint="eastAsia" w:ascii="仿宋" w:hAnsi="仿宋" w:eastAsia="仿宋"/>
          <w:sz w:val="32"/>
          <w:szCs w:val="32"/>
          <w:highlight w:val="none"/>
          <w:lang w:eastAsia="zh-CN"/>
        </w:rPr>
        <w:t>本次</w:t>
      </w:r>
      <w:r>
        <w:rPr>
          <w:rFonts w:hint="eastAsia" w:ascii="仿宋" w:hAnsi="仿宋" w:eastAsia="仿宋"/>
          <w:sz w:val="32"/>
          <w:szCs w:val="32"/>
          <w:highlight w:val="none"/>
        </w:rPr>
        <w:t>股份被冻结或拍卖前股东持股情况</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719"/>
        <w:gridCol w:w="791"/>
        <w:gridCol w:w="1551"/>
        <w:gridCol w:w="1276"/>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股东名称</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eastAsia="zh-CN" w:bidi="ar"/>
              </w:rPr>
              <w:t>是否为控股股东、实际控制人及其一致行动人</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eastAsia="zh-CN" w:bidi="ar"/>
              </w:rPr>
              <w:t>持股</w:t>
            </w:r>
            <w:r>
              <w:rPr>
                <w:rFonts w:hint="eastAsia" w:ascii="仿宋" w:hAnsi="仿宋" w:eastAsia="仿宋" w:cs="仿宋"/>
                <w:b/>
                <w:kern w:val="0"/>
                <w:sz w:val="24"/>
                <w:szCs w:val="24"/>
                <w:lang w:bidi="ar"/>
              </w:rPr>
              <w:t>数量</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占公司总股本比例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eastAsia="zh-CN" w:bidi="ar"/>
              </w:rPr>
              <w:t>当前持股股份来源</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是否存在减持限制或其他权利限制</w:t>
            </w:r>
            <w:r>
              <w:rPr>
                <w:rFonts w:hint="eastAsia" w:ascii="仿宋" w:hAnsi="仿宋" w:eastAsia="仿宋" w:cs="仿宋"/>
                <w:b/>
                <w:kern w:val="0"/>
                <w:sz w:val="24"/>
                <w:szCs w:val="24"/>
                <w:lang w:eastAsia="zh-CN" w:bidi="ar"/>
              </w:rPr>
              <w:t>，如有请列明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_GB2312"/>
                <w:sz w:val="24"/>
                <w:szCs w:val="24"/>
              </w:rPr>
            </w:pP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_GB2312"/>
                <w:sz w:val="24"/>
                <w:szCs w:val="24"/>
              </w:rPr>
            </w:pP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b/>
                <w:sz w:val="24"/>
                <w:szCs w:val="24"/>
                <w:highlight w:val="none"/>
              </w:rPr>
            </w:pPr>
            <w:r>
              <w:rPr>
                <w:rFonts w:hint="eastAsia" w:ascii="仿宋" w:hAnsi="仿宋" w:eastAsia="仿宋"/>
                <w:b/>
                <w:sz w:val="24"/>
                <w:szCs w:val="24"/>
                <w:highlight w:val="none"/>
              </w:rPr>
              <w:t>合计</w:t>
            </w: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b/>
                <w:sz w:val="24"/>
                <w:szCs w:val="24"/>
                <w:highlight w:val="no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bl>
    <w:p>
      <w:pPr>
        <w:tabs>
          <w:tab w:val="left" w:pos="1800"/>
          <w:tab w:val="left" w:pos="1980"/>
        </w:tabs>
        <w:spacing w:line="560" w:lineRule="exact"/>
        <w:ind w:firstLine="614" w:firstLineChars="192"/>
        <w:rPr>
          <w:rFonts w:ascii="仿宋" w:hAnsi="仿宋" w:eastAsia="仿宋"/>
          <w:sz w:val="32"/>
          <w:szCs w:val="32"/>
        </w:rPr>
      </w:pPr>
      <w:r>
        <w:rPr>
          <w:rFonts w:hint="eastAsia" w:ascii="仿宋" w:hAnsi="仿宋" w:eastAsia="仿宋"/>
          <w:sz w:val="32"/>
          <w:szCs w:val="32"/>
          <w:lang w:val="en-US" w:eastAsia="zh-CN"/>
        </w:rPr>
        <w:t xml:space="preserve">2. </w:t>
      </w:r>
      <w:r>
        <w:rPr>
          <w:rFonts w:hint="eastAsia" w:ascii="仿宋" w:hAnsi="仿宋" w:eastAsia="仿宋"/>
          <w:sz w:val="32"/>
          <w:szCs w:val="32"/>
        </w:rPr>
        <w:t>本次股份被冻结或拍卖等基本情况</w:t>
      </w:r>
    </w:p>
    <w:tbl>
      <w:tblPr>
        <w:tblStyle w:val="28"/>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490"/>
        <w:gridCol w:w="943"/>
        <w:gridCol w:w="943"/>
        <w:gridCol w:w="1360"/>
        <w:gridCol w:w="1129"/>
        <w:gridCol w:w="592"/>
        <w:gridCol w:w="553"/>
        <w:gridCol w:w="1304"/>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股东名称</w:t>
            </w:r>
          </w:p>
        </w:tc>
        <w:tc>
          <w:tcPr>
            <w:tcW w:w="14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本次冻结/标记/拍卖等股份数量</w:t>
            </w:r>
          </w:p>
        </w:tc>
        <w:tc>
          <w:tcPr>
            <w:tcW w:w="9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占其所持股份比例</w:t>
            </w:r>
          </w:p>
        </w:tc>
        <w:tc>
          <w:tcPr>
            <w:tcW w:w="9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占公司总股本比例</w:t>
            </w:r>
          </w:p>
        </w:tc>
        <w:tc>
          <w:tcPr>
            <w:tcW w:w="13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b/>
                <w:kern w:val="0"/>
                <w:sz w:val="24"/>
              </w:rPr>
            </w:pPr>
            <w:r>
              <w:rPr>
                <w:rFonts w:hint="eastAsia" w:ascii="仿宋" w:hAnsi="仿宋" w:eastAsia="仿宋" w:cs="仿宋"/>
                <w:b/>
                <w:kern w:val="0"/>
                <w:sz w:val="24"/>
                <w:szCs w:val="24"/>
                <w:lang w:bidi="ar"/>
              </w:rPr>
              <w:t>冻结/标记/拍卖等股份来源</w:t>
            </w:r>
          </w:p>
        </w:tc>
        <w:tc>
          <w:tcPr>
            <w:tcW w:w="11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是否为限售股及限售类型</w:t>
            </w:r>
          </w:p>
        </w:tc>
        <w:tc>
          <w:tcPr>
            <w:tcW w:w="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起始日</w:t>
            </w:r>
          </w:p>
        </w:tc>
        <w:tc>
          <w:tcPr>
            <w:tcW w:w="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到期日</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冻结申请人/拍卖人等</w:t>
            </w:r>
          </w:p>
        </w:tc>
        <w:tc>
          <w:tcPr>
            <w:tcW w:w="5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bl>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1</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根据《关于进一步规范人民法院冻结上市公司质押股票工作的意见》，股东所持质押股份被标记的，还应当披露涉及的人民法院案件债权额及执行费用，人民法院需要冻结的股份数量。同时，请简要说明本次标记涉及质押股份的基本情况或索引相关公告。</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eastAsia="zh-CN"/>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2</w:t>
      </w:r>
      <w:r>
        <w:rPr>
          <w:rFonts w:hint="eastAsia" w:ascii="仿宋" w:hAnsi="仿宋" w:eastAsia="仿宋"/>
          <w:color w:val="000000"/>
          <w:kern w:val="0"/>
          <w:sz w:val="32"/>
          <w:szCs w:val="32"/>
          <w:highlight w:val="none"/>
          <w:lang w:eastAsia="zh-CN"/>
        </w:rPr>
        <w:t>）如涉及司法拍卖（变卖），还应当说明拍卖（变卖）司法机关、拍卖（变卖）原因、拍卖时间、拍卖平台等。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lang w:eastAsia="zh-CN"/>
        </w:rPr>
        <w:t>）如有多名股东、涉及股份分批拍卖（变卖），应当逐笔分开列示。</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3</w:t>
      </w:r>
      <w:r>
        <w:rPr>
          <w:rFonts w:hint="eastAsia" w:ascii="仿宋" w:hAnsi="仿宋" w:eastAsia="仿宋"/>
          <w:color w:val="000000"/>
          <w:kern w:val="0"/>
          <w:sz w:val="32"/>
          <w:szCs w:val="32"/>
        </w:rPr>
        <w:t>．股东股份累计被冻结或拍卖等情况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截至公告披露日，上述股东及其一致行动人所持股份累计被冻结或拍卖等情况如下：</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85"/>
        <w:gridCol w:w="881"/>
        <w:gridCol w:w="1323"/>
        <w:gridCol w:w="1243"/>
        <w:gridCol w:w="131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股东名称</w:t>
            </w:r>
          </w:p>
        </w:tc>
        <w:tc>
          <w:tcPr>
            <w:tcW w:w="118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持股数量</w:t>
            </w:r>
          </w:p>
        </w:tc>
        <w:tc>
          <w:tcPr>
            <w:tcW w:w="8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持股比例</w:t>
            </w:r>
          </w:p>
        </w:tc>
        <w:tc>
          <w:tcPr>
            <w:tcW w:w="1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累计被冻结/拍卖等数量</w:t>
            </w:r>
          </w:p>
        </w:tc>
        <w:tc>
          <w:tcPr>
            <w:tcW w:w="12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累计被标记数量</w:t>
            </w:r>
          </w:p>
        </w:tc>
        <w:tc>
          <w:tcPr>
            <w:tcW w:w="13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合计占其所持股份比例</w:t>
            </w:r>
          </w:p>
        </w:tc>
        <w:tc>
          <w:tcPr>
            <w:tcW w:w="13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合计占公司总股本比例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r>
              <w:rPr>
                <w:rFonts w:hint="eastAsia" w:ascii="仿宋" w:hAnsi="仿宋" w:eastAsia="仿宋"/>
                <w:b/>
                <w:sz w:val="24"/>
              </w:rPr>
              <w:t>合计</w:t>
            </w: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4</w:t>
      </w:r>
      <w:r>
        <w:rPr>
          <w:rFonts w:hint="eastAsia" w:ascii="仿宋" w:hAnsi="仿宋" w:eastAsia="仿宋"/>
          <w:color w:val="000000"/>
          <w:kern w:val="0"/>
          <w:sz w:val="32"/>
          <w:szCs w:val="32"/>
        </w:rPr>
        <w:t>．控股股东或第一大股东及其一致行动人累计被冻结和标记等股份数量占其所持公司股份数量比例达到或超过50%，或者累计被冻结和标记等股份数量达到或超过上市公司总股本30%，或者剔除计算累计被冻结和标记等股份将导致丧失控股股东或第一大股东地位的，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（1）最近一年是否存在大额债务逾期或违约记录及金额，是否存在主体和债项信用等级下调的情形，因债务问题涉及的重大诉讼或仲裁情况。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（2）是否存在非经营性资金占用、违规担保等侵害上市公司利益的情形。如是，请说明具体情况及解决措施。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（3）是否可能导致上市公司实际控制权或第一大股东发生变更，对上市公司生产经营、公司治理、业绩补偿义务履行等可能产生的影响，以及拟采取的防范应对措施。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rPr>
          <w:rFonts w:ascii="仿宋" w:hAnsi="仿宋" w:eastAsia="仿宋" w:cs="宋体"/>
          <w:b/>
          <w:kern w:val="0"/>
          <w:sz w:val="32"/>
          <w:szCs w:val="32"/>
        </w:rPr>
      </w:pPr>
      <w:r>
        <w:rPr>
          <w:rFonts w:hint="eastAsia" w:ascii="仿宋" w:hAnsi="仿宋" w:eastAsia="仿宋" w:cs="宋体"/>
          <w:b/>
          <w:bCs/>
          <w:kern w:val="0"/>
          <w:sz w:val="32"/>
          <w:szCs w:val="32"/>
        </w:rPr>
        <w:t>二、股东股份质押</w:t>
      </w:r>
      <w:r>
        <w:rPr>
          <w:rFonts w:hint="eastAsia" w:ascii="仿宋" w:hAnsi="仿宋" w:eastAsia="仿宋"/>
          <w:b/>
          <w:color w:val="000000"/>
          <w:kern w:val="0"/>
          <w:sz w:val="32"/>
          <w:szCs w:val="32"/>
        </w:rPr>
        <w:t>（冻结或拍卖等）</w:t>
      </w:r>
      <w:r>
        <w:rPr>
          <w:rFonts w:hint="eastAsia" w:ascii="仿宋" w:hAnsi="仿宋" w:eastAsia="仿宋" w:cs="宋体"/>
          <w:b/>
          <w:bCs/>
          <w:kern w:val="0"/>
          <w:sz w:val="32"/>
          <w:szCs w:val="32"/>
        </w:rPr>
        <w:t>后续进展</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（一）股东股份解除质押（解除冻结或拍卖等）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公司近日接到股东函告（或通过其他途径），获悉其所持有本公司的部分股份解除质押（解除冻结或拍卖等），具体事项如下：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1．本次解除质押（解除冻结或拍卖等）基本情况</w:t>
      </w:r>
    </w:p>
    <w:tbl>
      <w:tblPr>
        <w:tblStyle w:val="2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99"/>
        <w:gridCol w:w="1531"/>
        <w:gridCol w:w="1093"/>
        <w:gridCol w:w="955"/>
        <w:gridCol w:w="955"/>
        <w:gridCol w:w="7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16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是否为控股股东或第一大股东及其一致行动人</w:t>
            </w:r>
          </w:p>
        </w:tc>
        <w:tc>
          <w:tcPr>
            <w:tcW w:w="153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本次解除质押/冻结/标记/拍卖等股份数量</w:t>
            </w:r>
          </w:p>
        </w:tc>
        <w:tc>
          <w:tcPr>
            <w:tcW w:w="10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9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9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起始日</w:t>
            </w:r>
          </w:p>
        </w:tc>
        <w:tc>
          <w:tcPr>
            <w:tcW w:w="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解除日期</w:t>
            </w:r>
          </w:p>
        </w:tc>
        <w:tc>
          <w:tcPr>
            <w:tcW w:w="123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质权人/申请人等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2．股东股份累计质押（冻结或拍卖等）基本情况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截至公告披露日，上述股东及其一致行动人所持质押股份（累计被冻结或拍卖等股份）情况如下：</w:t>
      </w:r>
    </w:p>
    <w:tbl>
      <w:tblPr>
        <w:tblStyle w:val="28"/>
        <w:tblW w:w="11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821"/>
        <w:gridCol w:w="1193"/>
        <w:gridCol w:w="1069"/>
        <w:gridCol w:w="971"/>
        <w:gridCol w:w="971"/>
        <w:gridCol w:w="1387"/>
        <w:gridCol w:w="965"/>
        <w:gridCol w:w="1305"/>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持股数量</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持股比例</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累计被质押/冻结/拍卖等数量</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b/>
                <w:kern w:val="0"/>
                <w:sz w:val="24"/>
              </w:rPr>
            </w:pPr>
            <w:r>
              <w:rPr>
                <w:rFonts w:hint="eastAsia" w:ascii="仿宋" w:hAnsi="仿宋" w:eastAsia="仿宋"/>
                <w:b/>
                <w:kern w:val="0"/>
                <w:sz w:val="24"/>
              </w:rPr>
              <w:t>累计被标记数量（解除冻结/标记适用）</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合计占其所持股份比例</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合计占公司总股本比例</w:t>
            </w:r>
          </w:p>
        </w:tc>
        <w:tc>
          <w:tcPr>
            <w:tcW w:w="235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已质押股份情况（解除质押适用）</w:t>
            </w:r>
          </w:p>
        </w:tc>
        <w:tc>
          <w:tcPr>
            <w:tcW w:w="234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未质押股份情况</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（解除质押适用）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已质押股份限售和冻结、标记合计数量</w:t>
            </w:r>
          </w:p>
        </w:tc>
        <w:tc>
          <w:tcPr>
            <w:tcW w:w="96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占已质押股份比例</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未质押股份限售和冻结合计数量</w:t>
            </w:r>
          </w:p>
        </w:tc>
        <w:tc>
          <w:tcPr>
            <w:tcW w:w="104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上市公司股东及其一致行动人所持公司5%以上的质押股份发生延期等变化的，应当参照本公告格式披露该部分股份当时质押的基本情况及当前最新情况，并说明发生延期等变化的主要原因，是否具备履约能力。涉及控股股东或第一大股东及其一致行动人的，还应说明质押股份是否存在平仓风险，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outlineLvl w:val="9"/>
        <w:rPr>
          <w:rFonts w:hint="eastAsia" w:ascii="仿宋" w:hAnsi="仿宋" w:eastAsia="仿宋" w:cs="Times New Roman"/>
          <w:b/>
          <w:color w:val="000000"/>
          <w:kern w:val="0"/>
          <w:sz w:val="32"/>
          <w:szCs w:val="32"/>
          <w:lang w:val="en-US" w:eastAsia="zh-CN"/>
        </w:rPr>
      </w:pPr>
      <w:r>
        <w:rPr>
          <w:rFonts w:hint="eastAsia" w:ascii="仿宋" w:hAnsi="仿宋" w:eastAsia="仿宋"/>
          <w:b/>
          <w:color w:val="000000"/>
          <w:kern w:val="0"/>
          <w:sz w:val="32"/>
          <w:szCs w:val="32"/>
        </w:rPr>
        <w:t>（二）</w:t>
      </w:r>
      <w:r>
        <w:rPr>
          <w:rFonts w:hint="eastAsia" w:ascii="仿宋" w:hAnsi="仿宋" w:eastAsia="仿宋" w:cs="Times New Roman"/>
          <w:b/>
          <w:color w:val="000000"/>
          <w:kern w:val="0"/>
          <w:sz w:val="32"/>
          <w:szCs w:val="32"/>
          <w:lang w:val="en-US" w:eastAsia="zh-CN"/>
        </w:rPr>
        <w:t>其他进展情况</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val="en-US" w:eastAsia="zh-CN"/>
        </w:rPr>
      </w:pPr>
      <w:r>
        <w:rPr>
          <w:rFonts w:hint="eastAsia" w:ascii="仿宋" w:hAnsi="仿宋" w:eastAsia="仿宋"/>
          <w:color w:val="000000"/>
          <w:kern w:val="0"/>
          <w:sz w:val="32"/>
          <w:szCs w:val="32"/>
          <w:highlight w:val="none"/>
          <w:lang w:val="en-US" w:eastAsia="zh-CN"/>
        </w:rPr>
        <w:t>股东股份被司法拍卖（变卖）的，应当披露有关进展情况，如竞拍结束、收到成交结果确认书、收到司法机关执行裁定书或者流拍等。拍卖（变卖）成交的，应当说明买受人、成交股份数量、成交价格等；完成过户登记的，应当说明股份过户时间、过户股份数量、过出方及受让方持股变化等情况。</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cs="Times New Roman"/>
          <w:b/>
          <w:color w:val="000000"/>
          <w:kern w:val="0"/>
          <w:sz w:val="32"/>
          <w:szCs w:val="32"/>
          <w:lang w:val="en-US" w:eastAsia="zh-CN"/>
        </w:rPr>
        <w:t>（三）</w:t>
      </w:r>
      <w:r>
        <w:rPr>
          <w:rFonts w:hint="eastAsia" w:ascii="仿宋" w:hAnsi="仿宋" w:eastAsia="仿宋"/>
          <w:b/>
          <w:color w:val="000000"/>
          <w:kern w:val="0"/>
          <w:sz w:val="32"/>
          <w:szCs w:val="32"/>
        </w:rPr>
        <w:t>股东股份存在平仓风险或被强制过户风险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1．上市公司股东及其一致行动人所持公司5%以上的股份存在平仓风险或被强制过户风险时，该股东应当及时通知上市公司并披露如下信息：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（1）涉及股份的基本情况，包括但不限于股份数量、股份来源、是否处于限售或冻结/标记状态、质权人/申请人等、占股东所持公司股份比例、占公司总股本比例。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（2）相关股东的履约能力、追加担保能力。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（3）是否可能导致上市公司实际控制权或第一大股东发生变更，对上市公司生产经营、公司治理、业绩补偿义务履行等的影响，以及拟采取的防范应对措施。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相关股东应及时通知上市公司并披露平仓风险或被强制过户风险的后续进展情况，包括但不限于：解除平仓风险或被强制过户风险的情况；被强制平仓或强制过户情况，上市公司实际控制权或第一大股东是否发生变更，对上市公司生产经营、公司治理、业绩补偿义务履行等的影响，拟采取的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因被强制平仓或强制过户等导致拥有权益的股份数量发生变动的，相关股东还应当按照《证券法》《上市公司收购管理办法》《上市公司股东减持股份管理</w:t>
      </w:r>
      <w:r>
        <w:rPr>
          <w:rFonts w:hint="eastAsia" w:ascii="仿宋" w:hAnsi="仿宋" w:eastAsia="仿宋"/>
          <w:color w:val="000000"/>
          <w:kern w:val="0"/>
          <w:sz w:val="32"/>
          <w:szCs w:val="32"/>
          <w:lang w:eastAsia="zh-CN"/>
        </w:rPr>
        <w:t>暂行</w:t>
      </w:r>
      <w:r>
        <w:rPr>
          <w:rFonts w:hint="eastAsia" w:ascii="仿宋" w:hAnsi="仿宋" w:eastAsia="仿宋"/>
          <w:color w:val="000000"/>
          <w:kern w:val="0"/>
          <w:sz w:val="32"/>
          <w:szCs w:val="32"/>
        </w:rPr>
        <w:t>办法》、本所《上市公司自律监管指引第18号——股东及董事、高级管理人员减持股份》等相关规定，履行信息披露等义务。</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3．上市公司董事会、处于持续督导期的保荐人和财务顾问（如适用）应当对控股股东或第一大股东及其一致行动人存在平仓风险或被强制过户风险时披露的以下事项进行核查并发表意见：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（1）是否可能导致上市公司实际控制权或第一大股东发生变更。</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（2）对上市公司生产经营、公司治理、业绩补偿义务履行等的影响。</w:t>
      </w:r>
    </w:p>
    <w:p>
      <w:pPr>
        <w:widowControl/>
        <w:spacing w:line="560" w:lineRule="exact"/>
        <w:ind w:firstLine="6880" w:firstLineChars="2150"/>
        <w:rPr>
          <w:rFonts w:ascii="仿宋" w:hAnsi="仿宋" w:eastAsia="仿宋" w:cs="宋体"/>
          <w:kern w:val="0"/>
          <w:sz w:val="32"/>
          <w:szCs w:val="32"/>
        </w:rPr>
      </w:pPr>
    </w:p>
    <w:p>
      <w:pPr>
        <w:widowControl/>
        <w:spacing w:line="560" w:lineRule="exact"/>
        <w:ind w:firstLine="4320" w:firstLineChars="1350"/>
        <w:jc w:val="right"/>
        <w:rPr>
          <w:rFonts w:ascii="仿宋" w:hAnsi="仿宋" w:eastAsia="仿宋" w:cs="宋体"/>
          <w:kern w:val="0"/>
          <w:sz w:val="32"/>
          <w:szCs w:val="32"/>
        </w:rPr>
      </w:pPr>
      <w:r>
        <w:rPr>
          <w:rFonts w:hint="eastAsia" w:ascii="仿宋" w:hAnsi="仿宋" w:eastAsia="仿宋" w:cs="宋体"/>
          <w:kern w:val="0"/>
          <w:sz w:val="32"/>
          <w:szCs w:val="32"/>
        </w:rPr>
        <w:t>XX股份有限公司董事会</w:t>
      </w:r>
    </w:p>
    <w:p>
      <w:pPr>
        <w:spacing w:line="560" w:lineRule="exact"/>
        <w:jc w:val="right"/>
        <w:rPr>
          <w:rFonts w:hint="eastAsia" w:ascii="仿宋" w:hAnsi="仿宋" w:eastAsia="仿宋" w:cs="宋体"/>
          <w:kern w:val="0"/>
          <w:sz w:val="32"/>
          <w:szCs w:val="32"/>
        </w:rPr>
      </w:pPr>
      <w:r>
        <w:rPr>
          <w:rFonts w:hint="eastAsia" w:ascii="仿宋" w:hAnsi="仿宋" w:eastAsia="仿宋" w:cs="宋体"/>
          <w:kern w:val="0"/>
          <w:sz w:val="32"/>
          <w:szCs w:val="32"/>
        </w:rPr>
        <w:t xml:space="preserve">                      XX年XX月XX日</w:t>
      </w:r>
    </w:p>
    <w:p>
      <w:pPr>
        <w:widowControl/>
        <w:spacing w:line="560" w:lineRule="exact"/>
        <w:ind w:firstLine="643" w:firstLineChars="200"/>
        <w:rPr>
          <w:rFonts w:hint="eastAsia" w:ascii="仿宋" w:hAnsi="仿宋" w:eastAsia="仿宋" w:cs="宋体"/>
          <w:b/>
          <w:kern w:val="0"/>
          <w:sz w:val="32"/>
          <w:szCs w:val="32"/>
        </w:rPr>
      </w:pPr>
    </w:p>
    <w:p>
      <w:pPr>
        <w:widowControl/>
        <w:spacing w:line="560" w:lineRule="exact"/>
        <w:ind w:firstLine="643" w:firstLineChars="200"/>
        <w:rPr>
          <w:rFonts w:hint="eastAsia" w:ascii="仿宋" w:hAnsi="仿宋" w:eastAsia="仿宋" w:cs="宋体"/>
          <w:b/>
          <w:kern w:val="0"/>
          <w:sz w:val="32"/>
          <w:szCs w:val="32"/>
        </w:rPr>
      </w:pPr>
    </w:p>
    <w:p>
      <w:pPr>
        <w:widowControl/>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备查文件</w:t>
      </w:r>
    </w:p>
    <w:p>
      <w:pPr>
        <w:widowControl/>
        <w:spacing w:line="560" w:lineRule="exact"/>
        <w:ind w:right="-147" w:rightChars="-70" w:firstLine="640" w:firstLineChars="200"/>
        <w:rPr>
          <w:rFonts w:hint="eastAsia" w:ascii="仿宋" w:hAnsi="仿宋" w:eastAsia="仿宋" w:cs="宋体"/>
          <w:kern w:val="0"/>
          <w:sz w:val="32"/>
          <w:szCs w:val="32"/>
          <w:lang w:eastAsia="zh"/>
        </w:rPr>
      </w:pPr>
      <w:r>
        <w:rPr>
          <w:rFonts w:hint="eastAsia" w:ascii="仿宋" w:hAnsi="仿宋" w:eastAsia="仿宋" w:cs="宋体"/>
          <w:kern w:val="0"/>
          <w:sz w:val="32"/>
          <w:szCs w:val="32"/>
        </w:rPr>
        <w:t>1．股份质押登记证明</w:t>
      </w:r>
      <w:r>
        <w:rPr>
          <w:rFonts w:hint="eastAsia" w:ascii="仿宋" w:hAnsi="仿宋" w:eastAsia="仿宋" w:cs="宋体"/>
          <w:kern w:val="0"/>
          <w:sz w:val="32"/>
          <w:szCs w:val="32"/>
          <w:lang w:eastAsia="zh"/>
        </w:rPr>
        <w:t>；</w:t>
      </w:r>
    </w:p>
    <w:p>
      <w:pPr>
        <w:widowControl/>
        <w:spacing w:line="560" w:lineRule="exact"/>
        <w:ind w:firstLine="640" w:firstLineChars="200"/>
        <w:rPr>
          <w:rFonts w:hint="eastAsia" w:ascii="仿宋" w:hAnsi="仿宋" w:eastAsia="仿宋" w:cs="宋体"/>
          <w:kern w:val="0"/>
          <w:sz w:val="32"/>
          <w:szCs w:val="32"/>
          <w:lang w:eastAsia="zh"/>
        </w:rPr>
      </w:pPr>
      <w:r>
        <w:rPr>
          <w:rFonts w:hint="eastAsia" w:ascii="仿宋" w:hAnsi="仿宋" w:eastAsia="仿宋" w:cs="宋体"/>
          <w:kern w:val="0"/>
          <w:sz w:val="32"/>
          <w:szCs w:val="32"/>
        </w:rPr>
        <w:t>2．中国证券登记结算有限责任公司股份冻结明细</w:t>
      </w:r>
      <w:r>
        <w:rPr>
          <w:rFonts w:hint="eastAsia" w:ascii="仿宋" w:hAnsi="仿宋" w:eastAsia="仿宋" w:cs="宋体"/>
          <w:kern w:val="0"/>
          <w:sz w:val="32"/>
          <w:szCs w:val="32"/>
          <w:lang w:eastAsia="zh"/>
        </w:rPr>
        <w:t>；</w:t>
      </w:r>
    </w:p>
    <w:p>
      <w:pPr>
        <w:widowControl/>
        <w:spacing w:line="560" w:lineRule="exact"/>
        <w:ind w:firstLine="640" w:firstLineChars="200"/>
        <w:rPr>
          <w:rFonts w:hint="eastAsia" w:ascii="仿宋" w:hAnsi="仿宋" w:eastAsia="仿宋" w:cs="宋体"/>
          <w:kern w:val="0"/>
          <w:sz w:val="32"/>
          <w:szCs w:val="32"/>
          <w:lang w:eastAsia="zh"/>
        </w:rPr>
      </w:pPr>
      <w:r>
        <w:rPr>
          <w:rFonts w:hint="eastAsia" w:ascii="仿宋" w:hAnsi="仿宋" w:eastAsia="仿宋" w:cs="宋体"/>
          <w:kern w:val="0"/>
          <w:sz w:val="32"/>
          <w:szCs w:val="32"/>
        </w:rPr>
        <w:t>3．其他相关机构或单位出具的质押（冻结或拍卖等）证明文件</w:t>
      </w:r>
      <w:r>
        <w:rPr>
          <w:rFonts w:hint="eastAsia" w:ascii="仿宋" w:hAnsi="仿宋" w:eastAsia="仿宋" w:cs="宋体"/>
          <w:kern w:val="0"/>
          <w:sz w:val="32"/>
          <w:szCs w:val="32"/>
          <w:lang w:eastAsia="zh"/>
        </w:rPr>
        <w:t>；</w:t>
      </w:r>
    </w:p>
    <w:p>
      <w:pPr>
        <w:widowControl/>
        <w:spacing w:line="560" w:lineRule="exact"/>
        <w:ind w:firstLine="640" w:firstLineChars="200"/>
        <w:rPr>
          <w:rFonts w:hint="eastAsia" w:ascii="仿宋" w:hAnsi="仿宋" w:eastAsia="仿宋" w:cs="宋体"/>
          <w:kern w:val="0"/>
          <w:sz w:val="32"/>
          <w:szCs w:val="32"/>
          <w:lang w:eastAsia="zh"/>
        </w:rPr>
      </w:pPr>
      <w:r>
        <w:rPr>
          <w:rFonts w:hint="eastAsia" w:ascii="仿宋" w:hAnsi="仿宋" w:eastAsia="仿宋" w:cs="宋体"/>
          <w:kern w:val="0"/>
          <w:sz w:val="32"/>
          <w:szCs w:val="32"/>
        </w:rPr>
        <w:t>4．董事会的书面意见（如适用）</w:t>
      </w:r>
      <w:r>
        <w:rPr>
          <w:rFonts w:hint="eastAsia" w:ascii="仿宋" w:hAnsi="仿宋" w:eastAsia="仿宋" w:cs="宋体"/>
          <w:kern w:val="0"/>
          <w:sz w:val="32"/>
          <w:szCs w:val="32"/>
          <w:lang w:eastAsia="zh"/>
        </w:rPr>
        <w:t>；</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5．保荐人或财务顾问的书面意见（如适用）。</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val="0"/>
        <w:keepLines w:val="0"/>
        <w:spacing w:line="240" w:lineRule="auto"/>
        <w:jc w:val="left"/>
        <w:outlineLvl w:val="9"/>
        <w:rPr>
          <w:rFonts w:hint="eastAsia" w:ascii="方正小标宋简体" w:hAnsi="仿宋" w:eastAsia="方正小标宋简体"/>
          <w:kern w:val="44"/>
          <w:sz w:val="44"/>
          <w:szCs w:val="44"/>
        </w:rPr>
      </w:pPr>
      <w:bookmarkStart w:id="108" w:name="_Toc1988"/>
      <w:bookmarkStart w:id="109" w:name="_Toc164973731"/>
      <w:bookmarkStart w:id="110" w:name="_Toc19348"/>
      <w:r>
        <w:rPr>
          <w:rFonts w:hint="eastAsia" w:ascii="方正小标宋简体" w:hAnsi="仿宋" w:eastAsia="方正小标宋简体"/>
          <w:kern w:val="44"/>
          <w:sz w:val="44"/>
          <w:szCs w:val="44"/>
        </w:rPr>
        <w:br w:type="page"/>
      </w: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上市公司股东及董事、高级管理人员减持股份预披露公告格式</w:t>
      </w:r>
      <w:bookmarkEnd w:id="108"/>
      <w:bookmarkEnd w:id="109"/>
      <w:bookmarkEnd w:id="110"/>
    </w:p>
    <w:p>
      <w:pPr>
        <w:widowControl/>
        <w:adjustRightInd w:val="0"/>
        <w:spacing w:line="560" w:lineRule="exact"/>
        <w:ind w:right="360" w:firstLine="540"/>
        <w:jc w:val="center"/>
        <w:rPr>
          <w:rFonts w:ascii="仿宋" w:hAnsi="仿宋" w:eastAsia="仿宋"/>
          <w:b/>
          <w:bCs/>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适用情形及注意事项：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1.上市公司持有5%以上股份的股东、实际控制人（以下简称大股东）及董事、高级管理人员计划通过本所证券交易系统以集中竞价交易方式或者大宗交易方式减持股份，根据证监会《上市公司股东减持股份管理</w:t>
      </w:r>
      <w:r>
        <w:rPr>
          <w:rFonts w:hint="eastAsia" w:ascii="仿宋" w:hAnsi="仿宋" w:eastAsia="仿宋"/>
          <w:color w:val="000000"/>
          <w:sz w:val="32"/>
          <w:szCs w:val="32"/>
          <w:lang w:eastAsia="zh-CN"/>
        </w:rPr>
        <w:t>暂行</w:t>
      </w:r>
      <w:r>
        <w:rPr>
          <w:rFonts w:hint="eastAsia" w:ascii="仿宋" w:hAnsi="仿宋" w:eastAsia="仿宋"/>
          <w:color w:val="000000"/>
          <w:sz w:val="32"/>
          <w:szCs w:val="32"/>
        </w:rPr>
        <w:t>办法》《上市公司董事</w:t>
      </w:r>
      <w:r>
        <w:rPr>
          <w:rFonts w:hint="eastAsia" w:ascii="仿宋" w:hAnsi="仿宋" w:eastAsia="仿宋"/>
          <w:color w:val="000000"/>
          <w:sz w:val="32"/>
          <w:szCs w:val="32"/>
          <w:lang w:eastAsia="zh-CN"/>
        </w:rPr>
        <w:t>和</w:t>
      </w:r>
      <w:r>
        <w:rPr>
          <w:rFonts w:hint="eastAsia" w:ascii="仿宋" w:hAnsi="仿宋" w:eastAsia="仿宋"/>
          <w:color w:val="000000"/>
          <w:sz w:val="32"/>
          <w:szCs w:val="32"/>
        </w:rPr>
        <w:t>高级管理人员所持本公司股份及其变动管理规则》以及本所《创业板股票上市规则》《上市公司自律监管指引第18号——股东及董事、高级管理人员减持股份》等规定，在首次卖出的十五个交易日之前预先披露减持计划公告的，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2.上市公司大股东的一致行动人、首次公开发行时的控股股东、实际控制人及其一致行动人等相关股东，根据有关规定披露减持计划的，适用本公告格式。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3.股东根据其他规定或承诺披露减持计划的，参照适用本公告格式。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4.已披露减持计划的股东应当在减持计划实施完毕后或减持期限届满后两个交易日内按照本指南《第</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号 上市公司股东减持股份实施情况公告格式》披露减持计划实施情况。</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 xml:space="preserve"> 上市公司同时在境内外市场发行股份并上市的，按相关股东通过本所证券交易系统减持股份数量和境内外发行股份的总股本计算减持比例。</w:t>
      </w:r>
    </w:p>
    <w:p>
      <w:pPr>
        <w:widowControl/>
        <w:spacing w:line="560" w:lineRule="exact"/>
        <w:ind w:firstLine="640" w:firstLineChars="200"/>
        <w:jc w:val="left"/>
        <w:rPr>
          <w:rFonts w:ascii="仿宋" w:hAnsi="仿宋" w:eastAsia="仿宋"/>
          <w:sz w:val="32"/>
          <w:szCs w:val="32"/>
        </w:rPr>
      </w:pPr>
    </w:p>
    <w:p>
      <w:pPr>
        <w:widowControl/>
        <w:spacing w:line="560" w:lineRule="exact"/>
        <w:jc w:val="center"/>
        <w:rPr>
          <w:rFonts w:ascii="仿宋" w:hAnsi="仿宋" w:eastAsia="仿宋" w:cs="宋体"/>
          <w:b/>
          <w:bCs/>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XXXXXX股份有限公司大股东/</w:t>
      </w:r>
      <w:r>
        <w:rPr>
          <w:rFonts w:hint="eastAsia" w:ascii="仿宋" w:hAnsi="仿宋" w:eastAsia="仿宋" w:cs="宋体"/>
          <w:bCs/>
          <w:color w:val="000000"/>
          <w:kern w:val="0"/>
          <w:sz w:val="32"/>
          <w:szCs w:val="32"/>
          <w:lang w:eastAsia="zh-CN"/>
        </w:rPr>
        <w:t>董事</w:t>
      </w:r>
      <w:r>
        <w:rPr>
          <w:rFonts w:hint="eastAsia" w:ascii="仿宋" w:hAnsi="仿宋" w:eastAsia="仿宋" w:cs="宋体"/>
          <w:bCs/>
          <w:color w:val="000000"/>
          <w:kern w:val="0"/>
          <w:sz w:val="32"/>
          <w:szCs w:val="32"/>
          <w:lang w:val="en-US" w:eastAsia="zh-CN"/>
        </w:rPr>
        <w:t>/高级管理人员</w:t>
      </w:r>
      <w:r>
        <w:rPr>
          <w:rFonts w:hint="eastAsia" w:ascii="仿宋" w:hAnsi="仿宋" w:eastAsia="仿宋" w:cs="宋体"/>
          <w:bCs/>
          <w:color w:val="000000"/>
          <w:kern w:val="0"/>
          <w:sz w:val="32"/>
          <w:szCs w:val="32"/>
        </w:rPr>
        <w:t>XX</w:t>
      </w:r>
      <w:r>
        <w:rPr>
          <w:rFonts w:hint="eastAsia" w:ascii="仿宋" w:hAnsi="仿宋" w:eastAsia="仿宋"/>
          <w:kern w:val="0"/>
          <w:sz w:val="32"/>
          <w:szCs w:val="32"/>
        </w:rPr>
        <w:t>（减持主体）</w:t>
      </w:r>
      <w:r>
        <w:rPr>
          <w:rFonts w:hint="eastAsia" w:ascii="仿宋" w:hAnsi="仿宋" w:eastAsia="仿宋" w:cs="宋体"/>
          <w:bCs/>
          <w:color w:val="000000"/>
          <w:kern w:val="0"/>
          <w:sz w:val="32"/>
          <w:szCs w:val="32"/>
        </w:rPr>
        <w:t>减持股份</w:t>
      </w:r>
      <w:r>
        <w:rPr>
          <w:rFonts w:hint="eastAsia" w:ascii="仿宋" w:hAnsi="仿宋" w:eastAsia="仿宋"/>
          <w:bCs/>
          <w:sz w:val="32"/>
          <w:szCs w:val="32"/>
        </w:rPr>
        <w:t>预披露</w:t>
      </w:r>
      <w:r>
        <w:rPr>
          <w:rFonts w:hint="eastAsia" w:ascii="仿宋" w:hAnsi="仿宋" w:eastAsia="仿宋" w:cs="宋体"/>
          <w:bCs/>
          <w:color w:val="000000"/>
          <w:kern w:val="0"/>
          <w:sz w:val="32"/>
          <w:szCs w:val="32"/>
        </w:rPr>
        <w:t>公告</w:t>
      </w:r>
    </w:p>
    <w:p>
      <w:pPr>
        <w:widowControl/>
        <w:spacing w:line="560" w:lineRule="exact"/>
        <w:ind w:firstLine="411" w:firstLineChars="196"/>
        <w:jc w:val="left"/>
        <w:rPr>
          <w:rFonts w:ascii="仿宋" w:hAnsi="仿宋" w:eastAsia="仿宋"/>
          <w:b/>
          <w:color w:val="000000"/>
          <w:sz w:val="32"/>
          <w:szCs w:val="32"/>
        </w:rPr>
      </w:pPr>
      <w: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38100</wp:posOffset>
                </wp:positionV>
                <wp:extent cx="5791200" cy="1475740"/>
                <wp:effectExtent l="4445" t="5080" r="14605" b="5080"/>
                <wp:wrapNone/>
                <wp:docPr id="73" name="矩形 73"/>
                <wp:cNvGraphicFramePr/>
                <a:graphic xmlns:a="http://schemas.openxmlformats.org/drawingml/2006/main">
                  <a:graphicData uri="http://schemas.microsoft.com/office/word/2010/wordprocessingShape">
                    <wps:wsp>
                      <wps:cNvSpPr>
                        <a:spLocks noChangeArrowheads="1"/>
                      </wps:cNvSpPr>
                      <wps:spPr bwMode="auto">
                        <a:xfrm>
                          <a:off x="0" y="0"/>
                          <a:ext cx="5791200" cy="147574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大股东/董事/高级管理人员XX</w:t>
                            </w:r>
                            <w:r>
                              <w:rPr>
                                <w:rFonts w:hint="eastAsia" w:ascii="仿宋" w:hAnsi="仿宋" w:eastAsia="仿宋" w:cs="宋体"/>
                                <w:bCs/>
                                <w:color w:val="000000"/>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3pt;height:116.2pt;width:456pt;z-index:251674624;mso-width-relative:page;mso-height-relative:page;" fillcolor="#FFFFFF" filled="t" stroked="t" coordsize="21600,21600" o:gfxdata="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&#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4sSO31wAAAAgBAAAPAAAAAAAAAAEAIAAAACIAAABk&#10;cnMvZG93bnJldi54bWxQSwECFAAUAAAACACHTuJA5RIO9k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大股东/董事/高级管理人员XX</w:t>
                      </w:r>
                      <w:r>
                        <w:rPr>
                          <w:rFonts w:hint="eastAsia" w:ascii="仿宋" w:hAnsi="仿宋" w:eastAsia="仿宋" w:cs="宋体"/>
                          <w:bCs/>
                          <w:color w:val="000000"/>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630" w:firstLineChars="196"/>
        <w:jc w:val="left"/>
        <w:rPr>
          <w:rFonts w:ascii="仿宋" w:hAnsi="仿宋" w:eastAsia="仿宋"/>
          <w:b/>
          <w:color w:val="000000"/>
          <w:sz w:val="32"/>
          <w:szCs w:val="32"/>
        </w:rPr>
      </w:pPr>
    </w:p>
    <w:p>
      <w:pPr>
        <w:widowControl/>
        <w:spacing w:line="560" w:lineRule="exact"/>
        <w:ind w:firstLine="630" w:firstLineChars="196"/>
        <w:jc w:val="left"/>
        <w:rPr>
          <w:rFonts w:ascii="仿宋" w:hAnsi="仿宋" w:eastAsia="仿宋"/>
          <w:b/>
          <w:color w:val="000000"/>
          <w:sz w:val="32"/>
          <w:szCs w:val="32"/>
        </w:rPr>
      </w:pPr>
    </w:p>
    <w:p>
      <w:pPr>
        <w:widowControl/>
        <w:spacing w:line="560" w:lineRule="exact"/>
        <w:ind w:firstLine="630" w:firstLineChars="196"/>
        <w:jc w:val="lef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持有本公司股份__（数量）股（占本公司总股本比例___%）的大股东/</w:t>
      </w:r>
      <w:r>
        <w:rPr>
          <w:rFonts w:hint="eastAsia" w:ascii="仿宋" w:hAnsi="仿宋" w:eastAsia="仿宋"/>
          <w:color w:val="000000"/>
          <w:sz w:val="32"/>
          <w:szCs w:val="32"/>
          <w:lang w:eastAsia="zh-CN"/>
        </w:rPr>
        <w:t>董事</w:t>
      </w:r>
      <w:r>
        <w:rPr>
          <w:rFonts w:hint="eastAsia" w:ascii="仿宋" w:hAnsi="仿宋" w:eastAsia="仿宋"/>
          <w:color w:val="000000"/>
          <w:sz w:val="32"/>
          <w:szCs w:val="32"/>
          <w:lang w:val="en-US" w:eastAsia="zh-CN"/>
        </w:rPr>
        <w:t>/高级管理人员</w:t>
      </w:r>
      <w:r>
        <w:rPr>
          <w:rFonts w:hint="eastAsia" w:ascii="仿宋" w:hAnsi="仿宋" w:eastAsia="仿宋"/>
          <w:color w:val="000000"/>
          <w:sz w:val="32"/>
          <w:szCs w:val="32"/>
        </w:rPr>
        <w:t>/（其他股东身份）XX__（名称）计划在___（期间）以集中竞价方式/大宗交易方式减持本公司股份___（数量）股（占本公司总股本比例___%）。</w:t>
      </w:r>
    </w:p>
    <w:p>
      <w:pPr>
        <w:spacing w:line="560" w:lineRule="exact"/>
        <w:ind w:firstLine="640" w:firstLineChars="200"/>
        <w:rPr>
          <w:rFonts w:ascii="仿宋" w:hAnsi="仿宋" w:eastAsia="仿宋"/>
          <w:color w:val="000000"/>
          <w:sz w:val="32"/>
          <w:szCs w:val="32"/>
        </w:rPr>
      </w:pP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一、XX（减持主体）的基本情况</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（一）XX（减持主体）的名称。</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（二）XX（减持主体）持有股份的总数量、占公司总股本的比例。</w:t>
      </w: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二、本次减持计划的主要内容</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（一）本次拟减持的原因、股份来源、数量、方式、占公司总股本的比例、减持期间（不超过3个月）、价格区间等具体安排。 </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（二）本次拟减持事项是否与XX（减持主体）此前已披露的持股意向、承诺一致。</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（三）XX（减持主体）是否存在本所《上市公司自律监管指引第18号——股东及董事、高级管理人员减持股份》第五条至第九条（如适用）规定的情形。</w:t>
      </w: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三、相关风险提示</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（一）减持计划实施的不确定性风险，如计划实施的前提条件、限制性条件以及相关条件成就或消除的具体情形等。</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（二）减持计划实施可能导致上市公司控制权发生变更的风险（如适用）。</w:t>
      </w:r>
    </w:p>
    <w:p>
      <w:pPr>
        <w:widowControl/>
        <w:spacing w:line="54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pPr>
    </w:p>
    <w:p>
      <w:pPr>
        <w:widowControl/>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备查文件</w:t>
      </w:r>
    </w:p>
    <w:p>
      <w:pPr>
        <w:pStyle w:val="2"/>
        <w:spacing w:line="560" w:lineRule="exact"/>
        <w:ind w:firstLine="640" w:firstLineChars="200"/>
        <w:sectPr>
          <w:pgSz w:w="11906" w:h="16838"/>
          <w:pgMar w:top="1440" w:right="1800" w:bottom="1440" w:left="1800" w:header="851" w:footer="992" w:gutter="0"/>
          <w:cols w:space="720" w:num="1"/>
          <w:formProt w:val="1"/>
          <w:docGrid w:type="lines" w:linePitch="312" w:charSpace="0"/>
        </w:sectPr>
      </w:pPr>
      <w:r>
        <w:rPr>
          <w:rFonts w:hint="eastAsia" w:ascii="仿宋" w:hAnsi="仿宋" w:eastAsia="仿宋"/>
          <w:sz w:val="32"/>
          <w:szCs w:val="32"/>
        </w:rPr>
        <w:t>股东关于减持计划的书面文件。</w:t>
      </w:r>
    </w:p>
    <w:p>
      <w:pPr>
        <w:keepNext/>
        <w:keepLines/>
        <w:pageBreakBefore w:val="0"/>
        <w:widowControl w:val="0"/>
        <w:kinsoku/>
        <w:wordWrap/>
        <w:overflowPunct/>
        <w:topLinePunct w:val="0"/>
        <w:autoSpaceDE/>
        <w:autoSpaceDN/>
        <w:bidi w:val="0"/>
        <w:adjustRightInd/>
        <w:snapToGrid/>
        <w:spacing w:before="340" w:line="560" w:lineRule="exact"/>
        <w:jc w:val="center"/>
        <w:textAlignment w:val="auto"/>
        <w:outlineLvl w:val="2"/>
        <w:rPr>
          <w:rFonts w:hint="eastAsia" w:ascii="方正小标宋简体" w:hAnsi="仿宋" w:eastAsia="方正小标宋简体" w:cs="Times New Roman"/>
          <w:kern w:val="44"/>
          <w:sz w:val="44"/>
          <w:szCs w:val="44"/>
        </w:rPr>
      </w:pPr>
      <w:bookmarkStart w:id="111" w:name="_Toc7503"/>
      <w:bookmarkStart w:id="112" w:name="_Toc23331"/>
      <w:bookmarkStart w:id="113" w:name="_Toc6653"/>
      <w:r>
        <w:rPr>
          <w:rFonts w:hint="eastAsia" w:ascii="方正小标宋简体" w:hAnsi="仿宋" w:eastAsia="方正小标宋简体" w:cs="Times New Roman"/>
          <w:kern w:val="44"/>
          <w:sz w:val="44"/>
          <w:szCs w:val="44"/>
        </w:rPr>
        <w:t>第</w:t>
      </w:r>
      <w:r>
        <w:rPr>
          <w:rFonts w:hint="eastAsia" w:ascii="方正小标宋简体" w:hAnsi="仿宋" w:eastAsia="方正小标宋简体" w:cs="Times New Roman"/>
          <w:kern w:val="44"/>
          <w:sz w:val="44"/>
          <w:szCs w:val="44"/>
          <w:lang w:val="en-US" w:eastAsia="zh-CN"/>
        </w:rPr>
        <w:t>38</w:t>
      </w:r>
      <w:r>
        <w:rPr>
          <w:rFonts w:hint="eastAsia" w:ascii="方正小标宋简体" w:hAnsi="仿宋" w:eastAsia="方正小标宋简体" w:cs="Times New Roman"/>
          <w:kern w:val="44"/>
          <w:sz w:val="44"/>
          <w:szCs w:val="44"/>
        </w:rPr>
        <w:t>号　上市公司利润分配和资本公积金转增股本方案公告格式</w:t>
      </w:r>
      <w:bookmarkEnd w:id="111"/>
      <w:bookmarkEnd w:id="112"/>
      <w:bookmarkEnd w:id="113"/>
    </w:p>
    <w:p>
      <w:pPr>
        <w:spacing w:line="560" w:lineRule="exact"/>
        <w:rPr>
          <w:rFonts w:ascii="仿宋" w:hAnsi="仿宋" w:eastAsia="仿宋" w:cs="Times New Roman"/>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适用情形：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color w:val="000000"/>
          <w:sz w:val="32"/>
          <w:szCs w:val="32"/>
        </w:rPr>
        <w:t xml:space="preserve">1. </w:t>
      </w:r>
      <w:r>
        <w:rPr>
          <w:rFonts w:hint="eastAsia" w:ascii="仿宋" w:hAnsi="仿宋" w:eastAsia="仿宋"/>
          <w:sz w:val="32"/>
          <w:szCs w:val="32"/>
          <w:lang w:eastAsia="zh-CN"/>
        </w:rPr>
        <w:t>上市公司编制利润分配、资本公积金转增股本方案，包括派发现金红利、股票股利、以资本公积金转增股本等，适用本公告格式。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xml:space="preserve">. </w:t>
      </w:r>
      <w:r>
        <w:rPr>
          <w:rFonts w:hint="eastAsia" w:ascii="仿宋" w:hAnsi="仿宋" w:eastAsia="仿宋"/>
          <w:sz w:val="32"/>
          <w:szCs w:val="32"/>
          <w:lang w:eastAsia="zh-CN"/>
        </w:rPr>
        <w:t>上市公司拟不实施年度现金分红的，应当参照本公告格式披露相关内容。</w:t>
      </w:r>
    </w:p>
    <w:p>
      <w:pPr>
        <w:autoSpaceDE w:val="0"/>
        <w:autoSpaceDN w:val="0"/>
        <w:adjustRightInd w:val="0"/>
        <w:spacing w:line="560" w:lineRule="exact"/>
        <w:jc w:val="center"/>
        <w:rPr>
          <w:rFonts w:hint="eastAsia" w:ascii="仿宋" w:hAnsi="仿宋" w:eastAsia="仿宋"/>
          <w:sz w:val="32"/>
          <w:szCs w:val="32"/>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hint="eastAsia" w:ascii="仿宋" w:hAnsi="仿宋" w:eastAsia="仿宋"/>
          <w:sz w:val="32"/>
          <w:szCs w:val="32"/>
          <w:highlight w:val="none"/>
          <w:lang w:eastAsia="zh-CN"/>
        </w:rPr>
      </w:pPr>
      <w:r>
        <w:rPr>
          <w:rFonts w:hint="eastAsia" w:ascii="仿宋" w:hAnsi="仿宋" w:eastAsia="仿宋"/>
          <w:sz w:val="32"/>
          <w:szCs w:val="32"/>
        </w:rPr>
        <w:t>XXXXXX股份有限公司</w:t>
      </w:r>
      <w:r>
        <w:rPr>
          <w:rFonts w:hint="eastAsia" w:ascii="仿宋" w:hAnsi="仿宋" w:eastAsia="仿宋"/>
          <w:sz w:val="32"/>
          <w:szCs w:val="32"/>
          <w:highlight w:val="none"/>
          <w:lang w:val="en-US" w:eastAsia="zh-CN"/>
        </w:rPr>
        <w:t>利润分配和资本公积金转增股本方案</w:t>
      </w:r>
    </w:p>
    <w:p>
      <w:pPr>
        <w:autoSpaceDE w:val="0"/>
        <w:autoSpaceDN w:val="0"/>
        <w:adjustRightInd w:val="0"/>
        <w:spacing w:line="560" w:lineRule="exact"/>
        <w:rPr>
          <w:rFonts w:ascii="仿宋" w:hAnsi="仿宋" w:eastAsia="仿宋"/>
          <w:sz w:val="32"/>
          <w:szCs w:val="32"/>
        </w:rPr>
      </w:pPr>
      <w:r>
        <w:rPr>
          <w:rFonts w:hint="eastAsia"/>
        </w:rPr>
        <mc:AlternateContent>
          <mc:Choice Requires="wps">
            <w:drawing>
              <wp:anchor distT="0" distB="0" distL="114300" distR="114300" simplePos="0" relativeHeight="251711488" behindDoc="0" locked="0" layoutInCell="1" allowOverlap="1">
                <wp:simplePos x="0" y="0"/>
                <wp:positionH relativeFrom="margin">
                  <wp:posOffset>-334645</wp:posOffset>
                </wp:positionH>
                <wp:positionV relativeFrom="paragraph">
                  <wp:posOffset>120650</wp:posOffset>
                </wp:positionV>
                <wp:extent cx="5915025" cy="1628775"/>
                <wp:effectExtent l="4445" t="4445" r="5080" b="5080"/>
                <wp:wrapNone/>
                <wp:docPr id="235" name="矩形 23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35pt;margin-top:9.5pt;height:128.25pt;width:465.75pt;mso-position-horizontal-relative:margin;z-index:251711488;mso-width-relative:page;mso-height-relative:page;" fillcolor="#FFFFFF" filled="t" stroked="t" coordsize="21600,21600" o:gfxdata="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FkFj2AAAAAoBAAAPAAAAAAAAAAEAIAAAACIAAABkcnMvZG93&#10;bnJldi54bWxQSwECFAAUAAAACACHTuJA2Q+tdDkCAAB/BAAADgAAAAAAAAABACAAAAAnAQAAZHJz&#10;L2Uyb0RvYy54bWxQSwUGAAAAAAYABgBZAQAA0g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rPr>
          <w:rFonts w:ascii="仿宋" w:hAnsi="仿宋" w:eastAsia="仿宋"/>
          <w:sz w:val="32"/>
          <w:szCs w:val="32"/>
        </w:rPr>
      </w:pPr>
    </w:p>
    <w:p>
      <w:pPr>
        <w:tabs>
          <w:tab w:val="left" w:pos="900"/>
        </w:tabs>
        <w:spacing w:line="560" w:lineRule="exact"/>
        <w:ind w:firstLine="480"/>
        <w:rPr>
          <w:rFonts w:ascii="仿宋" w:hAnsi="仿宋" w:eastAsia="仿宋"/>
          <w:b/>
          <w:sz w:val="32"/>
          <w:szCs w:val="32"/>
        </w:rPr>
      </w:pPr>
    </w:p>
    <w:p>
      <w:pPr>
        <w:tabs>
          <w:tab w:val="left" w:pos="900"/>
        </w:tabs>
        <w:spacing w:line="560" w:lineRule="exact"/>
        <w:ind w:firstLine="643" w:firstLineChars="200"/>
        <w:rPr>
          <w:rFonts w:ascii="仿宋" w:hAnsi="仿宋" w:eastAsia="仿宋"/>
          <w:b/>
          <w:sz w:val="32"/>
          <w:szCs w:val="32"/>
        </w:rPr>
      </w:pPr>
    </w:p>
    <w:p>
      <w:pPr>
        <w:tabs>
          <w:tab w:val="left" w:pos="900"/>
        </w:tabs>
        <w:spacing w:line="560" w:lineRule="exact"/>
        <w:ind w:firstLine="643" w:firstLineChars="200"/>
        <w:rPr>
          <w:rFonts w:ascii="仿宋" w:hAnsi="仿宋" w:eastAsia="仿宋"/>
          <w:b/>
          <w:sz w:val="32"/>
          <w:szCs w:val="32"/>
        </w:rPr>
      </w:pPr>
      <w:r>
        <w:rPr>
          <w:rFonts w:hint="eastAsia" w:ascii="仿宋" w:hAnsi="仿宋" w:eastAsia="仿宋"/>
          <w:b/>
          <w:sz w:val="32"/>
          <w:szCs w:val="32"/>
        </w:rPr>
        <w:t>特别提示：</w:t>
      </w:r>
    </w:p>
    <w:p>
      <w:pPr>
        <w:numPr>
          <w:ilvl w:val="0"/>
          <w:numId w:val="0"/>
        </w:numPr>
        <w:tabs>
          <w:tab w:val="left" w:pos="900"/>
        </w:tabs>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w:t>
      </w:r>
      <w:r>
        <w:rPr>
          <w:rFonts w:hint="eastAsia" w:ascii="仿宋" w:hAnsi="仿宋" w:eastAsia="仿宋"/>
          <w:sz w:val="32"/>
          <w:szCs w:val="32"/>
        </w:rPr>
        <w:t>公司</w:t>
      </w:r>
      <w:r>
        <w:rPr>
          <w:rFonts w:hint="eastAsia" w:ascii="仿宋" w:hAnsi="仿宋" w:eastAsia="仿宋"/>
          <w:sz w:val="32"/>
          <w:szCs w:val="32"/>
          <w:lang w:eastAsia="zh-CN"/>
        </w:rPr>
        <w:t>披露</w:t>
      </w:r>
      <w:r>
        <w:rPr>
          <w:rFonts w:hint="eastAsia" w:ascii="仿宋" w:hAnsi="仿宋" w:eastAsia="仿宋"/>
          <w:sz w:val="32"/>
          <w:szCs w:val="32"/>
          <w:lang w:val="en-US" w:eastAsia="zh-CN"/>
        </w:rPr>
        <w:t>现金分红方案后，触及本所</w:t>
      </w:r>
      <w:r>
        <w:rPr>
          <w:rFonts w:hint="eastAsia" w:ascii="仿宋" w:hAnsi="仿宋" w:eastAsia="仿宋" w:cs="仿宋"/>
          <w:color w:val="000000"/>
          <w:kern w:val="0"/>
          <w:sz w:val="32"/>
          <w:szCs w:val="32"/>
          <w:highlight w:val="none"/>
          <w:lang w:val="en-US" w:eastAsia="zh-CN" w:bidi="ar"/>
        </w:rPr>
        <w:t>《创业板股票上市规则》第9.4条规定相关情形的，应当提示其</w:t>
      </w:r>
      <w:r>
        <w:rPr>
          <w:rFonts w:hint="eastAsia" w:ascii="仿宋" w:hAnsi="仿宋" w:eastAsia="仿宋"/>
          <w:sz w:val="32"/>
          <w:szCs w:val="32"/>
        </w:rPr>
        <w:t>股票</w:t>
      </w:r>
      <w:r>
        <w:rPr>
          <w:rFonts w:hint="eastAsia" w:ascii="仿宋" w:hAnsi="仿宋" w:eastAsia="仿宋"/>
          <w:sz w:val="32"/>
          <w:szCs w:val="32"/>
          <w:lang w:eastAsia="zh-CN"/>
        </w:rPr>
        <w:t>交易</w:t>
      </w:r>
      <w:r>
        <w:rPr>
          <w:rFonts w:hint="eastAsia" w:ascii="仿宋" w:hAnsi="仿宋" w:eastAsia="仿宋"/>
          <w:sz w:val="32"/>
          <w:szCs w:val="32"/>
          <w:lang w:val="en-US" w:eastAsia="zh-CN"/>
        </w:rPr>
        <w:t>可能被实施其他风险警示。</w:t>
      </w:r>
    </w:p>
    <w:p>
      <w:pPr>
        <w:tabs>
          <w:tab w:val="left" w:pos="900"/>
        </w:tabs>
        <w:spacing w:line="56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一</w:t>
      </w:r>
      <w:r>
        <w:rPr>
          <w:rFonts w:hint="eastAsia" w:ascii="仿宋" w:hAnsi="仿宋" w:eastAsia="仿宋"/>
          <w:b/>
          <w:sz w:val="32"/>
          <w:szCs w:val="32"/>
        </w:rPr>
        <w:t>、</w:t>
      </w:r>
      <w:r>
        <w:rPr>
          <w:rFonts w:hint="eastAsia" w:ascii="仿宋" w:hAnsi="仿宋" w:eastAsia="仿宋"/>
          <w:b/>
          <w:sz w:val="32"/>
          <w:szCs w:val="32"/>
          <w:lang w:eastAsia="zh-CN"/>
        </w:rPr>
        <w:t>审议程序</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val="en-US" w:eastAsia="zh-CN" w:bidi="ar-SA"/>
        </w:rPr>
        <w:t>说明提议情况（如有）</w:t>
      </w:r>
      <w:r>
        <w:rPr>
          <w:rFonts w:hint="eastAsia" w:ascii="仿宋" w:hAnsi="仿宋" w:eastAsia="仿宋" w:cs="仿宋"/>
          <w:color w:val="auto"/>
          <w:kern w:val="2"/>
          <w:sz w:val="32"/>
          <w:szCs w:val="32"/>
          <w:highlight w:val="none"/>
          <w:lang w:val="en-US" w:eastAsia="zh-CN" w:bidi="ar-SA"/>
        </w:rPr>
        <w:t>，董事会会议的</w:t>
      </w:r>
      <w:r>
        <w:rPr>
          <w:rFonts w:hint="eastAsia" w:ascii="仿宋" w:hAnsi="仿宋" w:eastAsia="仿宋" w:cs="仿宋"/>
          <w:color w:val="auto"/>
          <w:kern w:val="2"/>
          <w:sz w:val="32"/>
          <w:szCs w:val="32"/>
          <w:lang w:val="en-US" w:eastAsia="zh-CN" w:bidi="ar-SA"/>
        </w:rPr>
        <w:t>召开、审议和表决情况。</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val="en-US" w:eastAsia="zh-CN" w:bidi="ar-SA"/>
        </w:rPr>
        <w:t>说明本次利润分配方案是否尚需提交股东会审议。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二、利润分配和资本公积金转增股本方案的基本情况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（一）说明本次利润分配和资本公积金转增股本方案的基本内容，至少应当包括：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lang w:val="en-US" w:eastAsia="zh-CN"/>
        </w:rPr>
        <w:t>分配基准（XX年度</w:t>
      </w:r>
      <w:r>
        <w:rPr>
          <w:rFonts w:hint="default" w:ascii="仿宋" w:hAnsi="仿宋" w:eastAsia="仿宋"/>
          <w:sz w:val="32"/>
          <w:szCs w:val="32"/>
          <w:lang w:val="en-US" w:eastAsia="zh-CN"/>
        </w:rPr>
        <w:t>/</w:t>
      </w:r>
      <w:r>
        <w:rPr>
          <w:rFonts w:hint="eastAsia" w:ascii="仿宋" w:hAnsi="仿宋" w:eastAsia="仿宋"/>
          <w:sz w:val="32"/>
          <w:szCs w:val="32"/>
          <w:lang w:val="en-US" w:eastAsia="zh-CN"/>
        </w:rPr>
        <w:t>一季度</w:t>
      </w:r>
      <w:r>
        <w:rPr>
          <w:rFonts w:hint="default" w:ascii="仿宋" w:hAnsi="仿宋" w:eastAsia="仿宋"/>
          <w:sz w:val="32"/>
          <w:szCs w:val="32"/>
          <w:lang w:val="en-US" w:eastAsia="zh-CN"/>
        </w:rPr>
        <w:t>/</w:t>
      </w:r>
      <w:r>
        <w:rPr>
          <w:rFonts w:hint="eastAsia" w:ascii="仿宋" w:hAnsi="仿宋" w:eastAsia="仿宋"/>
          <w:sz w:val="32"/>
          <w:szCs w:val="32"/>
          <w:lang w:val="en-US" w:eastAsia="zh-CN"/>
        </w:rPr>
        <w:t>半年度</w:t>
      </w:r>
      <w:r>
        <w:rPr>
          <w:rFonts w:hint="default" w:ascii="仿宋" w:hAnsi="仿宋" w:eastAsia="仿宋"/>
          <w:sz w:val="32"/>
          <w:szCs w:val="32"/>
          <w:lang w:val="en-US" w:eastAsia="zh-CN"/>
        </w:rPr>
        <w:t>/</w:t>
      </w:r>
      <w:r>
        <w:rPr>
          <w:rFonts w:hint="eastAsia" w:ascii="仿宋" w:hAnsi="仿宋" w:eastAsia="仿宋"/>
          <w:sz w:val="32"/>
          <w:szCs w:val="32"/>
          <w:lang w:val="en-US" w:eastAsia="zh-CN"/>
        </w:rPr>
        <w:t>三季度）。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宋体"/>
          <w:kern w:val="0"/>
          <w:sz w:val="32"/>
          <w:szCs w:val="32"/>
        </w:rPr>
        <w:t>．</w:t>
      </w:r>
      <w:r>
        <w:rPr>
          <w:rFonts w:hint="eastAsia" w:ascii="仿宋" w:hAnsi="仿宋" w:eastAsia="仿宋"/>
          <w:sz w:val="32"/>
          <w:szCs w:val="32"/>
          <w:lang w:val="en-US" w:eastAsia="zh-CN"/>
        </w:rPr>
        <w:t>按照《公司法》和公司章程规定弥补亏损、提取法定公积金、提取任意公积金的情况,报告期末未分配利润金额及股本基数。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cs="宋体"/>
          <w:kern w:val="0"/>
          <w:sz w:val="32"/>
          <w:szCs w:val="32"/>
        </w:rPr>
        <w:t>．</w:t>
      </w:r>
      <w:r>
        <w:rPr>
          <w:rFonts w:hint="eastAsia" w:ascii="仿宋" w:hAnsi="仿宋" w:eastAsia="仿宋"/>
          <w:sz w:val="32"/>
          <w:szCs w:val="32"/>
          <w:lang w:val="en-US" w:eastAsia="zh-CN"/>
        </w:rPr>
        <w:t>每10股现金分红、送红股、资本公积金转增股本的比例，及本次预计现金分红总额。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上市公司拟实施年度现金分红的，说明下列内容：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（1）本年度累计现金分红总额（含年度分红、季度分红、半年报分红、特别分红等）；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sz w:val="32"/>
          <w:szCs w:val="32"/>
          <w:highlight w:val="none"/>
          <w:lang w:val="en-US" w:eastAsia="zh-CN"/>
        </w:rPr>
        <w:t>本年度以现金为对价，采用集中竞价、要约方式实施的股</w:t>
      </w:r>
      <w:r>
        <w:rPr>
          <w:rFonts w:hint="eastAsia" w:ascii="仿宋" w:hAnsi="仿宋" w:eastAsia="仿宋" w:cs="仿宋"/>
          <w:sz w:val="32"/>
          <w:szCs w:val="32"/>
          <w:highlight w:val="none"/>
          <w:lang w:val="en-US" w:eastAsia="zh-CN"/>
        </w:rPr>
        <w:t>份</w:t>
      </w:r>
      <w:r>
        <w:rPr>
          <w:rFonts w:hint="eastAsia" w:ascii="仿宋" w:hAnsi="仿宋" w:eastAsia="仿宋"/>
          <w:sz w:val="32"/>
          <w:szCs w:val="32"/>
          <w:highlight w:val="none"/>
          <w:lang w:val="en-US" w:eastAsia="zh-CN"/>
        </w:rPr>
        <w:t>回购金额；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sz w:val="32"/>
          <w:szCs w:val="32"/>
          <w:highlight w:val="none"/>
          <w:lang w:val="en-US" w:eastAsia="zh-CN"/>
        </w:rPr>
        <w:t>（3）本</w:t>
      </w:r>
      <w:r>
        <w:rPr>
          <w:rFonts w:hint="eastAsia" w:ascii="仿宋" w:hAnsi="仿宋" w:eastAsia="仿宋"/>
          <w:sz w:val="32"/>
          <w:szCs w:val="32"/>
          <w:highlight w:val="none"/>
          <w:lang w:val="en-US" w:eastAsia="zh-CN"/>
        </w:rPr>
        <w:t>年度现金分红和股份回购总额，以及该总额占本年度净利润的比例。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上市公司拟实施送红股、资本公积金转增股本的，说明本次送转股后公司总股本情况。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sz w:val="32"/>
          <w:szCs w:val="32"/>
          <w:lang w:val="en-US" w:eastAsia="zh-CN"/>
        </w:rPr>
        <w:t>（二）</w:t>
      </w:r>
      <w:r>
        <w:rPr>
          <w:rFonts w:hint="eastAsia" w:ascii="仿宋" w:hAnsi="仿宋" w:eastAsia="仿宋" w:cs="仿宋"/>
          <w:color w:val="000000"/>
          <w:kern w:val="0"/>
          <w:sz w:val="32"/>
          <w:szCs w:val="32"/>
          <w:lang w:val="en-US" w:eastAsia="zh-CN" w:bidi="ar"/>
        </w:rPr>
        <w:t>说明在利润分配方案公告后至实施前，出现股权激励行权、可转债转股、股份回购等股本总额发生变动情形时的方案调整原则。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三、现金分红方案的具体情况（如适用）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（一）是否可能触及其他风险警示情形（适用于年度分红方案）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highlight w:val="none"/>
          <w:lang w:val="en-US" w:eastAsia="zh-CN"/>
        </w:rPr>
        <w:t>上市公司披露年度现金分红方案（含不分红）的，应当列示下列指标：</w:t>
      </w:r>
    </w:p>
    <w:tbl>
      <w:tblPr>
        <w:tblStyle w:val="2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项目</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本年度</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上年度</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现金分红总额（元）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1</w:t>
            </w:r>
            <w:r>
              <w:rPr>
                <w:rFonts w:hint="eastAsia" w:ascii="仿宋" w:hAnsi="仿宋" w:eastAsia="仿宋"/>
                <w:sz w:val="24"/>
                <w:szCs w:val="24"/>
                <w:lang w:eastAsia="zh-CN"/>
              </w:rPr>
              <w:t>（预计数）</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2</w:t>
            </w:r>
            <w:r>
              <w:rPr>
                <w:rFonts w:hint="eastAsia" w:ascii="仿宋" w:hAnsi="仿宋" w:eastAsia="仿宋"/>
                <w:sz w:val="24"/>
                <w:szCs w:val="24"/>
                <w:lang w:eastAsia="zh-CN"/>
              </w:rPr>
              <w:t>（实施数）</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3</w:t>
            </w:r>
            <w:r>
              <w:rPr>
                <w:rFonts w:hint="eastAsia" w:ascii="仿宋" w:hAnsi="仿宋" w:eastAsia="仿宋"/>
                <w:sz w:val="24"/>
                <w:szCs w:val="24"/>
                <w:lang w:eastAsia="zh-CN"/>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回购注销总额（元）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b</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sz w:val="24"/>
                <w:szCs w:val="24"/>
                <w:lang w:val="en-US" w:eastAsia="zh-CN"/>
              </w:rPr>
            </w:pP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sz w:val="24"/>
                <w:szCs w:val="24"/>
                <w:lang w:val="en-US" w:eastAsia="zh-CN"/>
              </w:rPr>
            </w:pP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rPr>
              <w:t>归属于上市公司股东的净利润</w:t>
            </w:r>
            <w:r>
              <w:rPr>
                <w:rFonts w:hint="eastAsia" w:ascii="仿宋" w:hAnsi="仿宋" w:eastAsia="仿宋"/>
                <w:color w:val="000000"/>
                <w:sz w:val="24"/>
                <w:lang w:eastAsia="zh-CN"/>
              </w:rPr>
              <w:t>（元）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olor w:val="000000"/>
                <w:sz w:val="24"/>
                <w:lang w:eastAsia="zh-CN"/>
              </w:rPr>
              <w:t>研发投入（元）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olor w:val="000000"/>
                <w:sz w:val="24"/>
                <w:lang w:eastAsia="zh-CN"/>
              </w:rPr>
              <w:t>营业收入（元）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合并报表本年度末累计未分配利润（元）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母公司报表本年度末累计未分配利润（元）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上市是否满三个</w:t>
            </w:r>
          </w:p>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完整会计年度</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eastAsia="zh-CN"/>
              </w:rPr>
              <w:t>是</w:t>
            </w:r>
            <w:r>
              <w:rPr>
                <w:rFonts w:hint="eastAsia" w:ascii="仿宋" w:hAnsi="仿宋" w:eastAsia="仿宋"/>
                <w:color w:val="00000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最近三个会计年度累计现金分红总额（元）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A=</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1</w:t>
            </w:r>
            <w:r>
              <w:rPr>
                <w:rFonts w:hint="eastAsia" w:ascii="仿宋" w:hAnsi="仿宋" w:eastAsia="仿宋"/>
                <w:color w:val="000000"/>
                <w:sz w:val="24"/>
                <w:lang w:val="en-US" w:eastAsia="zh-CN"/>
              </w:rPr>
              <w:t>+</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2</w:t>
            </w:r>
            <w:r>
              <w:rPr>
                <w:rFonts w:hint="eastAsia" w:ascii="仿宋" w:hAnsi="仿宋" w:eastAsia="仿宋"/>
                <w:color w:val="000000"/>
                <w:sz w:val="24"/>
                <w:lang w:val="en-US" w:eastAsia="zh-CN"/>
              </w:rPr>
              <w:t>+</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lang w:eastAsia="zh-CN"/>
              </w:rPr>
              <w:t>最近三个会计年度累计回购注销总额</w:t>
            </w:r>
            <w:r>
              <w:rPr>
                <w:rFonts w:hint="eastAsia" w:ascii="仿宋" w:hAnsi="仿宋" w:eastAsia="仿宋" w:cs="Times New Roman"/>
                <w:color w:val="000000"/>
                <w:sz w:val="24"/>
                <w:lang w:eastAsia="zh-CN"/>
              </w:rPr>
              <w:t>（元）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B=b</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lang w:eastAsia="zh-CN"/>
              </w:rPr>
            </w:pPr>
            <w:r>
              <w:rPr>
                <w:rFonts w:hint="eastAsia" w:ascii="仿宋" w:hAnsi="仿宋" w:eastAsia="仿宋"/>
                <w:color w:val="000000"/>
                <w:sz w:val="24"/>
                <w:lang w:eastAsia="zh-CN"/>
              </w:rPr>
              <w:t>最近三个会计年度平均净利润（元）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C=(</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4"/>
                <w:lang w:val="en-US" w:eastAsia="zh-CN"/>
              </w:rPr>
              <w:t>+</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4"/>
                <w:lang w:val="en-US" w:eastAsia="zh-CN"/>
              </w:rPr>
              <w:t>+</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3</w:t>
            </w:r>
            <w:r>
              <w:rPr>
                <w:rFonts w:hint="eastAsia" w:ascii="仿宋" w:hAnsi="仿宋" w:eastAsia="仿宋"/>
                <w:color w:val="00000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s="Times New Roman"/>
                <w:color w:val="000000"/>
                <w:sz w:val="24"/>
                <w:lang w:eastAsia="zh-CN"/>
              </w:rPr>
              <w:t>最近三个会计年度累计现</w:t>
            </w:r>
            <w:r>
              <w:rPr>
                <w:rFonts w:hint="eastAsia" w:ascii="仿宋" w:hAnsi="仿宋" w:eastAsia="仿宋" w:cs="Times New Roman"/>
                <w:color w:val="000000"/>
                <w:sz w:val="24"/>
                <w:lang w:val="en-US" w:eastAsia="zh-CN"/>
              </w:rPr>
              <w:t>金分红及回购注销总额</w:t>
            </w:r>
            <w:r>
              <w:rPr>
                <w:rFonts w:hint="eastAsia" w:ascii="仿宋" w:hAnsi="仿宋" w:eastAsia="仿宋" w:cs="Times New Roman"/>
                <w:color w:val="000000"/>
                <w:sz w:val="24"/>
                <w:lang w:eastAsia="zh-CN"/>
              </w:rPr>
              <w:t>（元）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F=A+B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color w:val="000000"/>
                <w:sz w:val="24"/>
                <w:lang w:eastAsia="zh-CN"/>
              </w:rPr>
              <w:t>最近三个会计年度累计研发投入总额（元）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b/>
                <w:bCs/>
                <w:color w:val="000000"/>
                <w:sz w:val="24"/>
                <w:lang w:val="en-US" w:eastAsia="zh-CN"/>
              </w:rPr>
            </w:pPr>
            <w:r>
              <w:rPr>
                <w:rFonts w:hint="eastAsia" w:ascii="仿宋" w:hAnsi="仿宋" w:eastAsia="仿宋"/>
                <w:b w:val="0"/>
                <w:bCs w:val="0"/>
                <w:color w:val="000000"/>
                <w:sz w:val="24"/>
                <w:lang w:val="en-US" w:eastAsia="zh-CN"/>
              </w:rPr>
              <w:t>D=</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color w:val="000000"/>
                <w:sz w:val="24"/>
                <w:lang w:eastAsia="zh-CN"/>
              </w:rPr>
              <w:t>最近三个会计年度累计研发投入总额占累计营业收入的比例（</w:t>
            </w:r>
            <w:r>
              <w:rPr>
                <w:rFonts w:hint="eastAsia" w:ascii="仿宋" w:hAnsi="仿宋" w:eastAsia="仿宋"/>
                <w:color w:val="000000"/>
                <w:sz w:val="24"/>
                <w:lang w:val="en-US" w:eastAsia="zh-CN"/>
              </w:rPr>
              <w:t>%</w:t>
            </w:r>
            <w:r>
              <w:rPr>
                <w:rFonts w:hint="eastAsia" w:ascii="仿宋" w:hAnsi="仿宋" w:eastAsia="仿宋"/>
                <w:color w:val="000000"/>
                <w:sz w:val="24"/>
                <w:lang w:eastAsia="zh-CN"/>
              </w:rPr>
              <w:t>）</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b/>
                <w:bCs/>
                <w:color w:val="000000"/>
                <w:sz w:val="24"/>
                <w:lang w:val="en-US" w:eastAsia="zh-CN"/>
              </w:rPr>
            </w:pPr>
            <w:r>
              <w:rPr>
                <w:rFonts w:hint="eastAsia" w:ascii="仿宋" w:hAnsi="仿宋" w:eastAsia="仿宋"/>
                <w:b w:val="0"/>
                <w:bCs w:val="0"/>
                <w:color w:val="000000"/>
                <w:sz w:val="24"/>
                <w:lang w:val="en-US" w:eastAsia="zh-CN"/>
              </w:rPr>
              <w:t>E=D/(e</w:t>
            </w:r>
            <w:r>
              <w:rPr>
                <w:rFonts w:hint="eastAsia" w:ascii="仿宋" w:hAnsi="仿宋" w:eastAsia="仿宋"/>
                <w:b w:val="0"/>
                <w:bCs w:val="0"/>
                <w:color w:val="000000"/>
                <w:sz w:val="22"/>
                <w:szCs w:val="21"/>
                <w:vertAlign w:val="subscript"/>
                <w:lang w:val="en-US" w:eastAsia="zh-CN"/>
              </w:rPr>
              <w:t>1</w:t>
            </w:r>
            <w:r>
              <w:rPr>
                <w:rFonts w:hint="eastAsia" w:ascii="仿宋" w:hAnsi="仿宋" w:eastAsia="仿宋"/>
                <w:b w:val="0"/>
                <w:bCs w:val="0"/>
                <w:color w:val="000000"/>
                <w:sz w:val="22"/>
                <w:szCs w:val="21"/>
                <w:vertAlign w:val="baseline"/>
                <w:lang w:val="en-US" w:eastAsia="zh-CN"/>
              </w:rPr>
              <w:t>+</w:t>
            </w:r>
            <w:r>
              <w:rPr>
                <w:rFonts w:hint="eastAsia" w:ascii="仿宋" w:hAnsi="仿宋" w:eastAsia="仿宋"/>
                <w:b w:val="0"/>
                <w:bCs w:val="0"/>
                <w:color w:val="000000"/>
                <w:sz w:val="24"/>
                <w:lang w:val="en-US" w:eastAsia="zh-CN"/>
              </w:rPr>
              <w:t>e</w:t>
            </w:r>
            <w:r>
              <w:rPr>
                <w:rFonts w:hint="eastAsia" w:ascii="仿宋" w:hAnsi="仿宋" w:eastAsia="仿宋"/>
                <w:b w:val="0"/>
                <w:bCs w:val="0"/>
                <w:color w:val="000000"/>
                <w:sz w:val="22"/>
                <w:szCs w:val="21"/>
                <w:vertAlign w:val="subscript"/>
                <w:lang w:val="en-US" w:eastAsia="zh-CN"/>
              </w:rPr>
              <w:t>2</w:t>
            </w:r>
            <w:r>
              <w:rPr>
                <w:rFonts w:hint="eastAsia" w:ascii="仿宋" w:hAnsi="仿宋" w:eastAsia="仿宋"/>
                <w:b w:val="0"/>
                <w:bCs w:val="0"/>
                <w:color w:val="000000"/>
                <w:sz w:val="22"/>
                <w:szCs w:val="21"/>
                <w:vertAlign w:val="baseline"/>
                <w:lang w:val="en-US" w:eastAsia="zh-CN"/>
              </w:rPr>
              <w:t>+</w:t>
            </w:r>
            <w:r>
              <w:rPr>
                <w:rFonts w:hint="eastAsia" w:ascii="仿宋" w:hAnsi="仿宋" w:eastAsia="仿宋"/>
                <w:b w:val="0"/>
                <w:bCs w:val="0"/>
                <w:color w:val="000000"/>
                <w:sz w:val="24"/>
                <w:lang w:val="en-US" w:eastAsia="zh-CN"/>
              </w:rPr>
              <w:t>e</w:t>
            </w:r>
            <w:r>
              <w:rPr>
                <w:rFonts w:hint="eastAsia" w:ascii="仿宋" w:hAnsi="仿宋" w:eastAsia="仿宋"/>
                <w:b w:val="0"/>
                <w:bCs w:val="0"/>
                <w:color w:val="000000"/>
                <w:sz w:val="22"/>
                <w:szCs w:val="21"/>
                <w:vertAlign w:val="subscript"/>
                <w:lang w:val="en-US" w:eastAsia="zh-CN"/>
              </w:rPr>
              <w:t>3</w:t>
            </w:r>
            <w:r>
              <w:rPr>
                <w:rFonts w:hint="eastAsia" w:ascii="仿宋" w:hAnsi="仿宋" w:eastAsia="仿宋"/>
                <w:b w:val="0"/>
                <w:bCs w:val="0"/>
                <w:color w:val="000000"/>
                <w:sz w:val="22"/>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是否触及《创业板股票上市规则》第</w:t>
            </w:r>
            <w:r>
              <w:rPr>
                <w:rFonts w:hint="eastAsia" w:ascii="仿宋" w:hAnsi="仿宋" w:eastAsia="仿宋"/>
                <w:b/>
                <w:bCs/>
                <w:color w:val="000000"/>
                <w:sz w:val="24"/>
                <w:lang w:val="en-US" w:eastAsia="zh-CN"/>
              </w:rPr>
              <w:t>9.4条第（八）项</w:t>
            </w:r>
            <w:r>
              <w:rPr>
                <w:rFonts w:hint="eastAsia" w:ascii="仿宋" w:hAnsi="仿宋" w:eastAsia="仿宋"/>
                <w:b/>
                <w:bCs/>
                <w:color w:val="000000"/>
                <w:sz w:val="24"/>
                <w:lang w:eastAsia="zh-CN"/>
              </w:rPr>
              <w:t>规定的可能被实施其他风险警示情形</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lang w:val="en-US" w:eastAsia="zh-CN"/>
              </w:rPr>
            </w:pPr>
            <w:r>
              <w:rPr>
                <w:rFonts w:hint="eastAsia" w:ascii="仿宋" w:hAnsi="仿宋" w:eastAsia="仿宋"/>
                <w:b/>
                <w:bCs/>
                <w:color w:val="000000"/>
                <w:sz w:val="24"/>
                <w:lang w:eastAsia="zh-CN"/>
              </w:rPr>
              <w:t>是</w:t>
            </w:r>
            <w:r>
              <w:rPr>
                <w:rFonts w:hint="eastAsia" w:ascii="仿宋" w:hAnsi="仿宋" w:eastAsia="仿宋"/>
                <w:b/>
                <w:bCs/>
                <w:color w:val="000000"/>
                <w:sz w:val="24"/>
                <w:lang w:val="en-US" w:eastAsia="zh-CN"/>
              </w:rPr>
              <w:t>/否</w:t>
            </w:r>
          </w:p>
        </w:tc>
      </w:tr>
    </w:tbl>
    <w:p>
      <w:pPr>
        <w:ind w:firstLine="480" w:firstLineChars="200"/>
        <w:rPr>
          <w:rFonts w:hint="eastAsia" w:ascii="仿宋_GB2312" w:hAnsi="宋体" w:eastAsia="仿宋_GB2312" w:cs="宋体"/>
          <w:kern w:val="0"/>
          <w:sz w:val="24"/>
          <w:szCs w:val="24"/>
          <w:highlight w:val="none"/>
          <w:lang w:eastAsia="zh-CN"/>
        </w:rPr>
      </w:pPr>
      <w:r>
        <w:rPr>
          <w:rFonts w:hint="eastAsia" w:ascii="仿宋_GB2312" w:hAnsi="宋体" w:eastAsia="仿宋_GB2312" w:cs="宋体"/>
          <w:kern w:val="0"/>
          <w:sz w:val="24"/>
          <w:szCs w:val="24"/>
        </w:rPr>
        <w:t>注：1．</w:t>
      </w:r>
      <w:r>
        <w:rPr>
          <w:rFonts w:hint="eastAsia" w:ascii="仿宋_GB2312" w:hAnsi="宋体" w:eastAsia="仿宋_GB2312" w:cs="宋体"/>
          <w:kern w:val="0"/>
          <w:sz w:val="24"/>
          <w:szCs w:val="24"/>
          <w:lang w:eastAsia="zh-CN"/>
        </w:rPr>
        <w:t>填报</w:t>
      </w:r>
      <w:r>
        <w:rPr>
          <w:rFonts w:hint="eastAsia" w:ascii="仿宋_GB2312" w:hAnsi="宋体" w:eastAsia="仿宋_GB2312" w:cs="宋体"/>
          <w:kern w:val="0"/>
          <w:sz w:val="24"/>
          <w:szCs w:val="24"/>
        </w:rPr>
        <w:t>前述指标时，净利润为负值的年份包</w:t>
      </w:r>
      <w:r>
        <w:rPr>
          <w:rFonts w:hint="eastAsia" w:ascii="仿宋_GB2312" w:hAnsi="宋体" w:eastAsia="仿宋_GB2312" w:cs="宋体"/>
          <w:kern w:val="0"/>
          <w:sz w:val="24"/>
          <w:szCs w:val="24"/>
          <w:highlight w:val="none"/>
        </w:rPr>
        <w:t>含在内。</w:t>
      </w:r>
      <w:r>
        <w:rPr>
          <w:rFonts w:hint="eastAsia" w:ascii="仿宋_GB2312" w:hAnsi="宋体" w:eastAsia="仿宋_GB2312" w:cs="宋体"/>
          <w:kern w:val="0"/>
          <w:sz w:val="24"/>
          <w:szCs w:val="24"/>
          <w:highlight w:val="none"/>
          <w:lang w:eastAsia="zh-CN"/>
        </w:rPr>
        <w:t>如公司上市未满三个完整会计年度，仅需填报上市后数据。</w:t>
      </w:r>
    </w:p>
    <w:p>
      <w:pPr>
        <w:numPr>
          <w:ilvl w:val="0"/>
          <w:numId w:val="5"/>
        </w:numPr>
        <w:spacing w:line="240" w:lineRule="auto"/>
        <w:ind w:firstLine="960" w:firstLineChars="400"/>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回购注销金额是指上市公司</w:t>
      </w:r>
      <w:r>
        <w:rPr>
          <w:rFonts w:hint="eastAsia" w:ascii="仿宋_GB2312" w:hAnsi="宋体" w:eastAsia="仿宋_GB2312" w:cs="宋体"/>
          <w:kern w:val="0"/>
          <w:sz w:val="24"/>
          <w:szCs w:val="24"/>
        </w:rPr>
        <w:t>采用集中竞价、要约方式实施回购股份并完成注销的金额</w:t>
      </w:r>
      <w:r>
        <w:rPr>
          <w:rFonts w:hint="eastAsia" w:ascii="仿宋_GB2312" w:hAnsi="宋体" w:eastAsia="仿宋_GB2312" w:cs="宋体"/>
          <w:kern w:val="0"/>
          <w:sz w:val="24"/>
          <w:szCs w:val="24"/>
          <w:lang w:eastAsia="zh-CN"/>
        </w:rPr>
        <w:t>。如</w:t>
      </w:r>
      <w:r>
        <w:rPr>
          <w:rFonts w:hint="eastAsia" w:ascii="仿宋_GB2312" w:hAnsi="宋体" w:eastAsia="仿宋_GB2312" w:cs="宋体"/>
          <w:kern w:val="0"/>
          <w:sz w:val="24"/>
          <w:szCs w:val="24"/>
        </w:rPr>
        <w:t>公司已明确回购注销金额的，应当提供合理确认依据；未明确的，回购注销金额计算方式为：已回购资金总额除以回购股份数量，乘以该会计年度内注销股数。回购注销完成时点，以公司公告披露的股份注销日期为准</w:t>
      </w:r>
      <w:r>
        <w:rPr>
          <w:rFonts w:hint="eastAsia" w:ascii="仿宋_GB2312" w:hAnsi="宋体" w:eastAsia="仿宋_GB2312" w:cs="宋体"/>
          <w:kern w:val="0"/>
          <w:sz w:val="24"/>
          <w:szCs w:val="24"/>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r>
        <w:rPr>
          <w:rFonts w:hint="eastAsia" w:ascii="仿宋" w:hAnsi="仿宋" w:eastAsia="仿宋" w:cs="宋体"/>
          <w:kern w:val="0"/>
          <w:sz w:val="32"/>
          <w:szCs w:val="32"/>
        </w:rPr>
        <w:t>．</w:t>
      </w:r>
      <w:r>
        <w:rPr>
          <w:rFonts w:hint="eastAsia" w:ascii="仿宋" w:hAnsi="仿宋" w:eastAsia="仿宋" w:cs="仿宋"/>
          <w:color w:val="000000"/>
          <w:kern w:val="0"/>
          <w:sz w:val="32"/>
          <w:szCs w:val="32"/>
          <w:lang w:val="en-US" w:eastAsia="zh-CN" w:bidi="ar"/>
        </w:rPr>
        <w:t>上市公司应当结合上述指标，对照本所《创业板股票上市规则》说明是否触及其他风险警示情形及具体原因。触及其他风险警示情形的，应当同时披露公司股票交易可能被实施其他风险警示的风险提示公告，</w:t>
      </w:r>
      <w:r>
        <w:rPr>
          <w:rFonts w:hint="default" w:ascii="仿宋" w:hAnsi="仿宋" w:eastAsia="仿宋" w:cs="仿宋"/>
          <w:color w:val="000000"/>
          <w:kern w:val="0"/>
          <w:sz w:val="32"/>
          <w:szCs w:val="32"/>
          <w:lang w:val="en-US" w:eastAsia="zh-CN" w:bidi="ar"/>
        </w:rPr>
        <w:t>并在相应股东会审议通过年度利润分配方案之日，披露公司股票交易被实施</w:t>
      </w:r>
      <w:r>
        <w:rPr>
          <w:rFonts w:hint="eastAsia" w:ascii="仿宋" w:hAnsi="仿宋" w:eastAsia="仿宋" w:cs="仿宋"/>
          <w:color w:val="000000"/>
          <w:kern w:val="0"/>
          <w:sz w:val="32"/>
          <w:szCs w:val="32"/>
          <w:lang w:val="en-US" w:eastAsia="zh-CN" w:bidi="ar"/>
        </w:rPr>
        <w:t>其</w:t>
      </w:r>
      <w:r>
        <w:rPr>
          <w:rFonts w:hint="default" w:ascii="仿宋" w:hAnsi="仿宋" w:eastAsia="仿宋" w:cs="仿宋"/>
          <w:color w:val="000000"/>
          <w:kern w:val="0"/>
          <w:sz w:val="32"/>
          <w:szCs w:val="32"/>
          <w:lang w:val="en-US" w:eastAsia="zh-CN" w:bidi="ar"/>
        </w:rPr>
        <w:t>他风险警示</w:t>
      </w:r>
      <w:r>
        <w:rPr>
          <w:rFonts w:hint="eastAsia" w:ascii="仿宋" w:hAnsi="仿宋" w:eastAsia="仿宋" w:cs="仿宋"/>
          <w:color w:val="000000"/>
          <w:kern w:val="0"/>
          <w:sz w:val="32"/>
          <w:szCs w:val="32"/>
          <w:lang w:val="en-US" w:eastAsia="zh-CN" w:bidi="ar"/>
        </w:rPr>
        <w:t>的</w:t>
      </w:r>
      <w:r>
        <w:rPr>
          <w:rFonts w:hint="default" w:ascii="仿宋" w:hAnsi="仿宋" w:eastAsia="仿宋" w:cs="仿宋"/>
          <w:color w:val="000000"/>
          <w:kern w:val="0"/>
          <w:sz w:val="32"/>
          <w:szCs w:val="32"/>
          <w:lang w:val="en-US" w:eastAsia="zh-CN" w:bidi="ar"/>
        </w:rPr>
        <w:t>公告</w:t>
      </w:r>
      <w:r>
        <w:rPr>
          <w:rFonts w:hint="eastAsia" w:ascii="仿宋" w:hAnsi="仿宋" w:eastAsia="仿宋" w:cs="仿宋"/>
          <w:color w:val="000000"/>
          <w:kern w:val="0"/>
          <w:sz w:val="32"/>
          <w:szCs w:val="32"/>
          <w:lang w:val="en-US" w:eastAsia="zh-CN" w:bidi="ar"/>
        </w:rPr>
        <w:t>。</w:t>
      </w:r>
    </w:p>
    <w:p>
      <w:pPr>
        <w:numPr>
          <w:ilvl w:val="0"/>
          <w:numId w:val="0"/>
        </w:numPr>
        <w:tabs>
          <w:tab w:val="left" w:pos="900"/>
        </w:tabs>
        <w:spacing w:line="560" w:lineRule="exact"/>
        <w:ind w:left="630" w:leftChars="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（二）现金分红方案合理性说明</w:t>
      </w:r>
    </w:p>
    <w:p>
      <w:pPr>
        <w:numPr>
          <w:ilvl w:val="0"/>
          <w:numId w:val="0"/>
        </w:numPr>
        <w:tabs>
          <w:tab w:val="left" w:pos="900"/>
        </w:tabs>
        <w:spacing w:line="56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上市公司应当结合行业特点、发展阶段、自身经营模式、盈利水平、偿债能力、是否有重大资金支出安排以及投资者回报等因素，说明现金分红方案的合理性，是否符合公司章程规定的利润分配政策和公司已披露的股东回报规划。</w:t>
      </w:r>
    </w:p>
    <w:p>
      <w:pPr>
        <w:numPr>
          <w:ilvl w:val="0"/>
          <w:numId w:val="0"/>
        </w:numPr>
        <w:tabs>
          <w:tab w:val="left" w:pos="900"/>
        </w:tabs>
        <w:spacing w:line="56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上市公司还应当对照本所《创业板规范运作指引》的相关规定，对现金分红方案的合理性作进一步说明：</w:t>
      </w:r>
    </w:p>
    <w:p>
      <w:pPr>
        <w:numPr>
          <w:ilvl w:val="0"/>
          <w:numId w:val="0"/>
        </w:numPr>
        <w:tabs>
          <w:tab w:val="left" w:pos="900"/>
        </w:tabs>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上市公司合并资产负债表、母公司资产负债表中本年末未分配利润均为正值且报告期内盈利，不进行现金分红或者</w:t>
      </w:r>
      <w:r>
        <w:rPr>
          <w:rFonts w:hint="eastAsia" w:ascii="仿宋" w:hAnsi="仿宋" w:eastAsia="仿宋"/>
          <w:b w:val="0"/>
          <w:bCs w:val="0"/>
          <w:color w:val="000000"/>
          <w:sz w:val="32"/>
          <w:szCs w:val="32"/>
          <w:lang w:eastAsia="zh-CN"/>
        </w:rPr>
        <w:t>最近三年</w:t>
      </w:r>
      <w:r>
        <w:rPr>
          <w:rFonts w:hint="eastAsia" w:ascii="仿宋" w:hAnsi="仿宋" w:eastAsia="仿宋"/>
          <w:b w:val="0"/>
          <w:bCs w:val="0"/>
          <w:color w:val="000000"/>
          <w:sz w:val="32"/>
          <w:szCs w:val="32"/>
        </w:rPr>
        <w:t>现金分红总额低于</w:t>
      </w:r>
      <w:r>
        <w:rPr>
          <w:rFonts w:hint="eastAsia" w:ascii="仿宋" w:hAnsi="仿宋" w:eastAsia="仿宋"/>
          <w:b w:val="0"/>
          <w:bCs w:val="0"/>
          <w:color w:val="000000"/>
          <w:sz w:val="32"/>
          <w:szCs w:val="32"/>
          <w:lang w:eastAsia="zh-CN"/>
        </w:rPr>
        <w:t>最近三年年均</w:t>
      </w:r>
      <w:r>
        <w:rPr>
          <w:rFonts w:hint="eastAsia" w:ascii="仿宋" w:hAnsi="仿宋" w:eastAsia="仿宋"/>
          <w:b w:val="0"/>
          <w:bCs w:val="0"/>
          <w:color w:val="000000"/>
          <w:sz w:val="32"/>
          <w:szCs w:val="32"/>
        </w:rPr>
        <w:t>净利润30%的，</w:t>
      </w:r>
      <w:r>
        <w:rPr>
          <w:rFonts w:hint="eastAsia" w:ascii="仿宋" w:hAnsi="仿宋" w:eastAsia="仿宋"/>
          <w:b w:val="0"/>
          <w:bCs w:val="0"/>
          <w:color w:val="000000"/>
          <w:sz w:val="32"/>
          <w:szCs w:val="32"/>
          <w:lang w:eastAsia="zh-CN"/>
        </w:rPr>
        <w:t>披露下列</w:t>
      </w:r>
      <w:r>
        <w:rPr>
          <w:rFonts w:hint="eastAsia" w:ascii="仿宋" w:hAnsi="仿宋" w:eastAsia="仿宋"/>
          <w:b w:val="0"/>
          <w:bCs w:val="0"/>
          <w:color w:val="000000"/>
          <w:sz w:val="32"/>
          <w:szCs w:val="32"/>
        </w:rPr>
        <w:t>内容：</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（1）</w:t>
      </w:r>
      <w:r>
        <w:rPr>
          <w:rFonts w:hint="eastAsia" w:ascii="仿宋" w:hAnsi="仿宋" w:eastAsia="仿宋" w:cs="宋体"/>
          <w:kern w:val="0"/>
          <w:sz w:val="32"/>
          <w:szCs w:val="32"/>
          <w:lang w:eastAsia="zh-CN"/>
        </w:rPr>
        <w:t>结合</w:t>
      </w:r>
      <w:r>
        <w:rPr>
          <w:rFonts w:hint="eastAsia" w:ascii="仿宋" w:hAnsi="仿宋" w:eastAsia="仿宋"/>
          <w:b w:val="0"/>
          <w:bCs w:val="0"/>
          <w:color w:val="000000"/>
          <w:sz w:val="32"/>
          <w:szCs w:val="32"/>
        </w:rPr>
        <w:t>所处行业特点、发展阶段、自身经营模式、盈利水平、偿债能力、资金需求等因素，</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不进行现金分红或者现金分红水平较低的原因；</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留存未分配利润的预计用途以及收益情况；</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（3）</w:t>
      </w:r>
      <w:r>
        <w:rPr>
          <w:rFonts w:hint="eastAsia" w:ascii="仿宋" w:hAnsi="仿宋" w:eastAsia="仿宋"/>
          <w:b w:val="0"/>
          <w:bCs w:val="0"/>
          <w:color w:val="000000"/>
          <w:sz w:val="32"/>
          <w:szCs w:val="32"/>
        </w:rPr>
        <w:t>公司在相应期间是否按照中国证监会相关规定为中小股东参与现金分红决策提供了便利；</w:t>
      </w:r>
    </w:p>
    <w:p>
      <w:pPr>
        <w:spacing w:line="560" w:lineRule="exact"/>
        <w:ind w:firstLine="640" w:firstLineChars="200"/>
        <w:rPr>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（4）</w:t>
      </w:r>
      <w:r>
        <w:rPr>
          <w:rFonts w:hint="eastAsia" w:ascii="仿宋" w:hAnsi="仿宋" w:eastAsia="仿宋"/>
          <w:b w:val="0"/>
          <w:bCs w:val="0"/>
          <w:color w:val="000000"/>
          <w:sz w:val="32"/>
          <w:szCs w:val="32"/>
        </w:rPr>
        <w:t>公司为增强投资者回报水平拟采取的措施。</w:t>
      </w:r>
    </w:p>
    <w:p>
      <w:pPr>
        <w:spacing w:line="560" w:lineRule="exact"/>
        <w:ind w:firstLine="640" w:firstLineChars="200"/>
        <w:rPr>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2</w:t>
      </w:r>
      <w:r>
        <w:rPr>
          <w:rFonts w:hint="eastAsia" w:ascii="仿宋" w:hAnsi="仿宋" w:eastAsia="仿宋" w:cs="宋体"/>
          <w:kern w:val="0"/>
          <w:sz w:val="32"/>
          <w:szCs w:val="32"/>
        </w:rPr>
        <w:t>．</w:t>
      </w:r>
      <w:r>
        <w:rPr>
          <w:rFonts w:hint="eastAsia" w:ascii="仿宋" w:hAnsi="仿宋" w:eastAsia="仿宋"/>
          <w:b w:val="0"/>
          <w:bCs w:val="0"/>
          <w:color w:val="000000"/>
          <w:sz w:val="32"/>
          <w:szCs w:val="32"/>
          <w:lang w:val="en-US" w:eastAsia="zh-CN"/>
        </w:rPr>
        <w:t>上市公司</w:t>
      </w:r>
      <w:r>
        <w:rPr>
          <w:rFonts w:hint="eastAsia" w:ascii="仿宋" w:hAnsi="仿宋" w:eastAsia="仿宋"/>
          <w:b w:val="0"/>
          <w:bCs w:val="0"/>
          <w:color w:val="000000"/>
          <w:sz w:val="32"/>
          <w:szCs w:val="32"/>
        </w:rPr>
        <w:t>母公司资产负债表中未分配利润为负值但合并资产负债表中未分配利润为正值的，</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控股子公司向母公司实施利润分配的情况，以及公司为增强投资者回报水平拟采取的措施。</w:t>
      </w:r>
    </w:p>
    <w:p>
      <w:pPr>
        <w:spacing w:line="560" w:lineRule="exact"/>
        <w:ind w:firstLine="640" w:firstLineChars="20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val="en-US" w:eastAsia="zh-CN"/>
        </w:rPr>
        <w:t>3</w:t>
      </w:r>
      <w:r>
        <w:rPr>
          <w:rFonts w:hint="eastAsia" w:ascii="仿宋" w:hAnsi="仿宋" w:eastAsia="仿宋" w:cs="宋体"/>
          <w:kern w:val="0"/>
          <w:sz w:val="32"/>
          <w:szCs w:val="32"/>
        </w:rPr>
        <w:t>．</w:t>
      </w:r>
      <w:r>
        <w:rPr>
          <w:rFonts w:hint="eastAsia" w:ascii="仿宋" w:hAnsi="仿宋" w:eastAsia="仿宋"/>
          <w:b w:val="0"/>
          <w:bCs w:val="0"/>
          <w:color w:val="000000"/>
          <w:sz w:val="32"/>
          <w:szCs w:val="32"/>
          <w:lang w:val="en-US" w:eastAsia="zh-CN"/>
        </w:rPr>
        <w:t>非金融业上市公司</w:t>
      </w:r>
      <w:r>
        <w:rPr>
          <w:rFonts w:hint="eastAsia" w:ascii="仿宋" w:hAnsi="仿宋" w:eastAsia="仿宋"/>
          <w:b w:val="0"/>
          <w:bCs w:val="0"/>
          <w:color w:val="000000"/>
          <w:sz w:val="32"/>
          <w:szCs w:val="32"/>
        </w:rPr>
        <w:t>合并资产负债表、母公司资产负债表中本年末未分配利润均为正值且报告期内盈利</w:t>
      </w:r>
      <w:r>
        <w:rPr>
          <w:rFonts w:hint="eastAsia" w:ascii="仿宋" w:hAnsi="仿宋" w:eastAsia="仿宋"/>
          <w:b w:val="0"/>
          <w:bCs w:val="0"/>
          <w:color w:val="000000"/>
          <w:sz w:val="32"/>
          <w:szCs w:val="32"/>
          <w:lang w:eastAsia="zh-CN"/>
        </w:rPr>
        <w:t>的，说明最近两个会计年度</w:t>
      </w:r>
      <w:r>
        <w:rPr>
          <w:rFonts w:hint="eastAsia" w:ascii="仿宋" w:hAnsi="仿宋" w:eastAsia="仿宋"/>
          <w:b w:val="0"/>
          <w:bCs w:val="0"/>
          <w:color w:val="000000"/>
          <w:sz w:val="32"/>
          <w:szCs w:val="32"/>
        </w:rPr>
        <w:t>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核算及列报</w:t>
      </w:r>
      <w:r>
        <w:rPr>
          <w:rFonts w:hint="eastAsia" w:ascii="仿宋" w:hAnsi="仿宋" w:eastAsia="仿宋"/>
          <w:b w:val="0"/>
          <w:bCs w:val="0"/>
          <w:color w:val="000000"/>
          <w:sz w:val="32"/>
          <w:szCs w:val="32"/>
          <w:lang w:eastAsia="zh-CN"/>
        </w:rPr>
        <w:t>合计</w:t>
      </w:r>
      <w:r>
        <w:rPr>
          <w:rFonts w:hint="eastAsia" w:ascii="仿宋" w:hAnsi="仿宋" w:eastAsia="仿宋"/>
          <w:b w:val="0"/>
          <w:bCs w:val="0"/>
          <w:color w:val="000000"/>
          <w:sz w:val="32"/>
          <w:szCs w:val="32"/>
        </w:rPr>
        <w:t>金额</w:t>
      </w:r>
      <w:r>
        <w:rPr>
          <w:rFonts w:hint="eastAsia" w:ascii="仿宋" w:hAnsi="仿宋" w:eastAsia="仿宋"/>
          <w:b w:val="0"/>
          <w:bCs w:val="0"/>
          <w:color w:val="000000"/>
          <w:sz w:val="32"/>
          <w:szCs w:val="32"/>
          <w:lang w:eastAsia="zh-CN"/>
        </w:rPr>
        <w:t>以及其占总资产的比例。</w:t>
      </w:r>
    </w:p>
    <w:p>
      <w:pPr>
        <w:spacing w:line="560" w:lineRule="exact"/>
        <w:ind w:firstLine="640" w:firstLineChars="20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t>最近连续两个会计年度前述比例均高于</w:t>
      </w:r>
      <w:r>
        <w:rPr>
          <w:rFonts w:hint="eastAsia" w:ascii="仿宋" w:hAnsi="仿宋" w:eastAsia="仿宋"/>
          <w:b w:val="0"/>
          <w:bCs w:val="0"/>
          <w:color w:val="000000"/>
          <w:sz w:val="32"/>
          <w:szCs w:val="32"/>
          <w:lang w:val="en-US" w:eastAsia="zh-CN"/>
        </w:rPr>
        <w:t>50%，且公司本年度不进行现金分红或者现金分红总额低于当年净利润</w:t>
      </w:r>
      <w:r>
        <w:rPr>
          <w:rFonts w:hint="eastAsia" w:ascii="仿宋" w:hAnsi="仿宋" w:eastAsia="仿宋"/>
          <w:b w:val="0"/>
          <w:bCs w:val="0"/>
          <w:color w:val="000000"/>
          <w:sz w:val="32"/>
          <w:szCs w:val="32"/>
        </w:rPr>
        <w:t>50%的，应</w:t>
      </w:r>
      <w:r>
        <w:rPr>
          <w:rFonts w:hint="eastAsia" w:ascii="仿宋" w:hAnsi="仿宋" w:eastAsia="仿宋"/>
          <w:b w:val="0"/>
          <w:bCs w:val="0"/>
          <w:color w:val="000000"/>
          <w:sz w:val="32"/>
          <w:szCs w:val="32"/>
          <w:lang w:eastAsia="zh-CN"/>
        </w:rPr>
        <w:t>当</w:t>
      </w:r>
      <w:r>
        <w:rPr>
          <w:rFonts w:hint="eastAsia" w:ascii="仿宋" w:hAnsi="仿宋" w:eastAsia="仿宋"/>
          <w:b w:val="0"/>
          <w:bCs w:val="0"/>
          <w:color w:val="000000"/>
          <w:sz w:val="32"/>
          <w:szCs w:val="32"/>
        </w:rPr>
        <w:t>结合前述财务报表列报项目的具体情况，</w:t>
      </w:r>
      <w:r>
        <w:rPr>
          <w:rFonts w:hint="eastAsia" w:ascii="仿宋" w:hAnsi="仿宋" w:eastAsia="仿宋"/>
          <w:b w:val="0"/>
          <w:bCs w:val="0"/>
          <w:color w:val="000000"/>
          <w:sz w:val="32"/>
          <w:szCs w:val="32"/>
          <w:lang w:eastAsia="zh-CN"/>
        </w:rPr>
        <w:t>说明</w:t>
      </w:r>
      <w:r>
        <w:rPr>
          <w:rFonts w:hint="eastAsia" w:ascii="仿宋" w:hAnsi="仿宋" w:eastAsia="仿宋"/>
          <w:color w:val="000000"/>
          <w:sz w:val="32"/>
          <w:szCs w:val="32"/>
        </w:rPr>
        <w:t>现金分红方案确定的依据，以及未来增强投资者回报水平的规划。</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4</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上市公司利润分配方案中现金分红的金额达到或者超过当期净利润的100%，且达到或者超过当期末未分配利润的50%</w:t>
      </w:r>
      <w:r>
        <w:rPr>
          <w:rFonts w:hint="eastAsia" w:ascii="仿宋" w:hAnsi="仿宋" w:eastAsia="仿宋"/>
          <w:b w:val="0"/>
          <w:bCs w:val="0"/>
          <w:color w:val="000000"/>
          <w:sz w:val="32"/>
          <w:szCs w:val="32"/>
          <w:lang w:eastAsia="zh-CN"/>
        </w:rPr>
        <w:t>的</w:t>
      </w:r>
      <w:r>
        <w:rPr>
          <w:rFonts w:hint="eastAsia" w:ascii="仿宋" w:hAnsi="仿宋" w:eastAsia="仿宋"/>
          <w:b w:val="0"/>
          <w:bCs w:val="0"/>
          <w:color w:val="000000"/>
          <w:sz w:val="32"/>
          <w:szCs w:val="32"/>
        </w:rPr>
        <w:t>，</w:t>
      </w:r>
      <w:r>
        <w:rPr>
          <w:rFonts w:hint="eastAsia" w:ascii="仿宋" w:hAnsi="仿宋" w:eastAsia="仿宋"/>
          <w:b w:val="0"/>
          <w:bCs w:val="0"/>
          <w:color w:val="000000"/>
          <w:sz w:val="32"/>
          <w:szCs w:val="32"/>
          <w:lang w:eastAsia="zh-CN"/>
        </w:rPr>
        <w:t>说明现金分红</w:t>
      </w:r>
      <w:r>
        <w:rPr>
          <w:rFonts w:hint="eastAsia" w:ascii="仿宋" w:hAnsi="仿宋" w:eastAsia="仿宋"/>
          <w:b w:val="0"/>
          <w:bCs w:val="0"/>
          <w:color w:val="000000"/>
          <w:sz w:val="32"/>
          <w:szCs w:val="32"/>
        </w:rPr>
        <w:t>是否影响偿债能力、过去十二个月内是否使用过募集资金补充流动资金以及未来十二个月内是否计划使用募集资金补充流动资金等内容。</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5</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上市公司存在</w:t>
      </w:r>
      <w:r>
        <w:rPr>
          <w:rFonts w:hint="eastAsia" w:ascii="仿宋" w:hAnsi="仿宋" w:eastAsia="仿宋"/>
          <w:b w:val="0"/>
          <w:bCs w:val="0"/>
          <w:color w:val="000000"/>
          <w:sz w:val="32"/>
          <w:szCs w:val="32"/>
          <w:lang w:eastAsia="zh-CN"/>
        </w:rPr>
        <w:t>下列</w:t>
      </w:r>
      <w:r>
        <w:rPr>
          <w:rFonts w:hint="eastAsia" w:ascii="仿宋" w:hAnsi="仿宋" w:eastAsia="仿宋"/>
          <w:b w:val="0"/>
          <w:bCs w:val="0"/>
          <w:color w:val="000000"/>
          <w:sz w:val="32"/>
          <w:szCs w:val="32"/>
        </w:rPr>
        <w:t>情形</w:t>
      </w:r>
      <w:r>
        <w:rPr>
          <w:rFonts w:hint="eastAsia" w:ascii="仿宋" w:hAnsi="仿宋" w:eastAsia="仿宋"/>
          <w:b w:val="0"/>
          <w:bCs w:val="0"/>
          <w:color w:val="000000"/>
          <w:sz w:val="32"/>
          <w:szCs w:val="32"/>
          <w:lang w:eastAsia="zh-CN"/>
        </w:rPr>
        <w:t>之一</w:t>
      </w:r>
      <w:r>
        <w:rPr>
          <w:rFonts w:hint="eastAsia" w:ascii="仿宋" w:hAnsi="仿宋" w:eastAsia="仿宋"/>
          <w:b w:val="0"/>
          <w:bCs w:val="0"/>
          <w:color w:val="000000"/>
          <w:sz w:val="32"/>
          <w:szCs w:val="32"/>
        </w:rPr>
        <w:t>的，</w:t>
      </w:r>
      <w:r>
        <w:rPr>
          <w:rFonts w:hint="eastAsia" w:ascii="仿宋" w:hAnsi="仿宋" w:eastAsia="仿宋"/>
          <w:b w:val="0"/>
          <w:bCs w:val="0"/>
          <w:color w:val="000000"/>
          <w:sz w:val="32"/>
          <w:szCs w:val="32"/>
          <w:lang w:eastAsia="zh-CN"/>
        </w:rPr>
        <w:t>应当</w:t>
      </w:r>
      <w:r>
        <w:rPr>
          <w:rFonts w:hint="eastAsia" w:ascii="仿宋" w:hAnsi="仿宋" w:eastAsia="仿宋"/>
          <w:b w:val="0"/>
          <w:bCs w:val="0"/>
          <w:color w:val="000000"/>
          <w:sz w:val="32"/>
          <w:szCs w:val="32"/>
        </w:rPr>
        <w:t>根据公司盈利能力、融资能力及其成本、偿债能力及现金流等情况</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现金分红方案的合理性，是否导致公司营运资金不足或者影响公司正常生产经营：</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（1）</w:t>
      </w:r>
      <w:r>
        <w:rPr>
          <w:rFonts w:hint="eastAsia" w:ascii="仿宋" w:hAnsi="仿宋" w:eastAsia="仿宋"/>
          <w:b w:val="0"/>
          <w:bCs w:val="0"/>
          <w:color w:val="000000"/>
          <w:sz w:val="32"/>
          <w:szCs w:val="32"/>
        </w:rPr>
        <w:t>最近一个会计年度的财务会计报告被出具非无保留意见的审计报告或者带与持续经营相关的重大不确定性段落的无保留意见的审计报告，且实施现金分红的；</w:t>
      </w:r>
    </w:p>
    <w:p>
      <w:pPr>
        <w:spacing w:line="560" w:lineRule="exact"/>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报告期末资产负债率超过80%且当期经营活动产生的现金流量净额为负，现金分红金额超过当期净利润50%的，金融业上市公司除外。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四、高送转方案的具体情况（如适用）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eastAsia="zh-CN"/>
        </w:rPr>
        <w:t>一</w:t>
      </w:r>
      <w:r>
        <w:rPr>
          <w:rFonts w:hint="eastAsia" w:ascii="仿宋" w:hAnsi="仿宋" w:eastAsia="仿宋"/>
          <w:color w:val="000000"/>
          <w:sz w:val="32"/>
          <w:szCs w:val="32"/>
        </w:rPr>
        <w:t>）</w:t>
      </w:r>
      <w:r>
        <w:rPr>
          <w:rFonts w:hint="eastAsia" w:ascii="仿宋" w:hAnsi="仿宋" w:eastAsia="仿宋"/>
          <w:color w:val="000000"/>
          <w:sz w:val="32"/>
          <w:szCs w:val="32"/>
          <w:lang w:eastAsia="zh-CN"/>
        </w:rPr>
        <w:t>高送转</w:t>
      </w:r>
      <w:r>
        <w:rPr>
          <w:rFonts w:hint="eastAsia" w:ascii="仿宋" w:hAnsi="仿宋" w:eastAsia="仿宋"/>
          <w:color w:val="000000"/>
          <w:sz w:val="32"/>
          <w:szCs w:val="32"/>
        </w:rPr>
        <w:t>方案的合法合规性</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val="0"/>
          <w:bCs w:val="0"/>
          <w:color w:val="000000"/>
          <w:kern w:val="2"/>
          <w:sz w:val="32"/>
          <w:szCs w:val="32"/>
          <w:lang w:val="en-US" w:eastAsia="zh-CN" w:bidi="ar-SA"/>
        </w:rPr>
        <w:t>说明高送转方案是否符合《公司法》《企业会计准则》、本所《</w:t>
      </w:r>
      <w:r>
        <w:rPr>
          <w:rFonts w:hint="eastAsia" w:ascii="仿宋" w:hAnsi="仿宋" w:eastAsia="仿宋"/>
          <w:b w:val="0"/>
          <w:bCs w:val="0"/>
          <w:sz w:val="32"/>
          <w:szCs w:val="32"/>
          <w:lang w:val="en-US" w:eastAsia="zh-CN"/>
        </w:rPr>
        <w:t>创业板</w:t>
      </w:r>
      <w:r>
        <w:rPr>
          <w:rFonts w:hint="eastAsia" w:ascii="仿宋" w:hAnsi="仿宋" w:eastAsia="仿宋" w:cs="Times New Roman"/>
          <w:b w:val="0"/>
          <w:bCs w:val="0"/>
          <w:color w:val="000000"/>
          <w:kern w:val="2"/>
          <w:sz w:val="32"/>
          <w:szCs w:val="32"/>
          <w:lang w:val="en-US" w:eastAsia="zh-CN" w:bidi="ar-SA"/>
        </w:rPr>
        <w:t>规范运作指引》及公司章程等规定，是否符合公司确定的利润分配政策、利润分配计划、股东长期回报规划以及作出的相关承诺。</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（二）高送转方案与公司成长性的匹配情况</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w:t>
      </w:r>
      <w:r>
        <w:rPr>
          <w:rFonts w:hint="eastAsia" w:ascii="仿宋" w:hAnsi="仿宋" w:eastAsia="仿宋" w:cs="宋体"/>
          <w:kern w:val="0"/>
          <w:sz w:val="32"/>
          <w:szCs w:val="32"/>
        </w:rPr>
        <w:t>．</w:t>
      </w:r>
      <w:r>
        <w:rPr>
          <w:rFonts w:hint="eastAsia" w:ascii="仿宋" w:hAnsi="仿宋" w:eastAsia="仿宋"/>
          <w:color w:val="000000"/>
          <w:sz w:val="32"/>
          <w:szCs w:val="32"/>
        </w:rPr>
        <w:t>结合净利润、净资产的增长情况等说明高送转与公司业绩增长的匹配情况，或者结合最近三年每股收益情况等说明高送转的主要考虑及其合理性</w:t>
      </w:r>
      <w:r>
        <w:rPr>
          <w:rFonts w:hint="eastAsia" w:ascii="仿宋" w:hAnsi="仿宋" w:eastAsia="仿宋"/>
          <w:color w:val="000000"/>
          <w:sz w:val="32"/>
          <w:szCs w:val="32"/>
          <w:lang w:eastAsia="zh-CN"/>
        </w:rPr>
        <w:t>。</w:t>
      </w:r>
    </w:p>
    <w:p>
      <w:pPr>
        <w:spacing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2</w:t>
      </w:r>
      <w:r>
        <w:rPr>
          <w:rFonts w:hint="eastAsia" w:ascii="仿宋" w:hAnsi="仿宋" w:eastAsia="仿宋" w:cs="宋体"/>
          <w:kern w:val="0"/>
          <w:sz w:val="32"/>
          <w:szCs w:val="32"/>
        </w:rPr>
        <w:t>．</w:t>
      </w:r>
      <w:r>
        <w:rPr>
          <w:rFonts w:hint="eastAsia" w:ascii="仿宋" w:hAnsi="仿宋" w:eastAsia="仿宋"/>
          <w:color w:val="000000"/>
          <w:sz w:val="32"/>
          <w:szCs w:val="32"/>
          <w:highlight w:val="none"/>
        </w:rPr>
        <w:t>报告期内非经常性损益对公司业绩影响较大的（占净利润30%以上），说明其金额及可持续性。</w:t>
      </w:r>
    </w:p>
    <w:p>
      <w:pPr>
        <w:numPr>
          <w:ilvl w:val="0"/>
          <w:numId w:val="0"/>
        </w:num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（三）</w:t>
      </w:r>
      <w:r>
        <w:rPr>
          <w:rFonts w:hint="eastAsia" w:ascii="仿宋" w:hAnsi="仿宋" w:eastAsia="仿宋"/>
          <w:color w:val="000000"/>
          <w:sz w:val="32"/>
          <w:szCs w:val="32"/>
        </w:rPr>
        <w:t>相关说明及风险提示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宋体"/>
          <w:kern w:val="0"/>
          <w:sz w:val="32"/>
          <w:szCs w:val="32"/>
        </w:rPr>
        <w:t>．</w:t>
      </w:r>
      <w:r>
        <w:rPr>
          <w:rFonts w:hint="eastAsia" w:ascii="仿宋" w:hAnsi="仿宋" w:eastAsia="仿宋"/>
          <w:sz w:val="32"/>
          <w:szCs w:val="32"/>
        </w:rPr>
        <w:t>说明高送转方案对公司报告期内净资产收益率以及投资者持股比例没有实质性的影响，以及公司报告期内每股收益、每股净资产的摊薄情况。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s="宋体"/>
          <w:kern w:val="0"/>
          <w:sz w:val="32"/>
          <w:szCs w:val="32"/>
        </w:rPr>
        <w:t>．</w:t>
      </w:r>
      <w:r>
        <w:rPr>
          <w:rFonts w:hint="eastAsia" w:ascii="仿宋" w:hAnsi="仿宋" w:eastAsia="仿宋"/>
          <w:sz w:val="32"/>
          <w:szCs w:val="32"/>
        </w:rPr>
        <w:t>说明高送转方案尚需经股东会审议通过，存在不确定性。</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宋体"/>
          <w:kern w:val="0"/>
          <w:sz w:val="32"/>
          <w:szCs w:val="32"/>
        </w:rPr>
        <w:t>．</w:t>
      </w:r>
      <w:r>
        <w:rPr>
          <w:rFonts w:hint="eastAsia" w:ascii="仿宋" w:hAnsi="仿宋" w:eastAsia="仿宋"/>
          <w:sz w:val="32"/>
          <w:szCs w:val="32"/>
        </w:rPr>
        <w:t>说明公司在信息保密和防范内幕交易方面所采取的措施。</w:t>
      </w:r>
    </w:p>
    <w:p>
      <w:pPr>
        <w:adjustRightInd w:val="0"/>
        <w:spacing w:line="560" w:lineRule="exact"/>
        <w:ind w:firstLine="640" w:firstLineChars="200"/>
        <w:rPr>
          <w:rFonts w:ascii="仿宋" w:hAnsi="仿宋" w:eastAsia="仿宋"/>
          <w:sz w:val="32"/>
          <w:szCs w:val="32"/>
        </w:rPr>
      </w:pPr>
    </w:p>
    <w:p>
      <w:pPr>
        <w:adjustRightInd w:val="0"/>
        <w:spacing w:line="56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numPr>
          <w:ilvl w:val="0"/>
          <w:numId w:val="0"/>
        </w:numPr>
        <w:spacing w:line="560" w:lineRule="exact"/>
        <w:ind w:leftChars="200" w:firstLine="321" w:firstLineChars="100"/>
        <w:rPr>
          <w:rFonts w:hint="eastAsia" w:ascii="仿宋" w:hAnsi="仿宋" w:eastAsia="仿宋"/>
          <w:b/>
          <w:bCs/>
          <w:color w:val="000000"/>
          <w:sz w:val="32"/>
          <w:szCs w:val="32"/>
          <w:lang w:val="en-US" w:eastAsia="zh-CN"/>
        </w:rPr>
      </w:pPr>
    </w:p>
    <w:p>
      <w:pPr>
        <w:numPr>
          <w:ilvl w:val="0"/>
          <w:numId w:val="0"/>
        </w:numPr>
        <w:spacing w:line="560" w:lineRule="exact"/>
        <w:ind w:leftChars="200" w:firstLine="321" w:firstLineChars="1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备查文件</w:t>
      </w:r>
      <w:r>
        <w:rPr>
          <w:rFonts w:hint="eastAsia" w:ascii="仿宋" w:hAnsi="仿宋" w:eastAsia="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w:t>
      </w:r>
      <w:r>
        <w:rPr>
          <w:rFonts w:hint="eastAsia" w:ascii="仿宋" w:hAnsi="仿宋" w:eastAsia="仿宋" w:cs="宋体"/>
          <w:kern w:val="0"/>
          <w:sz w:val="32"/>
          <w:szCs w:val="32"/>
        </w:rPr>
        <w:t>．</w:t>
      </w:r>
      <w:r>
        <w:rPr>
          <w:rFonts w:hint="eastAsia" w:ascii="仿宋" w:hAnsi="仿宋" w:eastAsia="仿宋"/>
          <w:color w:val="000000"/>
          <w:sz w:val="32"/>
          <w:szCs w:val="32"/>
          <w:lang w:val="en-US" w:eastAsia="zh-CN"/>
        </w:rPr>
        <w:t>审计报告（如适用）；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s="宋体"/>
          <w:kern w:val="0"/>
          <w:sz w:val="32"/>
          <w:szCs w:val="32"/>
          <w:lang w:eastAsia="zh"/>
        </w:rPr>
        <w:t>2</w:t>
      </w:r>
      <w:r>
        <w:rPr>
          <w:rFonts w:hint="eastAsia" w:ascii="仿宋" w:hAnsi="仿宋" w:eastAsia="仿宋" w:cs="宋体"/>
          <w:kern w:val="0"/>
          <w:sz w:val="32"/>
          <w:szCs w:val="32"/>
        </w:rPr>
        <w:t>．</w:t>
      </w:r>
      <w:r>
        <w:rPr>
          <w:rFonts w:hint="eastAsia" w:ascii="仿宋" w:hAnsi="仿宋" w:eastAsia="仿宋"/>
          <w:color w:val="000000"/>
          <w:sz w:val="32"/>
          <w:szCs w:val="32"/>
          <w:lang w:val="en-US" w:eastAsia="zh-CN"/>
        </w:rPr>
        <w:t>独立董事意见（如适用）；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
          <w:lang w:val="en-US" w:eastAsia="zh"/>
        </w:rPr>
      </w:pPr>
      <w:r>
        <w:rPr>
          <w:rFonts w:hint="eastAsia" w:ascii="仿宋" w:hAnsi="仿宋" w:eastAsia="仿宋" w:cs="宋体"/>
          <w:kern w:val="0"/>
          <w:sz w:val="32"/>
          <w:szCs w:val="32"/>
          <w:lang w:eastAsia="zh"/>
        </w:rPr>
        <w:t>3</w:t>
      </w:r>
      <w:r>
        <w:rPr>
          <w:rFonts w:hint="eastAsia" w:ascii="仿宋" w:hAnsi="仿宋" w:eastAsia="仿宋" w:cs="宋体"/>
          <w:kern w:val="0"/>
          <w:sz w:val="32"/>
          <w:szCs w:val="32"/>
        </w:rPr>
        <w:t>．</w:t>
      </w:r>
      <w:r>
        <w:rPr>
          <w:rFonts w:hint="eastAsia" w:eastAsia="仿宋"/>
          <w:color w:val="000000"/>
          <w:sz w:val="32"/>
          <w:szCs w:val="32"/>
          <w:lang w:val="en-US" w:eastAsia="zh-CN"/>
        </w:rPr>
        <w:t>回购注销金额的相关证明</w:t>
      </w:r>
      <w:r>
        <w:rPr>
          <w:rFonts w:hint="eastAsia" w:eastAsia="仿宋"/>
          <w:color w:val="000000"/>
          <w:sz w:val="32"/>
          <w:szCs w:val="32"/>
          <w:lang w:val="en-US" w:eastAsia="zh"/>
        </w:rPr>
        <w:t>。</w:t>
      </w:r>
    </w:p>
    <w:p>
      <w:pPr>
        <w:widowControl/>
        <w:jc w:val="righ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center"/>
        <w:outlineLvl w:val="2"/>
        <w:rPr>
          <w:rFonts w:ascii="仿宋" w:hAnsi="仿宋" w:eastAsia="仿宋"/>
          <w:b/>
          <w:bCs/>
        </w:rPr>
      </w:pPr>
      <w:r>
        <w:rPr>
          <w:rFonts w:ascii="方正小标宋简体" w:hAnsi="仿宋" w:eastAsia="方正小标宋简体"/>
          <w:kern w:val="44"/>
          <w:sz w:val="44"/>
          <w:szCs w:val="44"/>
        </w:rPr>
        <w:br w:type="page"/>
      </w:r>
      <w:bookmarkStart w:id="114" w:name="_Toc1592"/>
      <w:bookmarkStart w:id="115" w:name="_Toc12770"/>
      <w:bookmarkStart w:id="116" w:name="_Toc164973733"/>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39</w:t>
      </w:r>
      <w:r>
        <w:rPr>
          <w:rFonts w:hint="eastAsia" w:ascii="方正小标宋简体" w:hAnsi="仿宋" w:eastAsia="方正小标宋简体"/>
          <w:kern w:val="44"/>
          <w:sz w:val="44"/>
          <w:szCs w:val="44"/>
        </w:rPr>
        <w:t>号 上市公司获得政府补助公告格式</w:t>
      </w:r>
      <w:bookmarkEnd w:id="114"/>
      <w:bookmarkEnd w:id="115"/>
      <w:bookmarkEnd w:id="116"/>
    </w:p>
    <w:p>
      <w:pPr>
        <w:spacing w:line="560" w:lineRule="exact"/>
        <w:ind w:firstLine="640" w:firstLineChars="200"/>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获得政府补助，可能对上市公司的资产、负债、权益或</w:t>
      </w:r>
      <w:r>
        <w:rPr>
          <w:rFonts w:hint="eastAsia" w:ascii="仿宋" w:hAnsi="仿宋" w:eastAsia="仿宋"/>
          <w:sz w:val="32"/>
          <w:szCs w:val="32"/>
          <w:lang w:eastAsia="zh-CN"/>
        </w:rPr>
        <w:t>者</w:t>
      </w:r>
      <w:r>
        <w:rPr>
          <w:rFonts w:hint="eastAsia" w:ascii="仿宋" w:hAnsi="仿宋" w:eastAsia="仿宋"/>
          <w:sz w:val="32"/>
          <w:szCs w:val="32"/>
        </w:rPr>
        <w:t>经营成果产生重大影响的，应当适用本公告格式履行信息披露义务。上述重大影响，是指上市公司</w:t>
      </w:r>
      <w:r>
        <w:rPr>
          <w:rFonts w:hint="eastAsia" w:ascii="仿宋" w:hAnsi="仿宋" w:eastAsia="仿宋"/>
          <w:b/>
          <w:sz w:val="32"/>
          <w:szCs w:val="32"/>
        </w:rPr>
        <w:t>单笔收到的政府补助</w:t>
      </w:r>
      <w:r>
        <w:rPr>
          <w:rFonts w:hint="eastAsia" w:ascii="仿宋" w:hAnsi="仿宋" w:eastAsia="仿宋"/>
          <w:sz w:val="32"/>
          <w:szCs w:val="32"/>
        </w:rPr>
        <w:t>，根据对净利润和资产的不同影响，测算补助金额占公司最近一个会计年度经审计的净利润或者最近一期经审计的净资产的比例，判断是否达到信息披露标准。</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本公告格式所称政府补助，指依据《企业会计准则第16号——政府补助》定义并确认的政府补助，不包括根据</w:t>
      </w:r>
      <w:r>
        <w:rPr>
          <w:rFonts w:hint="eastAsia" w:ascii="仿宋" w:hAnsi="仿宋" w:eastAsia="仿宋" w:cs="仿宋"/>
          <w:sz w:val="32"/>
          <w:szCs w:val="32"/>
        </w:rPr>
        <w:t>《公开发行证券的公司信息披露解释性公告第1 号——非经常性损益》可计入经常性损益的政府补助。</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上市公司应当根据时点优先原则，在收到政府补助相关函件或收到政府补助资金等事实最先发生的时点，及时履行信息披露义务。</w:t>
      </w:r>
    </w:p>
    <w:p>
      <w:pPr>
        <w:adjustRightInd w:val="0"/>
        <w:snapToGrid w:val="0"/>
        <w:spacing w:line="560" w:lineRule="exact"/>
        <w:jc w:val="center"/>
        <w:rPr>
          <w:rFonts w:hint="eastAsia"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ind w:firstLine="200"/>
        <w:jc w:val="center"/>
        <w:rPr>
          <w:rFonts w:ascii="仿宋" w:hAnsi="仿宋" w:eastAsia="仿宋"/>
          <w:sz w:val="32"/>
          <w:szCs w:val="32"/>
        </w:rPr>
      </w:pPr>
      <w:r>
        <w:rPr>
          <w:rFonts w:hint="eastAsia" w:ascii="仿宋" w:hAnsi="仿宋" w:eastAsia="仿宋"/>
          <w:sz w:val="32"/>
          <w:szCs w:val="32"/>
        </w:rPr>
        <w:t>XXXX股份有限公司获得政府补助的公告</w:t>
      </w:r>
    </w:p>
    <w:p>
      <w:pPr>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700224" behindDoc="0" locked="0" layoutInCell="1" allowOverlap="1">
                <wp:simplePos x="0" y="0"/>
                <wp:positionH relativeFrom="column">
                  <wp:posOffset>-247650</wp:posOffset>
                </wp:positionH>
                <wp:positionV relativeFrom="paragraph">
                  <wp:posOffset>97790</wp:posOffset>
                </wp:positionV>
                <wp:extent cx="5715000" cy="1543050"/>
                <wp:effectExtent l="4445" t="5080" r="14605" b="13970"/>
                <wp:wrapNone/>
                <wp:docPr id="70" name="矩形 70"/>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5pt;margin-top:7.7pt;height:121.5pt;width:450pt;z-index:251700224;mso-width-relative:page;mso-height-relative:page;" fillcolor="#FFFFFF" filled="t" stroked="t" coordsize="21600,21600" o:gfxdata="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MzINkAAAAKAQAADwAAAAAAAAABACAAAAAi&#10;AAAAZHJzL2Rvd25yZXYueG1sUEsBAhQAFAAAAAgAh07iQPslXmh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一、获取补助的基本情况</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说明对于判断补助影响有重要意义的信息，包括补助获得时间、类型、金额、占公司最近一个会计年度经审计的净利润或者最近一期经审计的净资产的比例。</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二、补助的类型及其对上市公司的影响</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上市公司应当参照会计准则的规定，根据获得补助类型披露相应的会计处理。获得的补助与收益相关的，应当披露对当期损益的预计影响金额。</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上市公司如暂时未能确定获得补助的类型或对当期损益影响金额的，应进行提示、说明原因，并在能够明确时及时履行信息披露义务。</w:t>
      </w:r>
    </w:p>
    <w:p>
      <w:pPr>
        <w:spacing w:line="560" w:lineRule="exact"/>
        <w:ind w:firstLine="4160"/>
        <w:jc w:val="right"/>
        <w:rPr>
          <w:rFonts w:hint="eastAsia"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有关补助的政府批文</w:t>
      </w:r>
      <w:r>
        <w:rPr>
          <w:rFonts w:hint="eastAsia" w:ascii="仿宋" w:hAnsi="仿宋" w:eastAsia="仿宋"/>
          <w:sz w:val="32"/>
          <w:szCs w:val="32"/>
          <w:lang w:eastAsia="zh-CN"/>
        </w:rPr>
        <w:t>或者</w:t>
      </w:r>
      <w:r>
        <w:rPr>
          <w:rFonts w:hint="eastAsia" w:ascii="仿宋" w:hAnsi="仿宋" w:eastAsia="仿宋"/>
          <w:sz w:val="32"/>
          <w:szCs w:val="32"/>
        </w:rPr>
        <w:t>收款证明</w:t>
      </w:r>
      <w:r>
        <w:rPr>
          <w:rFonts w:hint="eastAsia" w:ascii="仿宋" w:hAnsi="仿宋" w:eastAsia="仿宋"/>
          <w:sz w:val="32"/>
          <w:szCs w:val="32"/>
          <w:lang w:eastAsia="zh-CN"/>
        </w:rPr>
        <w:t>。</w:t>
      </w:r>
    </w:p>
    <w:p>
      <w:pPr>
        <w:pStyle w:val="2"/>
      </w:pPr>
    </w:p>
    <w:p>
      <w:pPr>
        <w:widowControl/>
        <w:jc w:val="left"/>
        <w:rPr>
          <w:rFonts w:ascii="方正小标宋简体" w:hAnsi="仿宋" w:eastAsia="方正小标宋简体"/>
          <w:kern w:val="44"/>
          <w:sz w:val="44"/>
          <w:szCs w:val="44"/>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117" w:name="_Toc30459"/>
      <w:bookmarkStart w:id="118" w:name="_Toc164973734"/>
      <w:bookmarkStart w:id="119" w:name="_Toc7776"/>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上市公司大股东及董事、高级管理人员增持股份计划及实施情况公告格式</w:t>
      </w:r>
      <w:bookmarkEnd w:id="117"/>
      <w:bookmarkEnd w:id="118"/>
      <w:bookmarkEnd w:id="119"/>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上市公司控股股东、持股5%以上股东及其一致行动人（以下简称“大股东”）、董事、高级管理人员等主体自愿性披露股份增持计划的，</w:t>
      </w:r>
      <w:r>
        <w:rPr>
          <w:rFonts w:hint="eastAsia" w:ascii="仿宋" w:hAnsi="仿宋" w:eastAsia="仿宋"/>
          <w:sz w:val="32"/>
          <w:szCs w:val="32"/>
        </w:rPr>
        <w:t>以及本所《上市公司自律监管指引第10号——股份变动管理》规定的大股东、董事、高级管理人员在未披露股份增持计划的情况下，首次披露其股份增持情况并且拟继续增持的，</w:t>
      </w:r>
      <w:r>
        <w:rPr>
          <w:rFonts w:hint="eastAsia" w:ascii="仿宋" w:hAnsi="仿宋" w:eastAsia="仿宋"/>
          <w:color w:val="000000"/>
          <w:sz w:val="32"/>
          <w:szCs w:val="32"/>
        </w:rPr>
        <w:t>应当适用本公告格式。</w:t>
      </w:r>
    </w:p>
    <w:p>
      <w:pPr>
        <w:widowControl/>
        <w:adjustRightInd w:val="0"/>
        <w:spacing w:line="560" w:lineRule="exact"/>
        <w:ind w:right="360" w:firstLine="320" w:firstLineChars="10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 xml:space="preserve">      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 xml:space="preserve">       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XXXX股份有限公司XX（计划增持主体）增持股份计划/进展/实施结果公告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216535</wp:posOffset>
                </wp:positionV>
                <wp:extent cx="5617210" cy="1238250"/>
                <wp:effectExtent l="4445" t="4445" r="17145" b="14605"/>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5617210" cy="12382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XX（计划增持主体）保证向本公司提供的信息内容真实、准确、完整，没有虚假记载、误导性陈述或重大遗漏。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17.05pt;height:97.5pt;width:442.3pt;z-index:251660288;mso-width-relative:page;mso-height-relative:page;" fillcolor="#FFFFFF" filled="t" stroked="t" coordsize="21600,21600" o:gfxdata="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rKBFQ2QAAAAkBAAAPAAAAAAAAAAEAIAAAACIA&#10;AABkcnMvZG93bnJldi54bWxQSwECFAAUAAAACACHTuJAHyVmw0ECAACLBAAADgAAAAAAAAABACAA&#10;AAAo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XX（计划增持主体）保证向本公司提供的信息内容真实、准确、完整，没有虚假记载、误导性陈述或重大遗漏。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adjustRightInd w:val="0"/>
        <w:snapToGrid w:val="0"/>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拟增持股份的规模下限或区间、价格前提（如适用）、实施期限等情况。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增持计划实施情况（如适用）。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一、计划增持主体的基本情况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计划增持主体的姓名或名称，增持主体已持有本公司股份的数量、占公司总股本的比例。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计划增持主体在本次公告前的12个月内已披露增持计划的（如有），应当披露其实施完成的情况。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计划增持主体在本次公告前6个月的减持情况（如有）,包括减持股数、价格等。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二、增持计划的主要内容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本次拟增持股份的目的。增持目的应当结合上市公司实际经营、未来发展趋势及公司股价变化等情况予以说明。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本次拟增持股份的数量或金额。公告应明确说明拟增持股份数量或金额的下限或区间范围，且下限不得为零。区间范围应当具备合理性，且上限不得超出下限的1倍。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拟增持股份的价格前提（如有）。如设置价格条件作为实施前提的，应当根据公司股票价格波动情况及市场整体走势予以审慎确定，确保增持计划具备可执行性。如披露的增持价格上限明显偏离当前的市场价格，应当详细说明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本次增持计划的实施期限。实施期限应结合敏感期等因素考虑可执行性，且自公告披露之日起不得超过6个月。增持计划实施期间，上市公司股票存在停牌情形的，增持期限可予以顺延，信息披露义务人应及时披露是否顺延实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本次拟增持股份的方式。相关增持主体应当明确增持方式，包括集中竞价交易、大宗交易、协议转让等。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本次增持是否基于其主体的特定身份，如丧失相关身份时是否继续实施本增持计划。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本次增持股份是否存在锁定安排。如存在，请说明锁定期限。</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8. 相关承诺。相关增持主体应当承诺在增持期间及法定期限内不减持公司股份以及将在上述实施期限内完成增持计划。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公司及相关增持主体认为应当说明的其他事项。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三、增持计划实施的不确定性风险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增持计划应当详细披露可能面临的不确定性风险及拟采取的应对措施。此外，在实施过程中如出现相关风险状况，应予以及时披露。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因公司股价持续超出增持计划披露的价格区间（如有），导致增持计划无法实施的风险；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增持股份所需的资金未能筹措到位，导致增持计划无法实施的风险；</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3. 采用融资方式增持公司股份的，因股价持续下跌导致已增持股份被强制平仓的风险（如适用）</w:t>
      </w:r>
      <w:r>
        <w:rPr>
          <w:rFonts w:hint="eastAsia" w:ascii="仿宋" w:hAnsi="仿宋" w:eastAsia="仿宋"/>
          <w:color w:val="000000"/>
          <w:sz w:val="32"/>
          <w:szCs w:val="32"/>
          <w:lang w:eastAsia="zh-CN"/>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可能存在的其他风险。</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四、增持计划实施情况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拟定增持实施期限过半时，应披露增持进展情况。</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概述增持计划的基本情况；</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2. </w:t>
      </w:r>
      <w:r>
        <w:rPr>
          <w:rFonts w:hint="eastAsia" w:ascii="仿宋" w:hAnsi="仿宋" w:eastAsia="仿宋"/>
          <w:sz w:val="32"/>
          <w:szCs w:val="32"/>
        </w:rPr>
        <w:t>已增持股份的数量及比例、增持方式（如集中竞价、大宗交易等）；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如增持计划期限过半时仍未实施增持的，应当详细披露原因及后续安排</w:t>
      </w:r>
      <w:r>
        <w:rPr>
          <w:rFonts w:hint="eastAsia" w:ascii="仿宋" w:hAnsi="仿宋" w:eastAsia="仿宋"/>
          <w:color w:val="000000"/>
          <w:sz w:val="32"/>
          <w:szCs w:val="32"/>
          <w:lang w:eastAsia="zh-CN"/>
        </w:rPr>
        <w:t>；</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4. </w:t>
      </w:r>
      <w:r>
        <w:rPr>
          <w:rFonts w:hint="eastAsia" w:ascii="仿宋" w:hAnsi="仿宋" w:eastAsia="仿宋"/>
          <w:sz w:val="32"/>
          <w:szCs w:val="32"/>
        </w:rPr>
        <w:t>增持行为将严格遵守《证券法》《上市公司收购管理办法》等法律法规、本所相关规定的说明；</w:t>
      </w:r>
    </w:p>
    <w:p>
      <w:pPr>
        <w:widowControl/>
        <w:spacing w:line="560" w:lineRule="exact"/>
        <w:ind w:firstLine="640" w:firstLineChars="200"/>
        <w:rPr>
          <w:rFonts w:ascii="仿宋" w:hAnsi="仿宋" w:eastAsia="仿宋"/>
          <w:kern w:val="0"/>
          <w:sz w:val="32"/>
          <w:szCs w:val="32"/>
        </w:rPr>
      </w:pPr>
      <w:r>
        <w:rPr>
          <w:rFonts w:hint="eastAsia" w:ascii="仿宋" w:hAnsi="仿宋" w:eastAsia="仿宋"/>
          <w:sz w:val="32"/>
          <w:szCs w:val="32"/>
        </w:rPr>
        <w:t>5. 本所要求的其他内容。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增持实施期限届满或完成预定增持计划后，应及时披露增持计划实施结果，包括增持股份数量、金额、增持前后的持股数量及持股比例变动。如增持期间届满仍未达到计划增持数量或金额下限的，应当公告说明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五、其他相关说明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公告应明确说明本次增持是否会导致公司股权分布不符合上市条件，是否会导致公司控制权发生变化。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计划增持主体限定了最低增持价格或股份数量的，应明确说明在发生除权除息等事项时的调整方式。</w:t>
      </w:r>
    </w:p>
    <w:p>
      <w:pPr>
        <w:widowControl/>
        <w:spacing w:line="560" w:lineRule="exact"/>
        <w:jc w:val="left"/>
        <w:rPr>
          <w:rFonts w:ascii="仿宋" w:hAnsi="仿宋" w:eastAsia="仿宋" w:cs="宋体"/>
          <w:color w:val="000000"/>
          <w:kern w:val="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增持主体关于增持计划/进展/实施结果的书面说明</w:t>
      </w:r>
      <w:r>
        <w:rPr>
          <w:rFonts w:hint="eastAsia" w:ascii="仿宋" w:hAnsi="仿宋" w:eastAsia="仿宋"/>
          <w:color w:val="000000"/>
          <w:sz w:val="32"/>
          <w:szCs w:val="32"/>
          <w:lang w:eastAsia="zh"/>
        </w:rPr>
        <w:t>。</w:t>
      </w:r>
    </w:p>
    <w:p>
      <w:pPr>
        <w:keepNext/>
        <w:keepLines/>
        <w:spacing w:line="560" w:lineRule="exact"/>
        <w:jc w:val="center"/>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120" w:name="_Toc164973735"/>
      <w:bookmarkStart w:id="121" w:name="_Toc22497"/>
      <w:bookmarkStart w:id="122" w:name="_Toc21935"/>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上市公司回购股份业务相关公告格式</w:t>
      </w:r>
      <w:bookmarkEnd w:id="120"/>
      <w:bookmarkEnd w:id="121"/>
      <w:bookmarkEnd w:id="122"/>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上市公司因减少注册资本、将股份用于员工持股计划或股权激励、用于可转换公司债券转股及维护公司价值及股东权益所必需等情形，以集中竞价或要约方式回购本公司股份的，适用本公告格式。</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 xml:space="preserve">2. A+H股上市公司仅回购H股股份的，不适用本公告格式，但应当遵守A股和H股市场同步信息披露的相关规定。   </w:t>
      </w:r>
      <w:r>
        <w:rPr>
          <w:rFonts w:hint="eastAsia" w:ascii="仿宋" w:hAnsi="仿宋" w:eastAsia="仿宋"/>
          <w:sz w:val="32"/>
          <w:szCs w:val="32"/>
        </w:rPr>
        <w:t xml:space="preserve">  </w:t>
      </w:r>
      <w:r>
        <w:rPr>
          <w:rFonts w:hint="eastAsia" w:ascii="仿宋" w:hAnsi="仿宋" w:eastAsia="仿宋" w:cs="宋体"/>
          <w:color w:val="000000"/>
          <w:kern w:val="0"/>
          <w:sz w:val="32"/>
          <w:szCs w:val="32"/>
        </w:rPr>
        <w:t xml:space="preserve">                                                                                                         </w:t>
      </w:r>
    </w:p>
    <w:p>
      <w:pPr>
        <w:widowControl/>
        <w:adjustRightInd w:val="0"/>
        <w:spacing w:line="560" w:lineRule="exact"/>
        <w:ind w:right="360" w:firstLine="540"/>
        <w:jc w:val="center"/>
        <w:rPr>
          <w:rFonts w:ascii="仿宋" w:hAnsi="仿宋" w:eastAsia="仿宋"/>
          <w:b/>
          <w:bCs/>
          <w:color w:val="000000"/>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XXXX股份有限公司回购股份方案/实施情况/已回购股份处理公告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75648" behindDoc="0" locked="0" layoutInCell="1" allowOverlap="1">
                <wp:simplePos x="0" y="0"/>
                <wp:positionH relativeFrom="column">
                  <wp:posOffset>-95250</wp:posOffset>
                </wp:positionH>
                <wp:positionV relativeFrom="paragraph">
                  <wp:posOffset>123825</wp:posOffset>
                </wp:positionV>
                <wp:extent cx="5715000" cy="1619250"/>
                <wp:effectExtent l="4445" t="5080" r="14605" b="13970"/>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9.75pt;height:127.5pt;width:450pt;z-index:251675648;mso-width-relative:page;mso-height-relative:page;" fillcolor="#FFFFFF" filled="t" stroked="t" coordsize="21600,21600" o:gfxdata="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XdT9NgAAAAKAQAADwAAAAAAAAABACAAAAAi&#10;AAAAZHJzL2Rvd25yZXYueG1sUEsBAhQAFAAAAAgAh07iQC/m+6VDAgAAiwQAAA4AAAAAAAAAAQAg&#10;AAAAJwEAAGRycy9lMm9Eb2MueG1sUEsFBgAAAAAGAAYAWQEAANw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adjustRightInd w:val="0"/>
        <w:snapToGrid w:val="0"/>
        <w:spacing w:line="560" w:lineRule="exact"/>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拟回购股份的种类、用途、价格区间、数量、占公司总股本的比例、实施期限、拟用于回购的资金总额及资金来源等基本情况。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相关股东是否存在减持计划。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相关风险提示。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回购方案实施情况。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已回购股份的出售计划、处理情况，与回购方案的差异。</w:t>
      </w:r>
    </w:p>
    <w:p>
      <w:pPr>
        <w:widowControl/>
        <w:spacing w:line="560" w:lineRule="exact"/>
        <w:ind w:firstLine="822" w:firstLineChars="257"/>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一、回购股份方案披露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回购股份提议公告（如适用）。根据相关法律法规及公司章程等享有提案权的提议人向上市公司董事会提议回购股份的，上市公司应当披露经董事会审议通过的提议公告及董事会决议。提议公告主要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提议人基本情况及提议时间。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提议人提议回购股份的原因和目的。提议公司“为维护公司价值及股东权益所必需”回购股份的，说明是否符合本所《上市公司自律监管指引第9号——回购股份》（以下简称《回购指引》）第二条第二款规定的条件，提议日期是否在相关事实发生之日起十个交易日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提议回购股份的种类、用途、方式、价格区间、数量、占公司总股本的比例及拟用于回购的资金总额。回购股份数量、资金总额至少应有一项明确上下限，且上限不得超出下限的一倍。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提议人及其一致行动人在提议前六个月内买卖本公司股份的情况，以及在回购期间的增减持计划。</w:t>
      </w:r>
      <w:r>
        <w:rPr>
          <w:rFonts w:hint="eastAsia" w:ascii="仿宋" w:hAnsi="仿宋" w:eastAsia="仿宋"/>
          <w:color w:val="000000"/>
          <w:sz w:val="32"/>
          <w:szCs w:val="32"/>
        </w:rPr>
        <w:tab/>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提议人及其一致行动人将推动公司尽快召开董事会或者股东会审议回购股份事项，并对公司回购股份议案投赞成票的承诺（如适用）。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公司董事会对回购股份提议的意见及后续安排。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中国证监会和本所要求披露的其他内容。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（二）回购方案公告。上市公司披露的回购方案应当合理可行，并同时披露董事会决议公告、证券服务机构专业意见（如有）。回购方案公告主要内容包括：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回购股份的目的。回购目的应当结合公司实际经营、未来发展趋势及股价变化等情况，符合客观实际。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回购股份是否符合相关条件。说明公司</w:t>
      </w:r>
      <w:r>
        <w:rPr>
          <w:rFonts w:hint="eastAsia" w:ascii="仿宋" w:hAnsi="仿宋" w:eastAsia="仿宋"/>
          <w:sz w:val="32"/>
          <w:szCs w:val="32"/>
        </w:rPr>
        <w:t>回购股份</w:t>
      </w:r>
      <w:r>
        <w:rPr>
          <w:rFonts w:hint="eastAsia" w:ascii="仿宋" w:hAnsi="仿宋" w:eastAsia="仿宋"/>
          <w:color w:val="000000"/>
          <w:sz w:val="32"/>
          <w:szCs w:val="32"/>
        </w:rPr>
        <w:t>是否符合《回购指引》第十条规定的条件。“为维护公司价值及股东权益所必需”情形回购股份的，还需说明是否符合《回购指引》第二条第二款规定的条件，并列示具体计算过程。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拟回购股份的方式、价格区间。以集中竞价方式回购股份的，应当根据市场整体趋势及公司股票价格波动情况审慎确定合理的价格区间，确保实施回购有切实可行的价格范围；回购价格上限若高于董事会通过回购股份决议前三十个交易日该股票交易均价150%的，充分说明其合理性。以要约方式回购股份的，说明对公司同一种类股票的要约价格及其定价方式；要约价格低于回购方案公告日前三十个交易日公司股票每日加权平均价的算术平均值的，充分说明其合理性。</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拟回购股份的种类、用途、数量、占公司总股本的比例及拟用于回购的资金总额。回购股份种类应当明确；回购股份数量、资金总额至少应有一项明确上下限，且上限不得超出下限的一倍。回购股份用于两项以上用途的，说明各种用途的拟回购股份数量或者资金总额的上下限，且上限不得超出下限的一倍。“为维护公司价值及股东权益所必需”回购股份的，需明确回购后拟用于减少注册资本或者出售的回购股份数量或者资金总额。</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93"/>
        <w:gridCol w:w="2540"/>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用途</w:t>
            </w: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拟回购股份数量</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拟回购资金总额</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占公司总股本的比例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回购股份的资金来源。资金来源应当明确为自有资金、银行贷款、向第三方融资等，并说明对应的比例。如使用发行优先股和债券募集的资金、发行普通股取得的超募资金、募投项目节余资金和已依法变更为永久补充流动资金的募集资金回购股份，说明使用上述资金履行的决策程序和信息披露情况。公司应当在分析资产负债率、有息负债、现金流等情况的基础上，说明实施回购是否会加大财务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回购股份的实施期限。公司应当结合回购股份敏感期审慎确定回购期限，确保实施回购有切实可行的时间窗口。回购方案实施期间，公司股票因筹划重大事项连续停牌十个交易日以上的，回购期限可予以顺延，顺延后不得超出中国证监会及本所规定的最长期限，公司应当及时披露是否顺延实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预计回购后公司股本结构变动情况。回购数量或者拟用于回购的资金总额存在上下限的，应当分别以上下限预计回购后公司股本结构变动情况。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管理层关于本次回购股份对公司经营、财务、研发、债务履行能力、未来发展影响和维持上市地位等情况的分析，全体董事关于本次回购股份不会损害上市公司的债务履行能力和持续经营能力的承诺。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上市公司根据《回购指引》第二条第二款规定进行回购的，应当披露董事会主动与股东特别是中小股东进行沟通和交流的情况，以及听取股东关于公司是否应实施股份回购的意见和诉求的情况。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上市公司董事、高级管理人员，控股股东、实际控制人及其一致行动人在董事会作出回购股份决议前六个月内买卖本公司股份的情况，是否存在单独或者与他人联合进行内幕交易或操纵市场行为的说明，回购期间的增减持计划；上市公司董事、高级管理人员、控股股东、实际控制人、持股百分之五以上股东、回购股份提议人在未来三个月、未来六个月的减持计划（如适用），相关股东未回复上市公司减持计划问询的，公司应当提示可能存在的减持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 本次回购股份方案提议人的基本情况及提议时间、提议理由，提议人及其一致行动人在提议前六个月内买卖本公司股份的情况，是否存在单独或者与他人联合进行内幕交易或操纵市场行为的说明，以及在回购期间的增减持计划（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 回购股份后依法注销或转让的相关安排，以及防范侵害债权人利益的相关安排。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上市公司董事会审议回购股份方案的情况，本次回购方案是否需要提交股东会审议，如否，说明股东会或者公司章程对董事会办理本次回购股份事项的具体授权情况。因“为维护公司价值及股东权益所必需”情形回购股份的，说明董事会召开时点是否符合《回购指引》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 回购方案的风险提示。公司应当详细披露可能面临的不确定性风险及拟采取的应对措施，包括但不限于以下风险：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（1）公司股东会未审议通过回购股份议案的风险（如适用）。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（2）公司无法满足债权人要求清偿债务或提供相应的担保，进而导致回购方案无法实施的风险（如适用）。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（3）公司股票价格持续超出回购方案披露的价格区间，导致回购方案无法实施的风险。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（4）回购股份所需资金未能筹措到位，导致回购方案无法实施的风险等。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回购方案实施过程中出现前述风险情形的，上市公司应当及时披露并说明拟采取的应对措施。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中国证监会和本所要求披露的其他内容。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上市公司在回购期内发生派发红利、送红股、公积金转增股本等除权除息事项的，应当对回购方案进行相应调整并及时披露。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回购报告书公告。上市公司应当在回购方案履行审议程序后三个交易日内向中国证券登记结算有限责任公司深圳分公司申请开立回购专用账户（如已存在回购专用账户则无需再次开立）。回购股份后拟予以注销的，还应当根据《公司法》的要求及时通知债权人。前述事项办理完毕后，应当及时披露回购报告书，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 简要介绍回购股份方案。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说明回购股份事项履行相关审议程序及信息披露义务的情况；涉及其他主管部门批准的，说明是否已得到批准。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通知债权人及开立回购专用账户的情况（如适用）。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上市公司董事、高级管理人员，控股股东、实际控制人、提议人（如有）及其一致行动人在股东会回购决议公告前六个月内买卖本公司股份的情况，是否存在单独或者与他人联合进行内幕交易或操纵市场的说明（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回购股份的资金筹措到位情况（如适用）。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6. 其他应说明的事项。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以要约方式回购股份的，还应当披露股东预受要约的方式和程序、股东撤回预受要约的方式和程序，以及股东委托办理要约回购中相关股份预受、撤回、结算、过户登记等事宜的证券公司名称及其通讯方式。</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二、回购方案实施进展及结果公告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（一）上市公司在实施回购期间，应当持续披露回购进展公告。公告时点及公告内容如下：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在首次回购事实发生的次一交易日、回购股份占公司总股本的比例每增加1%的事实发生之日起三个交易日内披露回购进展情况公告，在每个月的前三个交易日内披露截至上月末的回购进展情况公告。公告内容包括回购方式、已回购股份数量、占公司总股本的比例、购买的最高价和最低价、已使用资金总额，并说明是否符合既定方案。此外，公司还应当在定期报告中披露回购进展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回购方案规定的回购期限过半时，仍未实施回购的，应当披露未能实施回购的原因和后续回购安排。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（二）回购期限届满或者回购方案已实施完毕的，应当在两个交易日内披露回购结果暨股份变动公告。公告内容包括：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实际回购时间区间、已回购股份数量、占公司总股本的比例、购买的最高价和最低价、使用资金总额。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对照实际回购情况与经董事会或股东会审议的回购方案是否存在差异，存在差异的，作出解释说明。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说明实施回购对公司财务、经营、研发、债务履行能力等方面的影响。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董事、高级管理人员，控股股东、实际控制人、提议人（如有）及其一致行动人在首次披露回购事项之日至回购结果暨股份变动公告前一日买卖本公司股票情况及理由，以及是否和回购方案中披露的增减持计划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对照《回购指引》第十七条、十八条规定，说明回购实施过程是否符合关于敏感期、交易时间及价格的要求，并具体列示敏感期范围；“为维护公司价值及股东权益所必需”回购股份的，还应当说明董事、高级管理人员，控股股东、实际控制人、提议人（如有）及其一致行动人在公司首次披露回购方案公告至披露回购结果暨股份变动公告期间是否存在直接或间接减持本公司股份情形。</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三、已回购股份的处理进展及结果公告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（一）上市公司对已回购股份予以注销的，应当在注销办理完成后及时披露回购股份注销完成暨股份变动公告。公告内容包括：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说明股份注销安排，包括注销数量、完成日期、注销期限是否合规。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列示注销完成后股本结构变动表</w:t>
      </w:r>
      <w:r>
        <w:rPr>
          <w:rFonts w:hint="eastAsia" w:ascii="仿宋" w:hAnsi="仿宋" w:eastAsia="仿宋"/>
          <w:color w:val="000000"/>
          <w:sz w:val="32"/>
          <w:szCs w:val="32"/>
          <w:lang w:eastAsia="zh-CN"/>
        </w:rPr>
        <w:t>；因回购注销导致股东及其一致行动人拥有权益的股份比例被动触及或者达到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olor w:val="000000"/>
          <w:sz w:val="32"/>
          <w:szCs w:val="32"/>
          <w:lang w:eastAsia="zh-CN"/>
        </w:rPr>
        <w:t>的，公司应当列示股本变动前后该股东及其一致行动人的持股数量和持股比例变动情况。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说明后续事项安排，包括修改公司章程、办理工商变更登记及备案手续等。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（二）上市公司将已回购股份用于股权激励授予员工或者转让给员工持股计划的，除按照有关规定履行信息披露义务外，还应当在股权激励授予完成公告、员工持股计划相关进展公告中披露以下内容：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授予或者转让的股份数量、价格及定价依据、授予或者转让价格与回购均价差异的会计处理等。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（三）上市公司将已回购股份用于可转换债券转股的，应当在每季度转股情况公告中说明转股价格情况、与回购均价的对比，并于转股全部完成后公告说明前述情况。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（四）上市公司采用集中竞价交易方式出售“为维护公司价值及股东权益所必需”所回购股份的，应当披露出售计划公告、出售进展公告、出售实施完成公告。公告时点及披露内容如下：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在首次卖出股份的十五个交易日前，根据《回购指引》的要求披露出售计划公告，并同时披露董事会审议通过的决议公告。出售计划公告内容包括：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（1）出售的原因、目的、方式、价格区间、拟出售的数量及占总股本的比例、出售的实施期限（每次披露的出售时间区间不得超过六个月）。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（2）出售所得资金的用途及使用安排。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（3）预计出售完成后公司股本结构的变动情况。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（4）管理层关于本次出售回购股份对公司经营、财务及未来发展影响等情况的分析。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（5）上市公司董事、高级管理人员，控股股东、实际控制人、提议人（如有）及其一致行动人在董事会作出出售股份决议前六个月内买卖本公司股份的情况。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在首次出售回购股份事实发生的次一交易日、出售回购股份占上市公司总股本的比例每达到1%的事实发生之日起三个交易日内披露出售进展情况，在每个月的前三个交易日内披露截至上月末的出售进展情况，公告内容包括：已出售股份数量、出售所得资金总额、出售的最高价、最低价、均价和回购均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出售期限届满或者出售计划实施完毕后，在两个交易日内披露出售结果暨股份变动公告。公告内容包括：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（1）对照实际出售股份数量、比例、出售所得资金总额与出售计划相应内容，如出售实施情况与出售计划存在差异，作出解释说明。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（2）说明本次出售对公司的影响。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（3）对照《回购指引》第四十</w:t>
      </w:r>
      <w:r>
        <w:rPr>
          <w:rFonts w:hint="eastAsia" w:ascii="仿宋" w:hAnsi="仿宋" w:eastAsia="仿宋"/>
          <w:color w:val="000000"/>
          <w:sz w:val="32"/>
          <w:szCs w:val="32"/>
          <w:lang w:eastAsia="zh-CN"/>
        </w:rPr>
        <w:t>一</w:t>
      </w:r>
      <w:r>
        <w:rPr>
          <w:rFonts w:hint="eastAsia" w:ascii="仿宋" w:hAnsi="仿宋" w:eastAsia="仿宋"/>
          <w:color w:val="000000"/>
          <w:sz w:val="32"/>
          <w:szCs w:val="32"/>
        </w:rPr>
        <w:t>条、四十</w:t>
      </w:r>
      <w:r>
        <w:rPr>
          <w:rFonts w:hint="eastAsia" w:ascii="仿宋" w:hAnsi="仿宋" w:eastAsia="仿宋"/>
          <w:color w:val="000000"/>
          <w:sz w:val="32"/>
          <w:szCs w:val="32"/>
          <w:lang w:eastAsia="zh-CN"/>
        </w:rPr>
        <w:t>三</w:t>
      </w:r>
      <w:r>
        <w:rPr>
          <w:rFonts w:hint="eastAsia" w:ascii="仿宋" w:hAnsi="仿宋" w:eastAsia="仿宋"/>
          <w:color w:val="000000"/>
          <w:sz w:val="32"/>
          <w:szCs w:val="32"/>
        </w:rPr>
        <w:t>条规定，说明出售过程是否符合关于敏感期、交易时间及价格、出售数量的要求，并具体列示敏感期范围、出售计划披露日前二十个交易日日均成交量、单日最高出售股份数量及对应日期等情况。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已回购股份处理完毕后，应当披露回购股份处理完成公告。公告内容包括：用于各类用途的股份数量、占公司总股本的比例、完成情况，与回购方案的拟定用途是否存在差异，如存在差异，说明差异原因；说明回购事项是否存在违反《回购指引》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（六）上市公司还应当在定期报告中披露已回购股份用于各类用途的处理进展情况。</w: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sz w:val="32"/>
          <w:szCs w:val="32"/>
        </w:rPr>
      </w:pPr>
    </w:p>
    <w:p>
      <w:pPr>
        <w:pStyle w:val="2"/>
        <w:rPr>
          <w:rFonts w:ascii="仿宋" w:hAnsi="仿宋" w:eastAsia="仿宋"/>
          <w:sz w:val="32"/>
          <w:szCs w:val="32"/>
        </w:rPr>
      </w:pPr>
    </w:p>
    <w:p>
      <w:pPr>
        <w:spacing w:line="560" w:lineRule="exact"/>
        <w:ind w:firstLine="643" w:firstLineChars="200"/>
        <w:rPr>
          <w:rFonts w:hint="eastAsia" w:ascii="仿宋" w:hAnsi="仿宋" w:eastAsia="仿宋"/>
          <w:b/>
          <w:color w:val="000000"/>
          <w:sz w:val="32"/>
          <w:szCs w:val="32"/>
          <w:lang w:eastAsia="zh"/>
        </w:rPr>
      </w:pP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回购股份事项相关内幕信息知情人名单（披露回购股份方案公告时报备）；</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rPr>
        <w:t>2. 中国证券登记结算有限责任公司深圳分公司出具的回购专用账户持股数量查询证明（适用于回购实施进展及结果、已回购股份的处理进展及结果公告）</w:t>
      </w:r>
      <w:r>
        <w:rPr>
          <w:rFonts w:hint="eastAsia" w:ascii="仿宋" w:hAnsi="仿宋" w:eastAsia="仿宋"/>
          <w:color w:val="000000"/>
          <w:sz w:val="32"/>
          <w:szCs w:val="32"/>
          <w:lang w:eastAsia="zh"/>
        </w:rPr>
        <w:t>。</w:t>
      </w:r>
    </w:p>
    <w:p>
      <w:pPr>
        <w:pStyle w:val="2"/>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123" w:name="_Toc1823"/>
      <w:bookmarkStart w:id="124" w:name="_Toc16399"/>
      <w:bookmarkStart w:id="125" w:name="_Toc164973736"/>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上市公司5%以上股东持股变动1%的公告格式</w:t>
      </w:r>
      <w:bookmarkEnd w:id="123"/>
      <w:bookmarkEnd w:id="124"/>
      <w:bookmarkEnd w:id="125"/>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填表说明：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根据</w:t>
      </w:r>
      <w:r>
        <w:rPr>
          <w:rFonts w:hint="eastAsia" w:ascii="仿宋" w:hAnsi="仿宋" w:eastAsia="仿宋"/>
          <w:color w:val="000000"/>
          <w:sz w:val="32"/>
          <w:szCs w:val="32"/>
        </w:rPr>
        <w:t>《证券法》第六十三条</w:t>
      </w:r>
      <w:r>
        <w:rPr>
          <w:rFonts w:hint="eastAsia" w:ascii="仿宋" w:hAnsi="仿宋" w:eastAsia="仿宋"/>
          <w:color w:val="000000"/>
          <w:sz w:val="32"/>
          <w:szCs w:val="32"/>
          <w:lang w:eastAsia="zh-CN"/>
        </w:rPr>
        <w:t>、《上市公司收购管理办法》第十三条的规定，投资者通过证券交易所的证券交易方式</w:t>
      </w:r>
      <w:r>
        <w:rPr>
          <w:rFonts w:hint="eastAsia" w:ascii="仿宋" w:hAnsi="仿宋" w:eastAsia="仿宋"/>
          <w:color w:val="000000"/>
          <w:sz w:val="32"/>
          <w:szCs w:val="32"/>
        </w:rPr>
        <w:t>持股每增加或者减少1%且未触及中国证监会规定需编制并公告权益变动报告书、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报告书等情形而披露提示性公告的，按本公告格式进行披露。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2．投资者及其一致行动人共同拥有同一个上市公司权益的股份比例应当合并计算。存在一致行动人的，按不同名称/姓名分别列示权益变动及变动前后情况。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3．对于同时存在增持股份、减持股份情形，或其他方式导致持股变动的，应当分别披露</w:t>
      </w:r>
      <w:r>
        <w:rPr>
          <w:rFonts w:hint="eastAsia" w:ascii="仿宋" w:hAnsi="仿宋" w:eastAsia="仿宋"/>
          <w:color w:val="000000"/>
          <w:sz w:val="32"/>
          <w:szCs w:val="32"/>
          <w:lang w:eastAsia="zh-CN"/>
        </w:rPr>
        <w:t>相关</w:t>
      </w:r>
      <w:r>
        <w:rPr>
          <w:rFonts w:hint="eastAsia" w:ascii="仿宋" w:hAnsi="仿宋" w:eastAsia="仿宋"/>
          <w:color w:val="000000"/>
          <w:sz w:val="32"/>
          <w:szCs w:val="32"/>
        </w:rPr>
        <w:t>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4．投资者</w:t>
      </w:r>
      <w:r>
        <w:rPr>
          <w:rFonts w:hint="eastAsia" w:ascii="仿宋" w:hAnsi="仿宋" w:eastAsia="仿宋"/>
          <w:color w:val="000000"/>
          <w:sz w:val="32"/>
          <w:szCs w:val="32"/>
          <w:lang w:eastAsia="zh-CN"/>
        </w:rPr>
        <w:t>及其一致行动人</w:t>
      </w:r>
      <w:r>
        <w:rPr>
          <w:rFonts w:hint="eastAsia" w:ascii="仿宋" w:hAnsi="仿宋" w:eastAsia="仿宋"/>
          <w:color w:val="000000"/>
          <w:sz w:val="32"/>
          <w:szCs w:val="32"/>
        </w:rPr>
        <w:t>需按照</w:t>
      </w:r>
      <w:r>
        <w:rPr>
          <w:rFonts w:hint="eastAsia" w:ascii="仿宋" w:hAnsi="仿宋" w:eastAsia="仿宋"/>
          <w:sz w:val="32"/>
          <w:szCs w:val="32"/>
        </w:rPr>
        <w:t>《上市公司收购管理办法》第十三</w:t>
      </w:r>
      <w:r>
        <w:rPr>
          <w:rFonts w:hint="eastAsia" w:ascii="仿宋" w:hAnsi="仿宋" w:eastAsia="仿宋"/>
          <w:sz w:val="32"/>
          <w:szCs w:val="32"/>
          <w:lang w:eastAsia="zh-CN"/>
        </w:rPr>
        <w:t>条的</w:t>
      </w:r>
      <w:r>
        <w:rPr>
          <w:rFonts w:hint="eastAsia" w:ascii="仿宋" w:hAnsi="仿宋" w:eastAsia="仿宋"/>
          <w:color w:val="000000"/>
          <w:sz w:val="32"/>
          <w:szCs w:val="32"/>
        </w:rPr>
        <w:t>规定在权益变动行为完成后3个交易日内就股份增持情况作出结果公告的，按本公告格式进行披露。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5．在按照本公告格式披露提示性公告或者按照中国证监会相关要求披露权益变动报告书、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报告书、要约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报告书之日起的六个月内，需再次按照本公告格式披露提示性公告的，可以仅就与前次公告不同的部分进行披露。</w:t>
      </w:r>
    </w:p>
    <w:p>
      <w:pPr>
        <w:spacing w:line="560" w:lineRule="exact"/>
        <w:ind w:firstLine="640" w:firstLineChars="200"/>
        <w:rPr>
          <w:rFonts w:ascii="仿宋" w:hAnsi="仿宋" w:eastAsia="仿宋"/>
          <w:color w:val="000000"/>
          <w:kern w:val="0"/>
          <w:sz w:val="32"/>
          <w:szCs w:val="32"/>
        </w:rPr>
      </w:pP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证券简称：</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XX股份有限公司股东关于增持/减持/（其他方式持股变动，请说明）股份达到或者超过1%的公告</w:t>
      </w:r>
    </w:p>
    <w:p>
      <w:pPr>
        <w:widowControl/>
        <w:spacing w:line="560" w:lineRule="exact"/>
        <w:jc w:val="center"/>
        <w:rPr>
          <w:rFonts w:ascii="仿宋" w:hAnsi="仿宋" w:eastAsia="仿宋"/>
          <w:b/>
          <w:bCs/>
          <w:kern w:val="0"/>
          <w:sz w:val="32"/>
          <w:szCs w:val="32"/>
        </w:rPr>
      </w:pPr>
      <w:r>
        <mc:AlternateContent>
          <mc:Choice Requires="wps">
            <w:drawing>
              <wp:anchor distT="0" distB="0" distL="114300" distR="114300" simplePos="0" relativeHeight="251701248" behindDoc="0" locked="0" layoutInCell="1" allowOverlap="1">
                <wp:simplePos x="0" y="0"/>
                <wp:positionH relativeFrom="column">
                  <wp:posOffset>-400050</wp:posOffset>
                </wp:positionH>
                <wp:positionV relativeFrom="paragraph">
                  <wp:posOffset>276225</wp:posOffset>
                </wp:positionV>
                <wp:extent cx="6115050" cy="1247775"/>
                <wp:effectExtent l="4445" t="4445" r="14605" b="5080"/>
                <wp:wrapNone/>
                <wp:docPr id="63" name="矩形 63"/>
                <wp:cNvGraphicFramePr/>
                <a:graphic xmlns:a="http://schemas.openxmlformats.org/drawingml/2006/main">
                  <a:graphicData uri="http://schemas.microsoft.com/office/word/2010/wordprocessingShape">
                    <wps:wsp>
                      <wps:cNvSpPr>
                        <a:spLocks noChangeArrowheads="1"/>
                      </wps:cNvSpPr>
                      <wps:spPr bwMode="auto">
                        <a:xfrm>
                          <a:off x="0" y="0"/>
                          <a:ext cx="6115050" cy="1247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1.75pt;height:98.25pt;width:481.5pt;z-index:251701248;mso-width-relative:page;mso-height-relative:page;" fillcolor="#FFFFFF" filled="t" stroked="t" coordsize="21600,21600" o:gfxdata="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&#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pPVO9gAAAAKAQAADwAAAAAAAAABACAAAAAiAAAA&#10;ZHJzL2Rvd25yZXYueG1sUEsBAhQAFAAAAAgAh07iQC2i2O9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v:textbox>
              </v:rect>
            </w:pict>
          </mc:Fallback>
        </mc:AlternateContent>
      </w:r>
    </w:p>
    <w:p>
      <w:pPr>
        <w:widowControl/>
        <w:spacing w:line="560" w:lineRule="exact"/>
        <w:jc w:val="center"/>
        <w:rPr>
          <w:rFonts w:ascii="仿宋" w:hAnsi="仿宋" w:eastAsia="仿宋"/>
          <w:b/>
          <w:bCs/>
          <w:kern w:val="0"/>
          <w:sz w:val="32"/>
          <w:szCs w:val="32"/>
        </w:rPr>
      </w:pPr>
    </w:p>
    <w:p>
      <w:pPr>
        <w:widowControl/>
        <w:spacing w:line="560" w:lineRule="exact"/>
        <w:jc w:val="center"/>
        <w:rPr>
          <w:rFonts w:ascii="仿宋" w:hAnsi="仿宋" w:eastAsia="仿宋"/>
          <w:b/>
          <w:bCs/>
          <w:kern w:val="0"/>
          <w:sz w:val="32"/>
          <w:szCs w:val="32"/>
        </w:rPr>
      </w:pPr>
    </w:p>
    <w:p>
      <w:pPr>
        <w:widowControl/>
        <w:spacing w:line="560" w:lineRule="exact"/>
        <w:jc w:val="center"/>
        <w:rPr>
          <w:rFonts w:ascii="仿宋" w:hAnsi="仿宋" w:eastAsia="仿宋"/>
          <w:b/>
          <w:bCs/>
          <w:kern w:val="0"/>
          <w:sz w:val="32"/>
          <w:szCs w:val="32"/>
        </w:rPr>
      </w:pPr>
    </w:p>
    <w:p>
      <w:pPr>
        <w:widowControl/>
        <w:spacing w:line="560" w:lineRule="exact"/>
        <w:ind w:firstLine="627" w:firstLineChars="196"/>
        <w:jc w:val="left"/>
        <w:rPr>
          <w:rFonts w:ascii="仿宋" w:hAnsi="仿宋" w:eastAsia="仿宋"/>
          <w:color w:val="000000"/>
          <w:sz w:val="32"/>
          <w:szCs w:val="32"/>
        </w:rPr>
      </w:pPr>
    </w:p>
    <w:tbl>
      <w:tblPr>
        <w:tblStyle w:val="2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397"/>
        <w:gridCol w:w="283"/>
        <w:gridCol w:w="7"/>
        <w:gridCol w:w="844"/>
        <w:gridCol w:w="426"/>
        <w:gridCol w:w="148"/>
        <w:gridCol w:w="1753"/>
        <w:gridCol w:w="373"/>
        <w:gridCol w:w="1067"/>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s="宋体"/>
                <w:b/>
                <w:color w:val="000000"/>
                <w:kern w:val="0"/>
                <w:sz w:val="24"/>
                <w:szCs w:val="24"/>
              </w:rPr>
              <w:t>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color w:val="000000"/>
                <w:kern w:val="0"/>
                <w:sz w:val="24"/>
                <w:szCs w:val="24"/>
              </w:rPr>
            </w:pPr>
            <w:r>
              <w:rPr>
                <w:rFonts w:hint="eastAsia" w:ascii="仿宋" w:hAnsi="仿宋" w:eastAsia="仿宋" w:cs="宋体"/>
                <w:color w:val="000000"/>
                <w:kern w:val="0"/>
                <w:sz w:val="24"/>
                <w:szCs w:val="24"/>
              </w:rPr>
              <w:t>信息披露义务人</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住所</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权益变动时间</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权益变动过程</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宋体"/>
                <w:b/>
                <w:color w:val="000000"/>
                <w:kern w:val="0"/>
                <w:sz w:val="24"/>
                <w:szCs w:val="24"/>
                <w:lang w:eastAsia="zh-CN"/>
              </w:rPr>
            </w:pPr>
            <w:r>
              <w:rPr>
                <w:rFonts w:hint="eastAsia" w:ascii="仿宋" w:hAnsi="仿宋" w:eastAsia="仿宋" w:cs="宋体"/>
                <w:b w:val="0"/>
                <w:bCs/>
                <w:color w:val="000000"/>
                <w:kern w:val="0"/>
                <w:sz w:val="24"/>
                <w:szCs w:val="24"/>
                <w:lang w:eastAsia="zh-CN"/>
              </w:rPr>
              <w:t>请简述权益变动原因、变动过程、对公司的影响。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股票简称</w:t>
            </w:r>
          </w:p>
        </w:tc>
        <w:tc>
          <w:tcPr>
            <w:tcW w:w="295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股票代码</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变动</w:t>
            </w:r>
            <w:r>
              <w:rPr>
                <w:rFonts w:hint="eastAsia" w:ascii="仿宋" w:hAnsi="仿宋" w:eastAsia="仿宋" w:cs="宋体"/>
                <w:color w:val="000000"/>
                <w:kern w:val="0"/>
                <w:sz w:val="24"/>
                <w:szCs w:val="24"/>
                <w:lang w:eastAsia="zh-CN"/>
              </w:rPr>
              <w:t>方向</w:t>
            </w:r>
          </w:p>
        </w:tc>
        <w:tc>
          <w:tcPr>
            <w:tcW w:w="295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上升</w:t>
            </w:r>
            <w:r>
              <w:rPr>
                <w:rFonts w:hint="eastAsia" w:ascii="仿宋" w:hAnsi="仿宋" w:eastAsia="仿宋" w:cs="宋体"/>
                <w:color w:val="000000"/>
                <w:kern w:val="0"/>
                <w:sz w:val="24"/>
                <w:szCs w:val="24"/>
              </w:rPr>
              <w:t xml:space="preserve">□  </w:t>
            </w:r>
            <w:r>
              <w:rPr>
                <w:rFonts w:hint="eastAsia" w:ascii="仿宋" w:hAnsi="仿宋" w:eastAsia="仿宋" w:cs="宋体"/>
                <w:color w:val="000000"/>
                <w:kern w:val="0"/>
                <w:sz w:val="24"/>
                <w:szCs w:val="24"/>
                <w:lang w:eastAsia="zh-CN"/>
              </w:rPr>
              <w:t>下降</w:t>
            </w:r>
            <w:r>
              <w:rPr>
                <w:rFonts w:hint="eastAsia" w:ascii="仿宋" w:hAnsi="仿宋" w:eastAsia="仿宋" w:cs="宋体"/>
                <w:color w:val="000000"/>
                <w:kern w:val="0"/>
                <w:sz w:val="24"/>
                <w:szCs w:val="24"/>
              </w:rPr>
              <w:t>□</w:t>
            </w:r>
          </w:p>
        </w:tc>
        <w:tc>
          <w:tcPr>
            <w:tcW w:w="19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一致行动人</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42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是否为第一大股东或实际控制人</w:t>
            </w:r>
          </w:p>
        </w:tc>
        <w:tc>
          <w:tcPr>
            <w:tcW w:w="53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s="宋体"/>
                <w:b/>
                <w:color w:val="000000"/>
                <w:kern w:val="0"/>
                <w:sz w:val="24"/>
                <w:szCs w:val="24"/>
              </w:rPr>
              <w:t>2.本次权益变动情况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股份种类</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增持/减持</w:t>
            </w:r>
            <w:r>
              <w:rPr>
                <w:rFonts w:hint="eastAsia" w:ascii="仿宋" w:hAnsi="仿宋" w:eastAsia="仿宋"/>
                <w:color w:val="000000"/>
                <w:sz w:val="24"/>
                <w:szCs w:val="24"/>
                <w:lang w:val="en-US" w:eastAsia="zh-CN"/>
              </w:rPr>
              <w:t>/其他变动（请注明）</w:t>
            </w:r>
            <w:r>
              <w:rPr>
                <w:rFonts w:hint="eastAsia" w:ascii="仿宋" w:hAnsi="仿宋" w:eastAsia="仿宋"/>
                <w:color w:val="000000"/>
                <w:sz w:val="24"/>
                <w:szCs w:val="24"/>
              </w:rPr>
              <w:t>股数（万股）</w:t>
            </w: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增持/减持</w:t>
            </w:r>
            <w:r>
              <w:rPr>
                <w:rFonts w:hint="eastAsia" w:ascii="仿宋" w:hAnsi="仿宋" w:eastAsia="仿宋"/>
                <w:color w:val="000000"/>
                <w:sz w:val="24"/>
                <w:szCs w:val="24"/>
                <w:lang w:val="en-US" w:eastAsia="zh-CN"/>
              </w:rPr>
              <w:t>/其他变动（请注明）</w:t>
            </w:r>
            <w:r>
              <w:rPr>
                <w:rFonts w:hint="eastAsia" w:ascii="仿宋" w:hAnsi="仿宋" w:eastAsia="仿宋"/>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b/>
                <w:color w:val="000000"/>
                <w:sz w:val="24"/>
                <w:szCs w:val="24"/>
              </w:rPr>
              <w:t>合  计</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color w:val="000000"/>
                <w:sz w:val="24"/>
                <w:szCs w:val="24"/>
              </w:rPr>
              <w:t>本次权益变动方式（可多选）</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通过证券交易所的集中交易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通过证券交易所的大宗交易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                      □（请注明）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olor w:val="000000"/>
                <w:sz w:val="24"/>
                <w:szCs w:val="24"/>
              </w:rPr>
              <w:t>本次增持股份的资金来源（可多选）</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自有资金          □         银行贷款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其他金融机构借款  □         股东投资款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              □（请注明）</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不涉及资金来源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sz w:val="24"/>
                <w:szCs w:val="24"/>
              </w:rPr>
            </w:pPr>
            <w:r>
              <w:rPr>
                <w:rFonts w:hint="eastAsia" w:ascii="仿宋" w:hAnsi="仿宋" w:eastAsia="仿宋"/>
                <w:b/>
                <w:color w:val="000000"/>
                <w:sz w:val="24"/>
                <w:szCs w:val="24"/>
              </w:rPr>
              <w:t>3.</w:t>
            </w:r>
            <w:r>
              <w:rPr>
                <w:rFonts w:hint="eastAsia" w:ascii="仿宋" w:hAnsi="仿宋" w:eastAsia="仿宋"/>
                <w:b/>
                <w:sz w:val="24"/>
                <w:szCs w:val="24"/>
              </w:rPr>
              <w:t xml:space="preserve"> 本次变动前后，</w:t>
            </w:r>
            <w:r>
              <w:rPr>
                <w:rFonts w:hint="eastAsia" w:ascii="仿宋" w:hAnsi="仿宋" w:eastAsia="仿宋"/>
                <w:b/>
                <w:color w:val="000000"/>
                <w:sz w:val="24"/>
                <w:szCs w:val="24"/>
              </w:rPr>
              <w:t>投资者及其一致行动人拥有上市公司权益的股份情况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s="宋体"/>
                <w:color w:val="000000"/>
                <w:kern w:val="0"/>
                <w:sz w:val="24"/>
                <w:szCs w:val="24"/>
              </w:rPr>
              <w:t>股份性质</w:t>
            </w:r>
          </w:p>
        </w:tc>
        <w:tc>
          <w:tcPr>
            <w:tcW w:w="31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本次变动前持有股份</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本次变动后持有股份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股数(万股)</w:t>
            </w: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占总股本比例(%)</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股数(万股)</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合计持有股份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其中：无限售条件股份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 xml:space="preserve">     有限售条件股份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sz w:val="24"/>
                <w:szCs w:val="24"/>
              </w:rPr>
            </w:pPr>
            <w:r>
              <w:rPr>
                <w:rFonts w:hint="eastAsia" w:ascii="仿宋" w:hAnsi="仿宋" w:eastAsia="仿宋"/>
                <w:b/>
                <w:color w:val="000000"/>
                <w:sz w:val="24"/>
                <w:szCs w:val="24"/>
              </w:rPr>
              <w:t>4.</w:t>
            </w:r>
            <w:r>
              <w:rPr>
                <w:rFonts w:hint="eastAsia" w:ascii="仿宋" w:hAnsi="仿宋" w:eastAsia="仿宋"/>
                <w:b/>
                <w:sz w:val="24"/>
                <w:szCs w:val="24"/>
              </w:rPr>
              <w:t xml:space="preserve"> 承诺、计划等履行情况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r>
              <w:rPr>
                <w:rFonts w:hint="eastAsia" w:ascii="仿宋" w:hAnsi="仿宋" w:eastAsia="仿宋"/>
                <w:sz w:val="24"/>
                <w:szCs w:val="24"/>
              </w:rPr>
              <w:t>本次变动是否为履行已作出的承诺、意向、计划</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s="宋体"/>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承诺、意向、计划的具体情况及履行进度。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r>
              <w:rPr>
                <w:rFonts w:hint="eastAsia" w:ascii="仿宋" w:hAnsi="仿宋" w:eastAsia="仿宋"/>
                <w:sz w:val="24"/>
                <w:szCs w:val="24"/>
              </w:rPr>
              <w:t>本次变动是否存在违反《证券法》《上市公司</w:t>
            </w:r>
            <w:r>
              <w:rPr>
                <w:rFonts w:hint="eastAsia" w:ascii="仿宋" w:hAnsi="仿宋" w:eastAsia="仿宋"/>
                <w:sz w:val="24"/>
                <w:szCs w:val="24"/>
                <w:lang w:eastAsia="zh-CN"/>
              </w:rPr>
              <w:t>收购</w:t>
            </w:r>
            <w:r>
              <w:rPr>
                <w:rFonts w:hint="eastAsia" w:ascii="仿宋" w:hAnsi="仿宋" w:eastAsia="仿宋"/>
                <w:sz w:val="24"/>
                <w:szCs w:val="24"/>
              </w:rPr>
              <w:t>管理办法》等法律、行政法规、部门规章、规范性文件和本所业务规则等规定的情况</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s="宋体"/>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违规的具体情况、整改计划和处理措施。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b/>
                <w:sz w:val="24"/>
                <w:szCs w:val="24"/>
              </w:rPr>
              <w:t>5. 被限制表决权的股份情况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r>
              <w:rPr>
                <w:rFonts w:hint="eastAsia" w:ascii="仿宋" w:hAnsi="仿宋" w:eastAsia="仿宋"/>
                <w:sz w:val="24"/>
                <w:szCs w:val="24"/>
              </w:rPr>
              <w:t>按照《证券法》第六十三条的规定，是否存在不得行使表决权的股份</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对应股份数量占现有上市公司股本的比例。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b/>
                <w:color w:val="000000"/>
                <w:sz w:val="24"/>
                <w:szCs w:val="24"/>
                <w:lang w:val="en-US" w:eastAsia="zh-CN"/>
              </w:rPr>
              <w:t>6</w:t>
            </w:r>
            <w:r>
              <w:rPr>
                <w:rFonts w:hint="eastAsia" w:ascii="仿宋" w:hAnsi="仿宋" w:eastAsia="仿宋"/>
                <w:b/>
                <w:color w:val="000000"/>
                <w:sz w:val="24"/>
                <w:szCs w:val="24"/>
              </w:rPr>
              <w:t>.</w:t>
            </w:r>
            <w:r>
              <w:rPr>
                <w:rFonts w:hint="eastAsia" w:ascii="仿宋" w:hAnsi="仿宋" w:eastAsia="仿宋"/>
                <w:b/>
                <w:kern w:val="0"/>
                <w:sz w:val="24"/>
                <w:szCs w:val="24"/>
              </w:rPr>
              <w:t xml:space="preserve"> 30%以上股东增持股份的进一步说明（如适用）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787"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sz w:val="24"/>
                <w:szCs w:val="24"/>
              </w:rPr>
              <w:t>本次增持是否符合《上市公司</w:t>
            </w:r>
            <w:r>
              <w:rPr>
                <w:rFonts w:hint="eastAsia" w:ascii="仿宋" w:hAnsi="仿宋" w:eastAsia="仿宋"/>
                <w:sz w:val="24"/>
                <w:szCs w:val="24"/>
                <w:lang w:eastAsia="zh-CN"/>
              </w:rPr>
              <w:t>收购</w:t>
            </w:r>
            <w:r>
              <w:rPr>
                <w:rFonts w:hint="eastAsia" w:ascii="仿宋" w:hAnsi="仿宋" w:eastAsia="仿宋"/>
                <w:sz w:val="24"/>
                <w:szCs w:val="24"/>
              </w:rPr>
              <w:t>管理办法》规定的免于要约</w:t>
            </w:r>
            <w:r>
              <w:rPr>
                <w:rFonts w:hint="eastAsia" w:ascii="仿宋" w:hAnsi="仿宋" w:eastAsia="仿宋"/>
                <w:sz w:val="24"/>
                <w:szCs w:val="24"/>
                <w:lang w:eastAsia="zh-CN"/>
              </w:rPr>
              <w:t>收购</w:t>
            </w:r>
            <w:r>
              <w:rPr>
                <w:rFonts w:hint="eastAsia" w:ascii="仿宋" w:hAnsi="仿宋" w:eastAsia="仿宋"/>
                <w:sz w:val="24"/>
                <w:szCs w:val="24"/>
              </w:rPr>
              <w:t>的情形</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787"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股东及其一致行动人法定期限内不减持公司股份的承诺</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widowControl/>
        <w:spacing w:line="560" w:lineRule="exact"/>
        <w:ind w:firstLine="6880" w:firstLineChars="2150"/>
        <w:jc w:val="left"/>
        <w:rPr>
          <w:rFonts w:ascii="仿宋" w:hAnsi="仿宋" w:eastAsia="仿宋"/>
          <w:kern w:val="0"/>
          <w:sz w:val="32"/>
          <w:szCs w:val="32"/>
        </w:rPr>
      </w:pPr>
    </w:p>
    <w:p>
      <w:pPr>
        <w:spacing w:line="560" w:lineRule="exact"/>
        <w:ind w:firstLine="4160"/>
        <w:jc w:val="right"/>
        <w:rPr>
          <w:rFonts w:hint="eastAsia" w:ascii="仿宋" w:hAnsi="仿宋" w:eastAsia="仿宋"/>
          <w:sz w:val="32"/>
          <w:szCs w:val="32"/>
        </w:rPr>
      </w:pPr>
      <w:r>
        <w:rPr>
          <w:rFonts w:hint="eastAsia" w:ascii="仿宋" w:hAnsi="仿宋" w:eastAsia="仿宋"/>
          <w:sz w:val="32"/>
          <w:szCs w:val="32"/>
        </w:rPr>
        <w:t>信息披露义务人                          XX年XX月XX日</w:t>
      </w:r>
    </w:p>
    <w:p>
      <w:pPr>
        <w:spacing w:line="560" w:lineRule="exact"/>
        <w:ind w:firstLine="4160"/>
        <w:jc w:val="righ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备查文件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w:t>
      </w:r>
      <w:r>
        <w:rPr>
          <w:rFonts w:hint="eastAsia" w:ascii="仿宋" w:hAnsi="仿宋" w:eastAsia="仿宋"/>
          <w:sz w:val="32"/>
          <w:szCs w:val="32"/>
          <w:highlight w:val="none"/>
        </w:rPr>
        <w:t>中国证券登记结算有限责任公司持股变动明细</w:t>
      </w: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r>
        <w:rPr>
          <w:rFonts w:hint="eastAsia" w:ascii="仿宋" w:hAnsi="仿宋" w:eastAsia="仿宋"/>
          <w:sz w:val="32"/>
          <w:szCs w:val="32"/>
          <w:highlight w:val="none"/>
        </w:rPr>
        <w:t>相关书面承诺文件</w:t>
      </w: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kern w:val="2"/>
          <w:sz w:val="32"/>
          <w:szCs w:val="32"/>
          <w:lang w:eastAsia="zh"/>
        </w:rPr>
      </w:pPr>
      <w:r>
        <w:rPr>
          <w:rFonts w:hint="eastAsia" w:ascii="仿宋" w:hAnsi="仿宋" w:eastAsia="仿宋" w:cs="仿宋"/>
          <w:kern w:val="2"/>
          <w:sz w:val="32"/>
          <w:szCs w:val="32"/>
          <w:lang w:val="en-US" w:eastAsia="zh" w:bidi="ar"/>
        </w:rPr>
        <w:t>3.</w:t>
      </w:r>
      <w:r>
        <w:rPr>
          <w:rFonts w:hint="eastAsia" w:ascii="仿宋" w:hAnsi="仿宋" w:eastAsia="仿宋"/>
          <w:sz w:val="32"/>
          <w:szCs w:val="32"/>
          <w:highlight w:val="none"/>
        </w:rPr>
        <w:t>律师的书面意见</w:t>
      </w:r>
      <w:r>
        <w:rPr>
          <w:rFonts w:hint="eastAsia" w:ascii="仿宋" w:hAnsi="仿宋" w:eastAsia="仿宋"/>
          <w:sz w:val="32"/>
          <w:szCs w:val="32"/>
          <w:highlight w:val="none"/>
          <w:lang w:eastAsia="zh"/>
        </w:rPr>
        <w:t>。</w:t>
      </w:r>
    </w:p>
    <w:p>
      <w:pPr>
        <w:spacing w:line="560" w:lineRule="exact"/>
        <w:ind w:firstLine="4160"/>
        <w:jc w:val="right"/>
        <w:rPr>
          <w:rFonts w:ascii="仿宋" w:hAnsi="仿宋" w:eastAsia="仿宋"/>
          <w:sz w:val="32"/>
          <w:szCs w:val="32"/>
        </w:rPr>
        <w:sectPr>
          <w:type w:val="continuous"/>
          <w:pgSz w:w="11906" w:h="16838"/>
          <w:pgMar w:top="1440" w:right="1800" w:bottom="1440" w:left="1800" w:header="851" w:footer="992" w:gutter="0"/>
          <w:cols w:space="720" w:num="1"/>
          <w:formProt w:val="1"/>
          <w:docGrid w:type="lines" w:linePitch="312" w:charSpace="0"/>
        </w:sectPr>
      </w:pPr>
    </w:p>
    <w:p>
      <w:pPr>
        <w:pStyle w:val="53"/>
        <w:ind w:firstLine="0" w:firstLineChars="0"/>
      </w:pPr>
      <w:bookmarkStart w:id="126" w:name="_Toc10404"/>
      <w:bookmarkStart w:id="127" w:name="_Toc164973737"/>
      <w:bookmarkStart w:id="128" w:name="_Toc21655"/>
      <w:r>
        <w:rPr>
          <w:rFonts w:hint="eastAsia"/>
        </w:rPr>
        <w:t>第4</w:t>
      </w:r>
      <w:r>
        <w:rPr>
          <w:rFonts w:hint="eastAsia"/>
          <w:lang w:val="en-US" w:eastAsia="zh-CN"/>
        </w:rPr>
        <w:t>3</w:t>
      </w:r>
      <w:r>
        <w:rPr>
          <w:rFonts w:hint="eastAsia"/>
        </w:rPr>
        <w:t>号 上市公司拟续聘/变更会计师事务所公告格式</w:t>
      </w:r>
      <w:bookmarkEnd w:id="126"/>
      <w:bookmarkEnd w:id="127"/>
      <w:bookmarkEnd w:id="128"/>
    </w:p>
    <w:p>
      <w:pPr>
        <w:spacing w:line="560" w:lineRule="exact"/>
        <w:rPr>
          <w:rFonts w:ascii="仿宋" w:hAnsi="仿宋" w:eastAsia="仿宋"/>
          <w:kern w:val="0"/>
          <w:sz w:val="32"/>
          <w:szCs w:val="32"/>
        </w:rPr>
      </w:pP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 xml:space="preserve">证券代码：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证券简称：</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公告编号：</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XXXX股份有限公司拟续聘/变更会计师事务所的公告</w:t>
      </w:r>
    </w:p>
    <w:p>
      <w:pPr>
        <w:widowControl/>
        <w:spacing w:line="560" w:lineRule="exact"/>
        <w:ind w:firstLine="539" w:firstLineChars="257"/>
        <w:rPr>
          <w:rFonts w:ascii="仿宋" w:hAnsi="仿宋" w:eastAsia="仿宋" w:cs="宋体"/>
          <w:kern w:val="0"/>
          <w:sz w:val="32"/>
          <w:szCs w:val="32"/>
        </w:rPr>
      </w:pPr>
      <w:r>
        <mc:AlternateContent>
          <mc:Choice Requires="wps">
            <w:drawing>
              <wp:anchor distT="0" distB="0" distL="114300" distR="114300" simplePos="0" relativeHeight="251702272" behindDoc="0" locked="0" layoutInCell="1" allowOverlap="1">
                <wp:simplePos x="0" y="0"/>
                <wp:positionH relativeFrom="column">
                  <wp:posOffset>-152400</wp:posOffset>
                </wp:positionH>
                <wp:positionV relativeFrom="paragraph">
                  <wp:posOffset>92075</wp:posOffset>
                </wp:positionV>
                <wp:extent cx="5715000" cy="1619250"/>
                <wp:effectExtent l="4445" t="5080" r="14605" b="13970"/>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7.25pt;height:127.5pt;width:450pt;z-index:251702272;mso-width-relative:page;mso-height-relative:page;" fillcolor="#FFFFFF" filled="t" stroked="t" coordsize="21600,21600" o:gfxdata="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xSn1DZAAAACgEAAA8AAAAAAAAAAQAgAAAA&#10;IgAAAGRycy9kb3ducmV2LnhtbFBLAQIUABQAAAAIAIdO4kCLmOClQwIAAIsEAAAOAAAAAAAAAAEA&#10;IAAAACgBAABkcnMvZTJvRG9jLnhtbFBLBQYAAAAABgAGAFkBAADdBQ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kern w:val="0"/>
          <w:sz w:val="32"/>
          <w:szCs w:val="32"/>
        </w:rPr>
      </w:pPr>
    </w:p>
    <w:p>
      <w:pPr>
        <w:widowControl/>
        <w:spacing w:line="560" w:lineRule="exact"/>
        <w:ind w:firstLine="822" w:firstLineChars="257"/>
        <w:rPr>
          <w:rFonts w:ascii="仿宋" w:hAnsi="仿宋" w:eastAsia="仿宋" w:cs="宋体"/>
          <w:kern w:val="0"/>
          <w:sz w:val="32"/>
          <w:szCs w:val="32"/>
        </w:rPr>
      </w:pPr>
    </w:p>
    <w:p>
      <w:pPr>
        <w:widowControl/>
        <w:spacing w:line="560" w:lineRule="exact"/>
        <w:ind w:firstLine="643" w:firstLineChars="200"/>
        <w:rPr>
          <w:rFonts w:ascii="仿宋" w:hAnsi="仿宋" w:eastAsia="仿宋" w:cs="宋体"/>
          <w:b/>
          <w:bCs/>
          <w:kern w:val="0"/>
          <w:sz w:val="32"/>
          <w:szCs w:val="32"/>
        </w:rPr>
      </w:pPr>
    </w:p>
    <w:p>
      <w:pPr>
        <w:widowControl/>
        <w:spacing w:line="560" w:lineRule="exact"/>
        <w:rPr>
          <w:rFonts w:ascii="仿宋" w:hAnsi="仿宋" w:eastAsia="仿宋" w:cs="宋体"/>
          <w:b/>
          <w:bCs/>
          <w:kern w:val="0"/>
          <w:sz w:val="32"/>
          <w:szCs w:val="32"/>
        </w:rPr>
      </w:pP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特别提示：</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1. 如上一年度审计意见为非标准审计意见，重点提示审计意见类型。</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2. 如涉及变更会计师事务所，说明前后任会计师事务所名称并重点提示变更原因。</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3. 如董事会、审计委员会对拟续聘/变更会计师事务所存在异议的，重点说明异议情况。</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4.说明续聘/变更会计师事务所是否符合财政部、国务院国资委、证监会印发的《国有企业、上市公司选聘会计师事务所管理办法》（财会〔2023〕4号）的规定。</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一、拟续聘/变更会计师事务所的基本情况</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（一）机构信息</w:t>
      </w:r>
    </w:p>
    <w:p>
      <w:pPr>
        <w:widowControl/>
        <w:spacing w:line="560" w:lineRule="exact"/>
        <w:ind w:firstLine="640" w:firstLineChars="200"/>
        <w:rPr>
          <w:rFonts w:ascii="仿宋" w:hAnsi="仿宋" w:eastAsia="仿宋" w:cs="仿宋"/>
          <w:sz w:val="32"/>
          <w:szCs w:val="32"/>
        </w:rPr>
      </w:pPr>
      <w:r>
        <w:rPr>
          <w:rFonts w:hint="eastAsia" w:ascii="仿宋" w:hAnsi="仿宋" w:eastAsia="仿宋" w:cs="宋体"/>
          <w:kern w:val="0"/>
          <w:sz w:val="32"/>
          <w:szCs w:val="32"/>
        </w:rPr>
        <w:t>1. 基本信息。包括但不限于拟聘任会计师事务所的名称、</w:t>
      </w:r>
      <w:r>
        <w:rPr>
          <w:rFonts w:hint="eastAsia" w:ascii="仿宋" w:hAnsi="仿宋" w:eastAsia="仿宋" w:cs="仿宋"/>
          <w:sz w:val="32"/>
          <w:szCs w:val="32"/>
        </w:rPr>
        <w:t>成立日期、组织形式、注册地址、首席合伙人；上年度末合伙人数量、注册会计师人数、签署过证券服务业务审计报告的注册会计师人数等；最近一年经审计的收入总额、审计业务收入，证券业务收入；上年度</w:t>
      </w:r>
      <w:r>
        <w:rPr>
          <w:rFonts w:hint="eastAsia" w:ascii="仿宋" w:hAnsi="仿宋" w:eastAsia="仿宋" w:cs="仿宋_GB2312"/>
          <w:sz w:val="32"/>
          <w:szCs w:val="32"/>
        </w:rPr>
        <w:t>上市公司</w:t>
      </w:r>
      <w:r>
        <w:rPr>
          <w:rFonts w:hint="eastAsia" w:ascii="仿宋" w:hAnsi="仿宋" w:eastAsia="仿宋" w:cs="仿宋"/>
          <w:sz w:val="32"/>
          <w:szCs w:val="32"/>
        </w:rPr>
        <w:t>审计客户家数、主要行业</w:t>
      </w:r>
      <w:r>
        <w:rPr>
          <w:rStyle w:val="35"/>
          <w:rFonts w:ascii="仿宋" w:hAnsi="仿宋" w:eastAsia="仿宋" w:cs="仿宋"/>
          <w:sz w:val="32"/>
          <w:szCs w:val="32"/>
        </w:rPr>
        <w:footnoteReference w:id="0"/>
      </w:r>
      <w:r>
        <w:rPr>
          <w:rFonts w:hint="eastAsia" w:ascii="仿宋" w:hAnsi="仿宋" w:eastAsia="仿宋" w:cs="仿宋"/>
          <w:sz w:val="32"/>
          <w:szCs w:val="32"/>
        </w:rPr>
        <w:t>，审计收费，本公司同行业</w:t>
      </w:r>
      <w:r>
        <w:rPr>
          <w:rFonts w:hint="eastAsia" w:ascii="仿宋" w:hAnsi="仿宋" w:eastAsia="仿宋" w:cs="仿宋_GB2312"/>
          <w:sz w:val="32"/>
          <w:szCs w:val="32"/>
        </w:rPr>
        <w:t>上市公司</w:t>
      </w:r>
      <w:r>
        <w:rPr>
          <w:rFonts w:hint="eastAsia" w:ascii="仿宋" w:hAnsi="仿宋" w:eastAsia="仿宋" w:cs="仿宋"/>
          <w:sz w:val="32"/>
          <w:szCs w:val="32"/>
        </w:rPr>
        <w:t>审计客户家数。</w:t>
      </w:r>
    </w:p>
    <w:p>
      <w:pPr>
        <w:widowControl/>
        <w:spacing w:line="560" w:lineRule="exact"/>
        <w:ind w:firstLine="640" w:firstLineChars="200"/>
        <w:rPr>
          <w:rFonts w:ascii="仿宋" w:hAnsi="仿宋" w:eastAsia="仿宋" w:cs="仿宋"/>
          <w:sz w:val="32"/>
          <w:szCs w:val="32"/>
        </w:rPr>
      </w:pPr>
      <w:r>
        <w:rPr>
          <w:rFonts w:hint="eastAsia" w:ascii="仿宋" w:hAnsi="仿宋" w:eastAsia="仿宋" w:cs="宋体"/>
          <w:kern w:val="0"/>
          <w:sz w:val="32"/>
          <w:szCs w:val="32"/>
        </w:rPr>
        <w:t>2. 投资者保护能力。包括但不限于计提的职业风险基金、购买的职业保险累计赔偿限额</w:t>
      </w:r>
      <w:r>
        <w:rPr>
          <w:rFonts w:hint="eastAsia" w:ascii="仿宋" w:hAnsi="仿宋" w:eastAsia="仿宋" w:cs="仿宋"/>
          <w:sz w:val="32"/>
          <w:szCs w:val="32"/>
        </w:rPr>
        <w:t>（可披露区间数）</w:t>
      </w:r>
      <w:r>
        <w:rPr>
          <w:rFonts w:hint="eastAsia" w:ascii="仿宋" w:hAnsi="仿宋" w:eastAsia="仿宋" w:cs="宋体"/>
          <w:kern w:val="0"/>
          <w:sz w:val="32"/>
          <w:szCs w:val="32"/>
        </w:rPr>
        <w:t>，</w:t>
      </w:r>
      <w:r>
        <w:rPr>
          <w:rFonts w:hint="eastAsia" w:ascii="仿宋" w:hAnsi="仿宋" w:eastAsia="仿宋" w:cs="仿宋"/>
          <w:sz w:val="32"/>
          <w:szCs w:val="32"/>
        </w:rPr>
        <w:t>职业风险基金计提或职业保险购买是否符合相关规定；近三年</w:t>
      </w:r>
      <w:r>
        <w:rPr>
          <w:rStyle w:val="35"/>
          <w:rFonts w:ascii="仿宋" w:hAnsi="仿宋" w:eastAsia="仿宋" w:cs="仿宋"/>
          <w:sz w:val="32"/>
          <w:szCs w:val="32"/>
        </w:rPr>
        <w:footnoteReference w:id="1"/>
      </w:r>
      <w:r>
        <w:rPr>
          <w:rFonts w:hint="eastAsia" w:ascii="仿宋" w:hAnsi="仿宋" w:eastAsia="仿宋" w:cs="仿宋"/>
          <w:sz w:val="32"/>
          <w:szCs w:val="32"/>
        </w:rPr>
        <w:t>在执业行为相关民事诉讼中承担民事责任的情况，如诉讼主体、目前进展等。</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（二）项目信息</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基本信息。项目合伙人、签字注册会计师、项目质量控制复核人何时成为注册会计师、何时开始从事</w:t>
      </w:r>
      <w:r>
        <w:rPr>
          <w:rFonts w:hint="eastAsia" w:ascii="仿宋" w:hAnsi="仿宋" w:eastAsia="仿宋" w:cs="仿宋_GB2312"/>
          <w:sz w:val="32"/>
          <w:szCs w:val="32"/>
        </w:rPr>
        <w:t>上市公司</w:t>
      </w:r>
      <w:r>
        <w:rPr>
          <w:rFonts w:hint="eastAsia" w:ascii="仿宋" w:hAnsi="仿宋" w:eastAsia="仿宋" w:cs="仿宋"/>
          <w:sz w:val="32"/>
          <w:szCs w:val="32"/>
        </w:rPr>
        <w:t>审计、何时开始在本所执业，何时开始为本公司提供审计服务；近三年签署或复核</w:t>
      </w:r>
      <w:r>
        <w:rPr>
          <w:rFonts w:hint="eastAsia" w:ascii="仿宋" w:hAnsi="仿宋" w:eastAsia="仿宋" w:cs="仿宋_GB2312"/>
          <w:sz w:val="32"/>
          <w:szCs w:val="32"/>
        </w:rPr>
        <w:t>上市公司</w:t>
      </w:r>
      <w:r>
        <w:rPr>
          <w:rFonts w:hint="eastAsia" w:ascii="仿宋" w:hAnsi="仿宋" w:eastAsia="仿宋" w:cs="仿宋"/>
          <w:sz w:val="32"/>
          <w:szCs w:val="32"/>
        </w:rPr>
        <w:t>审计报告情况。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28"/>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27"/>
        <w:gridCol w:w="1710"/>
        <w:gridCol w:w="1725"/>
        <w:gridCol w:w="133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姓</w:t>
            </w:r>
          </w:p>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名</w:t>
            </w: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处理处罚日期</w:t>
            </w: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处理处罚类型</w:t>
            </w: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实施单位</w:t>
            </w: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r>
    </w:tbl>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独立性。说明拟聘任会计师事务所及项目合伙人、签字注册会计师、项目质量控制复核人等是否存在可能影响独立性的情形及采取的防范措施。</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审计收费。说明本期审计费用及定价原则，较上一期审计费用的变化情况；如审计费用变化超过20%请说明原因。若审计费用包括内控审计费用，应区分年报审计费用和内控审计费用进行说明。</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仿宋"/>
          <w:sz w:val="32"/>
          <w:szCs w:val="32"/>
        </w:rPr>
        <w:t xml:space="preserve">5. </w:t>
      </w:r>
      <w:r>
        <w:rPr>
          <w:rFonts w:hint="eastAsia" w:ascii="仿宋" w:hAnsi="仿宋" w:eastAsia="仿宋" w:cs="宋体"/>
          <w:kern w:val="0"/>
          <w:sz w:val="32"/>
          <w:szCs w:val="32"/>
        </w:rPr>
        <w:t>本所要求的其他内容。</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二、拟变更会计师事务所的情况说明（如适用）</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（一）前任会计师事务所情况及上年度审计意见</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说明前任会计师事务所相关情况，包括名称、已提供审计服务年限、上年度审计意见类型等。是否存在已委托前任会计师事务所开展部分审计工作后解聘前任会计师事务所的情况。</w:t>
      </w:r>
    </w:p>
    <w:p>
      <w:pPr>
        <w:numPr>
          <w:ilvl w:val="0"/>
          <w:numId w:val="6"/>
        </w:num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拟变更会计师事务所原因</w:t>
      </w: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（三）上市公司与前后任会计师事务所的沟通情况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三、拟续聘/变更会计师事务所履行的程序</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（一）董事会对议案审议和表决情况</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说明上市公司董事会对本次聘任会计师事务所相关议案的审议和表决情况。</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宋体"/>
          <w:kern w:val="0"/>
          <w:sz w:val="32"/>
          <w:szCs w:val="32"/>
        </w:rPr>
        <w:t>（二）审计委员会审议意见</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说明</w:t>
      </w:r>
      <w:r>
        <w:rPr>
          <w:rFonts w:hint="eastAsia" w:ascii="仿宋" w:hAnsi="仿宋" w:eastAsia="仿宋" w:cs="仿宋"/>
          <w:sz w:val="32"/>
          <w:szCs w:val="32"/>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（三）生效日期</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说明本次聘任会计师事务所事项尚需提交公司股东会审议，并自公司股东会审议通过之日起生效。</w:t>
      </w:r>
    </w:p>
    <w:p>
      <w:pPr>
        <w:widowControl/>
        <w:spacing w:line="560" w:lineRule="exact"/>
        <w:ind w:firstLine="640" w:firstLineChars="200"/>
        <w:jc w:val="right"/>
        <w:rPr>
          <w:rFonts w:ascii="仿宋" w:hAnsi="仿宋" w:eastAsia="仿宋" w:cs="宋体"/>
          <w:kern w:val="0"/>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360" w:firstLine="640" w:firstLineChars="200"/>
        <w:jc w:val="right"/>
        <w:rPr>
          <w:rFonts w:hint="eastAsia" w:ascii="仿宋" w:hAnsi="仿宋" w:eastAsia="仿宋"/>
          <w:sz w:val="32"/>
          <w:szCs w:val="32"/>
        </w:rPr>
      </w:pPr>
      <w:r>
        <w:rPr>
          <w:rFonts w:hint="eastAsia" w:ascii="仿宋" w:hAnsi="仿宋" w:eastAsia="仿宋"/>
          <w:sz w:val="32"/>
          <w:szCs w:val="32"/>
        </w:rPr>
        <w:t>XXXX年X月XX日</w:t>
      </w:r>
    </w:p>
    <w:p>
      <w:pPr>
        <w:spacing w:after="0" w:afterLines="0" w:line="560" w:lineRule="exact"/>
        <w:ind w:left="0" w:leftChars="0"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备查文件</w:t>
      </w:r>
    </w:p>
    <w:p>
      <w:pPr>
        <w:spacing w:after="0" w:afterLines="0"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1．审计委员会审议意见；</w:t>
      </w:r>
    </w:p>
    <w:p>
      <w:pPr>
        <w:adjustRightInd/>
        <w:snapToGrid/>
        <w:spacing w:after="0" w:afterLines="0" w:line="560" w:lineRule="exact"/>
        <w:ind w:left="0" w:leftChars="0" w:firstLine="640" w:firstLineChars="200"/>
        <w:rPr>
          <w:rFonts w:hint="eastAsia" w:ascii="仿宋" w:hAnsi="仿宋" w:eastAsia="仿宋" w:cs="宋体"/>
          <w:bCs/>
          <w:kern w:val="0"/>
          <w:sz w:val="32"/>
          <w:szCs w:val="32"/>
          <w:highlight w:val="none"/>
        </w:rPr>
      </w:pPr>
      <w:r>
        <w:rPr>
          <w:rFonts w:hint="eastAsia" w:ascii="仿宋" w:hAnsi="仿宋" w:eastAsia="仿宋" w:cs="宋体"/>
          <w:bCs/>
          <w:kern w:val="0"/>
          <w:sz w:val="32"/>
          <w:szCs w:val="32"/>
          <w:highlight w:val="none"/>
          <w:lang w:eastAsia="zh"/>
        </w:rPr>
        <w:t>2</w:t>
      </w:r>
      <w:r>
        <w:rPr>
          <w:rFonts w:hint="eastAsia" w:ascii="仿宋" w:hAnsi="仿宋" w:eastAsia="仿宋" w:cs="宋体"/>
          <w:bCs/>
          <w:kern w:val="0"/>
          <w:sz w:val="32"/>
          <w:szCs w:val="32"/>
          <w:highlight w:val="none"/>
        </w:rPr>
        <w:t>．拟聘任会计师事务所关于其基本情况的说明；</w:t>
      </w:r>
    </w:p>
    <w:p>
      <w:pPr>
        <w:spacing w:after="0" w:afterLines="0" w:line="560" w:lineRule="exact"/>
        <w:ind w:firstLine="640" w:firstLineChars="200"/>
      </w:pPr>
      <w:r>
        <w:rPr>
          <w:rFonts w:hint="eastAsia" w:ascii="仿宋" w:hAnsi="仿宋" w:eastAsia="仿宋" w:cs="宋体"/>
          <w:bCs/>
          <w:kern w:val="0"/>
          <w:sz w:val="32"/>
          <w:szCs w:val="32"/>
          <w:highlight w:val="none"/>
          <w:lang w:eastAsia="zh"/>
        </w:rPr>
        <w:t>3</w:t>
      </w:r>
      <w:r>
        <w:rPr>
          <w:rFonts w:hint="eastAsia" w:ascii="仿宋" w:hAnsi="仿宋" w:eastAsia="仿宋" w:cs="宋体"/>
          <w:bCs/>
          <w:kern w:val="0"/>
          <w:sz w:val="32"/>
          <w:szCs w:val="32"/>
          <w:highlight w:val="none"/>
        </w:rPr>
        <w:t>．前任会计师事务所书面陈述意见（如有）。</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129" w:name="_Toc9916"/>
      <w:bookmarkStart w:id="130" w:name="_Toc11973"/>
      <w:bookmarkStart w:id="131" w:name="_Toc164973738"/>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上市公司与专业投资机构共同投资及合作公告格式</w:t>
      </w:r>
      <w:bookmarkEnd w:id="129"/>
      <w:bookmarkEnd w:id="130"/>
      <w:bookmarkEnd w:id="131"/>
    </w:p>
    <w:p>
      <w:pPr>
        <w:spacing w:line="560" w:lineRule="exact"/>
        <w:rPr>
          <w:rFonts w:ascii="仿宋" w:hAnsi="仿宋" w:eastAsia="仿宋"/>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属于本所《上市公司自律监管指引第7号——交易与关联交易》规定的与专业投资机构共同投资及合作相关事项，适用本公告格式。</w:t>
      </w:r>
    </w:p>
    <w:p>
      <w:pPr>
        <w:spacing w:line="560" w:lineRule="exact"/>
        <w:ind w:firstLine="640" w:firstLineChars="200"/>
        <w:rPr>
          <w:rFonts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XXXXXX股份有限公司与专业投资机构共同投资及合作</w:t>
      </w:r>
    </w:p>
    <w:p>
      <w:pPr>
        <w:widowControl/>
        <w:spacing w:line="560" w:lineRule="exact"/>
        <w:jc w:val="center"/>
        <w:rPr>
          <w:rFonts w:ascii="仿宋" w:hAnsi="仿宋" w:eastAsia="仿宋"/>
          <w:kern w:val="0"/>
          <w:sz w:val="32"/>
          <w:szCs w:val="32"/>
        </w:rPr>
      </w:pPr>
      <w:r>
        <mc:AlternateContent>
          <mc:Choice Requires="wps">
            <w:drawing>
              <wp:anchor distT="0" distB="0" distL="114300" distR="114300" simplePos="0" relativeHeight="251707392" behindDoc="0" locked="0" layoutInCell="1" allowOverlap="1">
                <wp:simplePos x="0" y="0"/>
                <wp:positionH relativeFrom="column">
                  <wp:posOffset>-66675</wp:posOffset>
                </wp:positionH>
                <wp:positionV relativeFrom="paragraph">
                  <wp:posOffset>342900</wp:posOffset>
                </wp:positionV>
                <wp:extent cx="5715000" cy="1571625"/>
                <wp:effectExtent l="4445" t="5080" r="14605" b="444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57150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27pt;height:123.75pt;width:450pt;z-index:251707392;mso-width-relative:page;mso-height-relative:page;" fillcolor="#FFFFFF" filled="t" stroked="t" coordsize="21600,21600" o:gfxdata="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wiqKtgAAAAKAQAADwAAAAAAAAABACAAAAAiAAAAZHJz&#10;L2Rvd25yZXYueG1sUEsBAhQAFAAAAAgAh07iQCh2x5M9AgAAiwQAAA4AAAAAAAAAAQAgAAAAJwEA&#10;AGRycy9lMm9Eb2MueG1sUEsFBgAAAAAGAAYAWQEAANY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r>
        <w:rPr>
          <w:rFonts w:hint="eastAsia" w:ascii="仿宋" w:hAnsi="仿宋" w:eastAsia="仿宋"/>
          <w:kern w:val="0"/>
          <w:sz w:val="32"/>
          <w:szCs w:val="32"/>
        </w:rPr>
        <w:t>/购买专业投资机构相关交易标的公告</w:t>
      </w:r>
    </w:p>
    <w:p>
      <w:pPr>
        <w:widowControl/>
        <w:spacing w:line="360" w:lineRule="exact"/>
        <w:rPr>
          <w:rFonts w:ascii="仿宋" w:hAnsi="仿宋" w:eastAsia="仿宋" w:cs="宋体"/>
          <w:b/>
          <w:bCs/>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560" w:lineRule="exact"/>
        <w:ind w:firstLine="803" w:firstLineChars="250"/>
        <w:rPr>
          <w:rFonts w:ascii="仿宋" w:hAnsi="仿宋" w:eastAsia="仿宋" w:cs="宋体"/>
          <w:b/>
          <w:bCs/>
          <w:kern w:val="0"/>
          <w:sz w:val="32"/>
          <w:szCs w:val="32"/>
        </w:rPr>
      </w:pP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一、与专业投资机构共同投资及合作披露</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（一）上市公司与专业投资机构共同投资公告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上市公司与专业投资机构共同投资，应当及时披露以下内容：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专业投资机构基本情况，包括机构名称、成立时间、注册地、法定代表人、控股股东、实际控制人、主要投资领域等。如合作方为合伙企业，应披露普通合伙人及有限合伙人信息。如合作方为私募基金等需要履行登记备案程序的机构，应披露是否依照相关法律法规、行业规定等履行登记备案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关联关系或其他利益关系说明，包括专业投资机构是否与上市公司存在关联关系或利益安排、是否与上市公司控股股东、实际控制人、持股5%以上的股东、董事、高级管理人员存在关联关系或利益安排、是否与其他参与设立投资基金的投资人存在一致行动关系、是否以直接或间接形式持有上市公司股份等（如有，应当披露股份数量、持股比例、持股目的、未来12个月内是否有增持或减持计划）。</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投资基金的具体情况及投资协议主要条款，包括基金名称、基金规模、组织形式、出资方式、出资进度、存续期限、退出机制、上市公司对基金的会计处理方法、投资方向等，如已形成投资计划，应一并披露；投资基金的管理模式，包括管理和决策机制、各投资人的合作地位及权利义务、收益分配机制，上市公司对基金拟投资标的是否有一票否决权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上市公司控股股东、实际控制人、持股5%以上的股东、董事、高级管理人员是否参与投资基金份额认购、是否在投资基金中任职，如有，应当说明认购份额、认购比例、任职情况、主要权利义务安排等。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 对上市公司的影响和存在的风险，包括投资领域与上市公司主营业务是否存在协同关系、投资失败或亏损的风险、内部管理风险、对外担保风险（如有）等。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 合作事项是否可能导致同业竞争或关联交易。如是，应当说明是否已作出相应安排（如投资基金在收购与上市公司主营业务相同或相近的资产之后，上市公司具有优先购买权等）。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其他事项。明确说明在本次与专业投资机构共同投资前十二个月内不存在将超募资金用于永久性补充流动资金的情形（上市公司与专业投资机构共同投资与主营业务相关的投资基金，或者市场化运作的贫困地区产业投资基金和扶贫公益基金等投资基金的除外）。</w:t>
      </w:r>
    </w:p>
    <w:p>
      <w:pPr>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（二）上市公司与专业投资机构签订合作协议公告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上市公司与专业投资机构签订合作协议的，除应当依据本公告格式第一条第（一）项的规定披露专业投资机构基本情况、关联关系或其他利益关系说明外，还应当披露以下内容：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合作协议的主要条款，包括签订时间、合作目的、合作模式、合作期限、合作事项的决策机制和运行机制等。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专业投资机构提供的服务内容，包括业务咨询或财务顾问、市值管理服务的具体领域、一揽子计划安排、费用或报酬以及其他特别约定事项等。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上市公司应完整披露与专业投资机构签订的各项协议，承诺不存在其他未披露的协议。</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对合作协议可能存在的风险进行充分揭示。</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二、购买专业投资机构相关交易标的公告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上市公司参与投资或与专业投资机构共同投资及合作事项，又购买其直接、间接持有或推荐的交易标的，除按照法律法规及本所《创业板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上市规则》等相关规定进行信息披露外，还应当披露以下内容：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专业投资机构及其控制的其他主体、管理的全部基金/信托/资产管理计划产品在交易标的中持有的股份或投资份额情况，包括持股/出资份额数量和比例、受让交易标的股份/份额的价格和时间、锁定期安排等；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专业投资机构及其控制的其他主体、管理的所有产品在最近6个月内买卖上市公司股票的情况，包括持有上市公司股份的数量和比例、买卖上市公司股份的数量和时间、锁定期安排等；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上市公司、专业投资机构与交易标的之间存在的关联关系或其他利益关系等情况。</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三、其他</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与专业投资机构共同投资及合作公告首次披露后，上市公司应及时按照本所《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》等规定披露相关进展情况。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专业投资机构持有或通过协议、其他安排或与他人共同持有上市公司股份达到或超过5%的，相关信息披露义务人应当依据《证券法》《上市公司收购管理办法》及本所《创业板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上市规则》等规定履行信息披露义务。上市公司在公告时应同时说明与该机构是否存在本所《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》规定的合作事项。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专业投资机构参与上市公司重大资产重组、再融资等业务的，无论参与金额、比例大小，上市公司均应在方案中说明与该机构是否存在本所《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》规定的合作事项。</w:t>
      </w:r>
    </w:p>
    <w:p>
      <w:pPr>
        <w:spacing w:line="560" w:lineRule="exact"/>
        <w:ind w:firstLine="640" w:firstLineChars="200"/>
        <w:rPr>
          <w:rFonts w:ascii="仿宋" w:hAnsi="仿宋" w:eastAsia="仿宋" w:cs="宋体"/>
          <w:kern w:val="0"/>
          <w:sz w:val="32"/>
          <w:szCs w:val="32"/>
        </w:rPr>
      </w:pPr>
    </w:p>
    <w:p>
      <w:pPr>
        <w:spacing w:line="560" w:lineRule="exact"/>
        <w:ind w:firstLine="200"/>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hint="eastAsia" w:ascii="仿宋" w:hAnsi="仿宋" w:eastAsia="仿宋" w:cs="宋体"/>
          <w:b/>
          <w:kern w:val="0"/>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pStyle w:val="2"/>
        <w:spacing w:line="560" w:lineRule="exact"/>
        <w:ind w:firstLine="320" w:firstLineChars="100"/>
      </w:pPr>
      <w:r>
        <w:rPr>
          <w:rFonts w:hint="eastAsia" w:ascii="仿宋" w:hAnsi="仿宋" w:eastAsia="仿宋" w:cs="宋体"/>
          <w:kern w:val="0"/>
          <w:sz w:val="32"/>
          <w:szCs w:val="32"/>
          <w:highlight w:val="none"/>
          <w:lang w:eastAsia="zh"/>
        </w:rPr>
        <w:t xml:space="preserve">  </w:t>
      </w:r>
      <w:r>
        <w:rPr>
          <w:rFonts w:hint="eastAsia" w:ascii="仿宋" w:hAnsi="仿宋" w:eastAsia="仿宋" w:cs="宋体"/>
          <w:kern w:val="0"/>
          <w:sz w:val="32"/>
          <w:szCs w:val="32"/>
          <w:highlight w:val="none"/>
        </w:rPr>
        <w:t>合作协议（如有）</w:t>
      </w:r>
      <w:r>
        <w:rPr>
          <w:rFonts w:hint="eastAsia" w:ascii="仿宋" w:hAnsi="仿宋" w:eastAsia="仿宋" w:cs="宋体"/>
          <w:kern w:val="0"/>
          <w:sz w:val="32"/>
          <w:szCs w:val="32"/>
          <w:highlight w:val="none"/>
          <w:lang w:eastAsia="zh"/>
        </w:rPr>
        <w:t>。</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132" w:name="_Toc23620"/>
      <w:bookmarkStart w:id="133" w:name="_Toc30660"/>
      <w:bookmarkStart w:id="134" w:name="_Toc164973739"/>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上市公司放弃权利公告格式</w:t>
      </w:r>
      <w:bookmarkEnd w:id="132"/>
      <w:bookmarkEnd w:id="133"/>
      <w:bookmarkEnd w:id="134"/>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适用情形及注意事项：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1．本指引所称放弃权利是指《创业板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上市规则》所规定的情形。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2．上市公司还应当根据具体放弃权利类型，参照“上市公司购买、出售资产公告格式”“上市公司关联交易公告格式”“上市公司对外（含委托）投资公告格式”等的要求披露有关内容。</w:t>
      </w:r>
    </w:p>
    <w:p>
      <w:pPr>
        <w:spacing w:line="560" w:lineRule="exact"/>
        <w:ind w:firstLine="640" w:firstLineChars="200"/>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XXXXXX股份有限公司放弃权利公告</w:t>
      </w:r>
    </w:p>
    <w:p>
      <w:pPr>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76672" behindDoc="0" locked="0" layoutInCell="1" allowOverlap="1">
                <wp:simplePos x="0" y="0"/>
                <wp:positionH relativeFrom="column">
                  <wp:posOffset>-169545</wp:posOffset>
                </wp:positionH>
                <wp:positionV relativeFrom="paragraph">
                  <wp:posOffset>74295</wp:posOffset>
                </wp:positionV>
                <wp:extent cx="5505450" cy="1533525"/>
                <wp:effectExtent l="4445" t="4445" r="14605" b="508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5505450" cy="1533525"/>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5.85pt;height:120.75pt;width:433.5pt;z-index:251676672;mso-width-relative:page;mso-height-relative:page;" fillcolor="#FFFFFF" filled="t" stroked="t" coordsize="21600,21600" o:gfxdata="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sOOztkAAAAKAQAADwAAAAAAAAABACAAAAAiAAAAZHJzL2Rv&#10;d25yZXYueG1sUEsBAhQAFAAAAAgAh07iQOzxbJg5AgAAiwQAAA4AAAAAAAAAAQAgAAAAKAEAAGRy&#10;cy9lMm9Eb2MueG1sUEsFBgAAAAAGAAYAWQEAANM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风险提示（如适用）：</w:t>
      </w:r>
      <w:r>
        <w:rPr>
          <w:rFonts w:hint="eastAsia" w:ascii="仿宋" w:hAnsi="仿宋" w:eastAsia="仿宋"/>
          <w:color w:val="000000"/>
          <w:sz w:val="32"/>
          <w:szCs w:val="32"/>
        </w:rPr>
        <w:t>本次放弃权利事项将导致对最近三年内的募集资金投资项目、重大资产重组置入资产失去控制地位，或者有关方拟认购上市公司放弃所涉权利的出资额明显低于市场同类交易价格等的，上市公司应当作出特别风险提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一、放弃权利事项概述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1．简要介绍放弃权利所涉事项的基本情况，包括各方当事人名称、所涉标的名称、发生日期、所涉事项类型、涉及金额或比例、放弃权利的具体情形（如优先购买权、优先认缴出资权或其他优先权利）等。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2．简要说明是否构成关联交易、是否构成《上市公司重大资产重组管理办法》规定的重大资产重组等。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简要说明董事会审议放弃权利的表决情况；放弃权利事项生效所必需的审批及其他程序（如是否需经过股东会或政府有关部门批准、是否需征得其他第三方同意等）以及公司履行程序的情况。如放弃权利实施所必须的审批及其他相关程序尚未完成等，应作出详细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二、各方当事人基本情况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各方当事人的基本情况应参照“上市公司购买、出售资产公告格式”“上市公司关联交易公告格式”等关于交易对方或关联方的要求披露有关内容。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三、所涉标的基本情况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所涉标的基本情况应参照“上市公司购买、出售资产公告格式”“上市公司对外（含委托）投资公告格式”等关于出售资产或标的资产的要求披露有关内容。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四、放弃权利的定价政策及定价依据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说明相关方受让标的所涉权利的出资金额、出资方式、定价政策、定价依据，以及上市公司如不放弃权利所需支付的金额或需要履行的其他义务。</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五、放弃权利协议的主要内容（如适用）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放弃权利协议应参照“上市公司购买、出售资产公告格式”“上市公司关联交易公告格式”“上市公司对外（含委托）投资公告格式”等关于交易协议或投资合同等的要求披露有关内容。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六、放弃权利的原因、影响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结合所涉标的财务状况和盈利能力、所处行业地位及行业发展前景等情况，充分说明决定放弃相关权利的理由，并分析放弃权利对上市公司财务状况及经营成果的影响。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本次放弃权利事项将导致对最近三年内的募集资金投资项目、重大资产重组置入资产失去控制地位，或者有关方拟认购上市公司放弃所涉权利的出资额明显低于市场同类交易价格等的，应当专门作出说明。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七、董事会意见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1．说明放弃权利的原因和董事会审议放弃权利的表决情况。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2．根据同行业公司价值、同行业平均市盈率等情况，说明对相关方受让标的所涉权利的定价（转让定价、增资扩股作价等）是否公允、合理，是否损害上市公司利益。</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八、中介机构意见结论（如适用）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上市公司在放弃权利事项中聘任中介机构（包括但不限于会计师事务所、评估机构、财务顾问）出具专业意见的，应明确披露中介机构对本次放弃权利的专业意见结论。</w: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360" w:firstLine="640" w:firstLineChars="200"/>
        <w:jc w:val="right"/>
        <w:rPr>
          <w:rFonts w:ascii="仿宋" w:hAnsi="仿宋" w:eastAsia="仿宋"/>
          <w:sz w:val="32"/>
          <w:szCs w:val="32"/>
        </w:rPr>
      </w:pPr>
      <w:r>
        <w:rPr>
          <w:rFonts w:hint="eastAsia" w:ascii="仿宋" w:hAnsi="仿宋" w:eastAsia="仿宋"/>
          <w:sz w:val="32"/>
          <w:szCs w:val="32"/>
        </w:rPr>
        <w:t>XXXX年X月XX日</w:t>
      </w:r>
    </w:p>
    <w:p>
      <w:pPr>
        <w:spacing w:line="560" w:lineRule="exact"/>
        <w:ind w:firstLine="643" w:firstLineChars="200"/>
        <w:rPr>
          <w:rFonts w:hint="eastAsia"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1．放弃权利所涉标的审计报告或评估报告等（如适用）；</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eastAsia="zh"/>
        </w:rPr>
        <w:t>2</w:t>
      </w:r>
      <w:r>
        <w:rPr>
          <w:rFonts w:hint="eastAsia" w:ascii="仿宋" w:hAnsi="仿宋" w:eastAsia="仿宋" w:cs="Times New Roman"/>
          <w:sz w:val="32"/>
          <w:szCs w:val="32"/>
          <w:highlight w:val="none"/>
        </w:rPr>
        <w:t>．意向书、协议或合同（如适用）；</w:t>
      </w:r>
    </w:p>
    <w:p>
      <w:pPr>
        <w:widowControl/>
        <w:ind w:firstLine="640" w:firstLineChars="200"/>
        <w:jc w:val="left"/>
        <w:rPr>
          <w:rFonts w:ascii="方正小标宋简体" w:hAnsi="仿宋" w:eastAsia="方正小标宋简体"/>
          <w:kern w:val="44"/>
          <w:sz w:val="44"/>
          <w:szCs w:val="44"/>
        </w:rPr>
      </w:pPr>
      <w:r>
        <w:rPr>
          <w:rFonts w:hint="eastAsia" w:ascii="仿宋" w:hAnsi="仿宋" w:eastAsia="仿宋" w:cs="Times New Roman"/>
          <w:sz w:val="32"/>
          <w:szCs w:val="32"/>
          <w:highlight w:val="none"/>
          <w:lang w:eastAsia="zh"/>
        </w:rPr>
        <w:t>3</w:t>
      </w:r>
      <w:r>
        <w:rPr>
          <w:rFonts w:hint="eastAsia" w:ascii="仿宋" w:hAnsi="仿宋" w:eastAsia="仿宋" w:cs="Times New Roman"/>
          <w:sz w:val="32"/>
          <w:szCs w:val="32"/>
          <w:highlight w:val="none"/>
        </w:rPr>
        <w:t>．与放弃权利事项相关的中介机构报告（如适用）。</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135" w:name="_Toc26161"/>
      <w:bookmarkStart w:id="136" w:name="_Toc30807"/>
      <w:bookmarkStart w:id="137" w:name="_Toc164973740"/>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上市公司季度报告公告格式</w:t>
      </w:r>
      <w:bookmarkEnd w:id="135"/>
      <w:bookmarkEnd w:id="136"/>
      <w:bookmarkEnd w:id="137"/>
    </w:p>
    <w:p>
      <w:pPr>
        <w:widowControl/>
        <w:spacing w:line="360" w:lineRule="auto"/>
        <w:jc w:val="left"/>
        <w:rPr>
          <w:rFonts w:ascii="宋体" w:hAnsi="宋体" w:cs="宋体"/>
          <w:color w:val="000000"/>
          <w:kern w:val="0"/>
          <w:sz w:val="24"/>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360" w:lineRule="auto"/>
        <w:rPr>
          <w:rFonts w:ascii="仿宋" w:hAnsi="仿宋" w:eastAsia="仿宋"/>
          <w:color w:val="000000"/>
          <w:sz w:val="28"/>
        </w:rPr>
      </w:pP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XXXX股份有限公司XXXX年第X季度报告</w:t>
      </w:r>
    </w:p>
    <w:p>
      <w:pPr>
        <w:widowControl/>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703296" behindDoc="0" locked="0" layoutInCell="1" allowOverlap="1">
                <wp:simplePos x="0" y="0"/>
                <wp:positionH relativeFrom="column">
                  <wp:posOffset>-304800</wp:posOffset>
                </wp:positionH>
                <wp:positionV relativeFrom="paragraph">
                  <wp:posOffset>46355</wp:posOffset>
                </wp:positionV>
                <wp:extent cx="5715000" cy="1619250"/>
                <wp:effectExtent l="4445" t="5080" r="14605" b="13970"/>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pt;margin-top:3.65pt;height:127.5pt;width:450pt;z-index:251703296;mso-width-relative:page;mso-height-relative:page;" fillcolor="#FFFFFF" filled="t" stroked="t" coordsize="21600,21600" o:gfxdata="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Zwa3dgAAAAJAQAADwAAAAAAAAABACAAAAAi&#10;AAAAZHJzL2Rvd25yZXYueG1sUEsBAhQAFAAAAAgAh07iQIpJzxBDAgAAiwQAAA4AAAAAAAAAAQAg&#10;AAAAJwEAAGRycy9lMm9Eb2MueG1sUEsFBgAAAAAGAAYAWQEAANw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3" w:firstLineChars="200"/>
        <w:rPr>
          <w:rFonts w:ascii="仿宋" w:hAnsi="仿宋" w:eastAsia="仿宋" w:cs="宋体"/>
          <w:b/>
          <w:bCs/>
          <w:kern w:val="0"/>
          <w:sz w:val="32"/>
          <w:szCs w:val="32"/>
        </w:rPr>
      </w:pP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重要内容提示：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董事会及董事、高级管理人员（或除XXX外的董事、高级管理人员）保证季度报告的真实、准确、完整，不存在虚假记载、误导性陈述或重大遗漏，并承担个别和连带的法律责任。董事/高级管理人员XXX因____（原因）无法保证季度报告内容的真实、准确、完整，请投资者特别关注（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2.公司负责人、主管会计工作负责人及会计机构负责人（会计主管人员）保证季度报告中财务信息的真实、准确、完整。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3.（第一季度、第三季度）财务会计报告是否经审计：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○是 ○否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4.审计师发表非标意见的事项（如适用）。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一、主要财务数据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（一）主要会计数据和财务指标</w:t>
      </w:r>
    </w:p>
    <w:p>
      <w:pPr>
        <w:adjustRightInd w:val="0"/>
        <w:snapToGrid w:val="0"/>
        <w:spacing w:line="360" w:lineRule="auto"/>
        <w:ind w:firstLine="480" w:firstLineChars="200"/>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单位：    </w:t>
      </w:r>
    </w:p>
    <w:tbl>
      <w:tblPr>
        <w:tblStyle w:val="2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1517"/>
        <w:gridCol w:w="1702"/>
        <w:gridCol w:w="160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项目</w:t>
            </w:r>
          </w:p>
        </w:tc>
        <w:tc>
          <w:tcPr>
            <w:tcW w:w="151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eastAsia="仿宋_GB2312"/>
                <w:sz w:val="24"/>
              </w:rPr>
            </w:pPr>
            <w:r>
              <w:rPr>
                <w:rFonts w:hint="eastAsia" w:ascii="仿宋_GB2312" w:eastAsia="仿宋_GB2312"/>
                <w:sz w:val="24"/>
              </w:rPr>
              <w:t>本报告期</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本报告期比上年同期增减（%）</w:t>
            </w:r>
          </w:p>
        </w:tc>
        <w:tc>
          <w:tcPr>
            <w:tcW w:w="159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年初至报告期末</w:t>
            </w:r>
          </w:p>
        </w:tc>
        <w:tc>
          <w:tcPr>
            <w:tcW w:w="1586"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eastAsia="仿宋_GB2312"/>
                <w:sz w:val="24"/>
              </w:rPr>
            </w:pPr>
            <w:r>
              <w:rPr>
                <w:rFonts w:hint="eastAsia" w:ascii="仿宋_GB2312" w:eastAsia="仿宋_GB2312"/>
                <w:sz w:val="24"/>
              </w:rPr>
              <w:t>年初至报告期末比上年同期增减（％）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营业收入</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归属于上市公司股东的净利润</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归属于上市公司股东的扣除非经常性损益的净利润</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经营活动产生的现金流量净额</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不适用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不适用</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基本每股收益（元/股）</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稀释每股收益（元/股）</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加权平均净资产收益率</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p>
        </w:tc>
        <w:tc>
          <w:tcPr>
            <w:tcW w:w="151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hAnsi="宋体" w:eastAsia="仿宋_GB2312"/>
                <w:sz w:val="24"/>
              </w:rPr>
            </w:pPr>
            <w:r>
              <w:rPr>
                <w:rFonts w:hint="eastAsia" w:ascii="仿宋_GB2312" w:hAnsi="宋体" w:eastAsia="仿宋_GB2312"/>
                <w:sz w:val="24"/>
              </w:rPr>
              <w:t>本报告期末</w:t>
            </w:r>
          </w:p>
        </w:tc>
        <w:tc>
          <w:tcPr>
            <w:tcW w:w="330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hAnsi="宋体" w:eastAsia="仿宋_GB2312"/>
                <w:sz w:val="24"/>
              </w:rPr>
            </w:pPr>
            <w:r>
              <w:rPr>
                <w:rFonts w:hint="eastAsia" w:ascii="仿宋_GB2312" w:hAnsi="宋体" w:eastAsia="仿宋_GB2312"/>
                <w:sz w:val="24"/>
              </w:rPr>
              <w:t>上年度末</w:t>
            </w:r>
          </w:p>
        </w:tc>
        <w:tc>
          <w:tcPr>
            <w:tcW w:w="1586"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hAnsi="宋体" w:eastAsia="仿宋_GB2312"/>
                <w:sz w:val="24"/>
              </w:rPr>
            </w:pPr>
            <w:r>
              <w:rPr>
                <w:rFonts w:hint="eastAsia" w:ascii="仿宋_GB2312" w:hAnsi="宋体" w:eastAsia="仿宋_GB2312"/>
                <w:sz w:val="24"/>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总资产</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33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归属于上市公司股东的所有者权益</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33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bl>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注：1.“本报告期”指本季度初至本季度末3个月期间，下同。</w:t>
      </w:r>
    </w:p>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2.以前期间财务数据涉及追溯调整或重述的，应当披露会计政策变更的原因及会计差错更正的情况，应当同时列示追溯调整或重述前后的数据。</w:t>
      </w:r>
    </w:p>
    <w:p>
      <w:pPr>
        <w:autoSpaceDE w:val="0"/>
        <w:autoSpaceDN w:val="0"/>
        <w:adjustRightInd w:val="0"/>
        <w:snapToGrid w:val="0"/>
        <w:spacing w:line="560" w:lineRule="exact"/>
        <w:rPr>
          <w:rFonts w:ascii="仿宋" w:hAnsi="仿宋" w:eastAsia="仿宋" w:cs="宋体"/>
          <w:color w:val="000000"/>
          <w:kern w:val="0"/>
          <w:sz w:val="28"/>
          <w:szCs w:val="32"/>
        </w:rPr>
      </w:pP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（二）非经常性损益项目和金额</w:t>
      </w:r>
    </w:p>
    <w:p>
      <w:pPr>
        <w:adjustRightInd w:val="0"/>
        <w:snapToGrid w:val="0"/>
        <w:spacing w:line="360" w:lineRule="auto"/>
        <w:ind w:firstLine="480" w:firstLineChars="200"/>
        <w:rPr>
          <w:rFonts w:ascii="仿宋_GB2312" w:hAnsi="宋体" w:eastAsia="仿宋_GB2312"/>
          <w:sz w:val="24"/>
        </w:rPr>
      </w:pPr>
      <w:r>
        <w:rPr>
          <w:rFonts w:hint="eastAsia" w:ascii="宋体" w:hAnsi="宋体" w:cs="宋体"/>
          <w:kern w:val="0"/>
          <w:sz w:val="24"/>
        </w:rPr>
        <w:t xml:space="preserve">                                                      </w:t>
      </w:r>
      <w:r>
        <w:rPr>
          <w:rFonts w:hint="eastAsia" w:ascii="仿宋_GB2312" w:hAnsi="宋体" w:eastAsia="仿宋_GB2312"/>
          <w:sz w:val="24"/>
        </w:rPr>
        <w:t>单位：</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1670"/>
        <w:gridCol w:w="172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项目</w:t>
            </w:r>
          </w:p>
        </w:tc>
        <w:tc>
          <w:tcPr>
            <w:tcW w:w="1670"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hAnsi="宋体" w:eastAsia="仿宋_GB2312"/>
                <w:sz w:val="24"/>
              </w:rPr>
            </w:pPr>
            <w:r>
              <w:rPr>
                <w:rFonts w:hint="eastAsia" w:ascii="仿宋_GB2312" w:hAnsi="宋体" w:eastAsia="仿宋_GB2312"/>
                <w:sz w:val="24"/>
              </w:rPr>
              <w:t>本报告期金额</w:t>
            </w:r>
          </w:p>
        </w:tc>
        <w:tc>
          <w:tcPr>
            <w:tcW w:w="172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年初至报告期期末金额</w:t>
            </w:r>
          </w:p>
        </w:tc>
        <w:tc>
          <w:tcPr>
            <w:tcW w:w="107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非流动性资产处置损益（包括已计提资产减值准备的冲销部分）</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越权审批，或无正式批准文件，或偶发性的税收返还、减免</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计入当期损益的政府补助（与公司正常经营业务密切相关，符合国家政策规定、按照一定标准定额或定量持续享受的政府补助除外）</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计入当期损益的对非金融企业收取的资金占用费</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企业取得子公司、联营企业及合营企业的投资成本小于取得投资时应享有被投资单位可辨认净资产公允价值产生的收益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非货币性资产交换损益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委托他人投资或管理资产的损益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因不可抗力因素，如遭受自然灾害而计提的各项资产减值准备</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债务重组损益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企业重组费用，如安置职工的支出、整合费用等</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交易价格显失公允的交易产生的超过公允价值部分的损益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同一控制下企业合并产生的子公司期初至合并日的当期净损益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与公司正常经营业务无关的或有事项产生的损益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单独进行减值测试的应收款项减值准备转回</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对外委托贷款取得的损益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采用公允价值模式进行后续计量的投资性房地产公允价值变动产生的损益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根据税收、会计等法律、法规的要求对当期损益进行一次性调整对当期损益的影响</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受托经营取得的托管费收入</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除上述各项之外的其他营业外收入和支出</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其他符合非经常性损益定义的损益项目</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减：所得税影响额</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ind w:firstLine="480" w:firstLineChars="200"/>
              <w:rPr>
                <w:rFonts w:ascii="仿宋_GB2312" w:eastAsia="仿宋_GB2312"/>
                <w:sz w:val="24"/>
              </w:rPr>
            </w:pPr>
            <w:r>
              <w:rPr>
                <w:rFonts w:hint="eastAsia" w:ascii="仿宋_GB2312" w:eastAsia="仿宋_GB2312"/>
                <w:sz w:val="24"/>
              </w:rPr>
              <w:t>少数股东权益影响额（税后）</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合计</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bl>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公司应当说明“其他符合非经常性损益定义的损益项目”的具体情况；如将《公开发行证券的公司信息披露解释性公告第1号——非经常性损益》中列举的非经常性损益项目界定为经常性损益项目的，应当说明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（三）主要会计数据和财务指标发生变动的情况及原因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上市公司上述主要会计数据和财务指标涉及资产负债表科目的与上年度期末相比、涉及利润表科目的与上年同期相比，增减变动幅度超过30%的，应当说明变动情况及主要原因。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二、股东信息</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（一）普通股股东总数和表决权恢复的优先股股东数量及前十名股东持股情况表</w:t>
      </w:r>
    </w:p>
    <w:tbl>
      <w:tblPr>
        <w:tblStyle w:val="28"/>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18"/>
        <w:gridCol w:w="509"/>
        <w:gridCol w:w="709"/>
        <w:gridCol w:w="1218"/>
        <w:gridCol w:w="1219"/>
        <w:gridCol w:w="121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9" w:hRule="atLeast"/>
        </w:trPr>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51"/>
              <w:rPr>
                <w:rFonts w:ascii="仿宋" w:hAnsi="仿宋" w:eastAsia="仿宋"/>
                <w:kern w:val="2"/>
                <w:sz w:val="24"/>
                <w:szCs w:val="24"/>
              </w:rPr>
            </w:pPr>
            <w:r>
              <w:rPr>
                <w:rFonts w:hint="eastAsia" w:ascii="仿宋" w:hAnsi="仿宋" w:eastAsia="仿宋"/>
                <w:kern w:val="2"/>
                <w:sz w:val="24"/>
                <w:szCs w:val="24"/>
              </w:rPr>
              <w:t>报告期末普通股股东总数</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p>
        </w:tc>
        <w:tc>
          <w:tcPr>
            <w:tcW w:w="2435" w:type="dxa"/>
            <w:gridSpan w:val="2"/>
            <w:tcBorders>
              <w:top w:val="single" w:color="auto" w:sz="4" w:space="0"/>
              <w:left w:val="single" w:color="auto" w:sz="4" w:space="0"/>
              <w:bottom w:val="single" w:color="auto" w:sz="4" w:space="0"/>
              <w:right w:val="single" w:color="auto" w:sz="4" w:space="0"/>
            </w:tcBorders>
            <w:vAlign w:val="center"/>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报告期末表决权恢复的优先股股东总数（如有）</w:t>
            </w:r>
          </w:p>
        </w:tc>
        <w:tc>
          <w:tcPr>
            <w:tcW w:w="238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09"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股东名称</w:t>
            </w:r>
          </w:p>
        </w:tc>
        <w:tc>
          <w:tcPr>
            <w:tcW w:w="1217"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股东性质</w:t>
            </w:r>
          </w:p>
        </w:tc>
        <w:tc>
          <w:tcPr>
            <w:tcW w:w="1217" w:type="dxa"/>
            <w:gridSpan w:val="2"/>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持股数量（股）</w:t>
            </w:r>
          </w:p>
        </w:tc>
        <w:tc>
          <w:tcPr>
            <w:tcW w:w="1217"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持股比例（%）</w:t>
            </w:r>
          </w:p>
        </w:tc>
        <w:tc>
          <w:tcPr>
            <w:tcW w:w="1218"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持有有限售条件股份数量（股）</w:t>
            </w:r>
          </w:p>
        </w:tc>
        <w:tc>
          <w:tcPr>
            <w:tcW w:w="2386" w:type="dxa"/>
            <w:gridSpan w:val="2"/>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8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67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股份状态</w:t>
            </w:r>
          </w:p>
        </w:tc>
        <w:tc>
          <w:tcPr>
            <w:tcW w:w="116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7"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p>
        </w:tc>
        <w:tc>
          <w:tcPr>
            <w:tcW w:w="1217"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p>
        </w:tc>
        <w:tc>
          <w:tcPr>
            <w:tcW w:w="116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8"/>
            <w:tcBorders>
              <w:top w:val="single" w:color="auto" w:sz="4" w:space="0"/>
              <w:left w:val="single" w:color="auto" w:sz="4" w:space="0"/>
              <w:bottom w:val="single" w:color="auto" w:sz="4" w:space="0"/>
              <w:right w:val="single" w:color="auto" w:sz="4" w:space="0"/>
            </w:tcBorders>
            <w:vAlign w:val="center"/>
          </w:tcPr>
          <w:p>
            <w:pPr>
              <w:pStyle w:val="51"/>
              <w:jc w:val="center"/>
              <w:rPr>
                <w:rFonts w:ascii="仿宋_GB2312" w:hAnsi="宋体" w:eastAsia="仿宋_GB2312" w:cs="宋体"/>
                <w:kern w:val="2"/>
                <w:sz w:val="24"/>
              </w:rPr>
            </w:pPr>
            <w:r>
              <w:rPr>
                <w:rFonts w:hint="eastAsia" w:ascii="仿宋_GB2312" w:hAnsi="宋体" w:eastAsia="仿宋_GB2312" w:cs="宋体"/>
                <w:kern w:val="2"/>
                <w:sz w:val="24"/>
                <w:szCs w:val="24"/>
              </w:rPr>
              <w:t>前10名无限售条件股东持股情况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2835"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股东名称</w:t>
            </w:r>
          </w:p>
        </w:tc>
        <w:tc>
          <w:tcPr>
            <w:tcW w:w="3143" w:type="dxa"/>
            <w:gridSpan w:val="3"/>
            <w:vMerge w:val="restart"/>
            <w:tcBorders>
              <w:top w:val="single" w:color="auto" w:sz="4" w:space="0"/>
              <w:left w:val="single" w:color="auto" w:sz="4" w:space="0"/>
              <w:bottom w:val="single" w:color="auto" w:sz="4" w:space="0"/>
              <w:right w:val="single" w:color="auto" w:sz="4" w:space="0"/>
            </w:tcBorders>
            <w:vAlign w:val="center"/>
          </w:tcPr>
          <w:p>
            <w:pPr>
              <w:pStyle w:val="51"/>
              <w:rPr>
                <w:rFonts w:ascii="仿宋_GB2312" w:hAnsi="宋体" w:eastAsia="仿宋_GB2312" w:cs="宋体"/>
                <w:kern w:val="2"/>
                <w:sz w:val="24"/>
                <w:szCs w:val="24"/>
              </w:rPr>
            </w:pPr>
            <w:r>
              <w:rPr>
                <w:rFonts w:hint="eastAsia" w:ascii="仿宋" w:hAnsi="仿宋" w:eastAsia="仿宋"/>
                <w:kern w:val="2"/>
                <w:sz w:val="24"/>
                <w:szCs w:val="24"/>
              </w:rPr>
              <w:t>持有无限售条件股份数量（股）</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079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91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股份种类</w:t>
            </w:r>
          </w:p>
        </w:tc>
        <w:tc>
          <w:tcPr>
            <w:tcW w:w="11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3143"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szCs w:val="24"/>
              </w:rPr>
            </w:pPr>
          </w:p>
        </w:tc>
        <w:tc>
          <w:tcPr>
            <w:tcW w:w="116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 w:hAnsi="仿宋" w:eastAsia="仿宋"/>
                <w:kern w:val="2"/>
                <w:sz w:val="24"/>
                <w:szCs w:val="24"/>
              </w:rPr>
              <w:t>上述股东关联关系或一致行动的说明</w:t>
            </w:r>
          </w:p>
        </w:tc>
        <w:tc>
          <w:tcPr>
            <w:tcW w:w="552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 w:hAnsi="仿宋" w:eastAsia="仿宋"/>
                <w:kern w:val="2"/>
                <w:sz w:val="24"/>
                <w:szCs w:val="24"/>
              </w:rPr>
              <w:t>前10名股东参与融资融券业务情况说明（如有）</w:t>
            </w:r>
          </w:p>
        </w:tc>
        <w:tc>
          <w:tcPr>
            <w:tcW w:w="552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bl>
    <w:p>
      <w:pPr>
        <w:spacing w:line="560" w:lineRule="exact"/>
        <w:ind w:firstLine="560" w:firstLineChars="200"/>
        <w:rPr>
          <w:rFonts w:ascii="仿宋" w:hAnsi="仿宋" w:eastAsia="仿宋" w:cs="宋体"/>
          <w:kern w:val="0"/>
          <w:sz w:val="32"/>
          <w:szCs w:val="32"/>
        </w:rPr>
      </w:pPr>
      <w:r>
        <w:rPr>
          <w:rFonts w:hint="eastAsia" w:ascii="仿宋" w:hAnsi="仿宋" w:eastAsia="仿宋" w:cs="宋体"/>
          <w:kern w:val="0"/>
          <w:sz w:val="28"/>
          <w:szCs w:val="32"/>
        </w:rPr>
        <w:t>（二）公司优先股股东总数及前10名优先股股东持股情况表（如有）</w:t>
      </w: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844"/>
        <w:gridCol w:w="509"/>
        <w:gridCol w:w="678"/>
        <w:gridCol w:w="1174"/>
        <w:gridCol w:w="1188"/>
        <w:gridCol w:w="1137"/>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报告期末优先股股东总数</w:t>
            </w:r>
          </w:p>
        </w:tc>
        <w:tc>
          <w:tcPr>
            <w:tcW w:w="56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1039"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股东名称</w:t>
            </w:r>
          </w:p>
        </w:tc>
        <w:tc>
          <w:tcPr>
            <w:tcW w:w="1844"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股东性质</w:t>
            </w:r>
          </w:p>
        </w:tc>
        <w:tc>
          <w:tcPr>
            <w:tcW w:w="1187" w:type="dxa"/>
            <w:gridSpan w:val="2"/>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持股数量（股）</w:t>
            </w:r>
          </w:p>
        </w:tc>
        <w:tc>
          <w:tcPr>
            <w:tcW w:w="1174"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持股比例（%）</w:t>
            </w:r>
          </w:p>
        </w:tc>
        <w:tc>
          <w:tcPr>
            <w:tcW w:w="1188"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持有有限售条件股份数量（股）</w:t>
            </w:r>
          </w:p>
        </w:tc>
        <w:tc>
          <w:tcPr>
            <w:tcW w:w="2073" w:type="dxa"/>
            <w:gridSpan w:val="2"/>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8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07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37"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股份状态</w:t>
            </w:r>
          </w:p>
        </w:tc>
        <w:tc>
          <w:tcPr>
            <w:tcW w:w="936"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844" w:type="dxa"/>
            <w:tcBorders>
              <w:top w:val="single" w:color="auto" w:sz="4" w:space="0"/>
              <w:left w:val="single" w:color="auto" w:sz="4" w:space="0"/>
              <w:bottom w:val="single" w:color="auto" w:sz="4" w:space="0"/>
              <w:right w:val="single" w:color="auto" w:sz="4" w:space="0"/>
            </w:tcBorders>
          </w:tcPr>
          <w:p>
            <w:pPr>
              <w:pStyle w:val="51"/>
              <w:rPr>
                <w:kern w:val="2"/>
              </w:rPr>
            </w:pPr>
          </w:p>
        </w:tc>
        <w:tc>
          <w:tcPr>
            <w:tcW w:w="1187"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37" w:type="dxa"/>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szCs w:val="24"/>
              </w:rPr>
            </w:pPr>
          </w:p>
        </w:tc>
        <w:tc>
          <w:tcPr>
            <w:tcW w:w="93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33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股东名称</w:t>
            </w:r>
          </w:p>
        </w:tc>
        <w:tc>
          <w:tcPr>
            <w:tcW w:w="5113"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2"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5113"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2" w:type="dxa"/>
            <w:gridSpan w:val="3"/>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rPr>
            </w:pPr>
            <w:r>
              <w:rPr>
                <w:rFonts w:hint="eastAsia" w:ascii="仿宋" w:hAnsi="仿宋" w:eastAsia="仿宋"/>
                <w:kern w:val="2"/>
                <w:sz w:val="24"/>
                <w:szCs w:val="24"/>
              </w:rPr>
              <w:t>上述股东关联关系或一致行动的说明</w:t>
            </w:r>
          </w:p>
        </w:tc>
        <w:tc>
          <w:tcPr>
            <w:tcW w:w="5113"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三、其他重要事项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上市公司应当审慎评估有助于投资者了解报告期经营情况的其他重要信息，如存在前述信息，应当予以披露，并提醒投资者关注。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四、季度财务报表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上市公司应当披露截至报告期末的比较式合并资产负债表、年初至报告期末的比较式合并利润表和比较式现金流量表。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季度财务会计报告经审计的，公司应当披露审计意见类型；被注册会计师出具非标准审计意见的，公司还应当披露审计报告。</w:t>
      </w:r>
    </w:p>
    <w:p>
      <w:pPr>
        <w:widowControl/>
        <w:spacing w:line="360" w:lineRule="auto"/>
        <w:ind w:firstLine="480"/>
        <w:rPr>
          <w:rFonts w:ascii="仿宋" w:hAnsi="仿宋" w:eastAsia="仿宋" w:cs="宋体"/>
          <w:color w:val="000000"/>
          <w:kern w:val="0"/>
          <w:sz w:val="28"/>
          <w:szCs w:val="32"/>
        </w:rPr>
      </w:pPr>
    </w:p>
    <w:p>
      <w:pPr>
        <w:spacing w:line="560" w:lineRule="exact"/>
        <w:jc w:val="right"/>
        <w:rPr>
          <w:rFonts w:ascii="仿宋" w:hAnsi="仿宋" w:eastAsia="仿宋"/>
          <w:sz w:val="32"/>
          <w:szCs w:val="32"/>
        </w:rPr>
      </w:pPr>
      <w:r>
        <w:rPr>
          <w:rFonts w:hint="eastAsia" w:ascii="仿宋" w:hAnsi="仿宋" w:eastAsia="仿宋"/>
          <w:sz w:val="32"/>
          <w:szCs w:val="32"/>
        </w:rPr>
        <w:t>XXXX股份有限公司董事会</w:t>
      </w:r>
    </w:p>
    <w:p>
      <w:pPr>
        <w:spacing w:line="560" w:lineRule="exact"/>
        <w:jc w:val="right"/>
        <w:rPr>
          <w:rFonts w:hint="eastAsia" w:ascii="仿宋" w:hAnsi="仿宋" w:eastAsia="仿宋"/>
          <w:sz w:val="32"/>
          <w:szCs w:val="32"/>
        </w:rPr>
      </w:pPr>
      <w:r>
        <w:rPr>
          <w:rFonts w:hint="eastAsia" w:ascii="仿宋" w:hAnsi="仿宋" w:eastAsia="仿宋"/>
          <w:sz w:val="32"/>
          <w:szCs w:val="32"/>
        </w:rPr>
        <w:t>年  月  日</w:t>
      </w:r>
    </w:p>
    <w:p>
      <w:pPr>
        <w:spacing w:line="240" w:lineRule="auto"/>
        <w:jc w:val="left"/>
        <w:rPr>
          <w:rFonts w:hint="eastAsia" w:ascii="仿宋" w:hAnsi="仿宋" w:eastAsia="仿宋"/>
          <w:sz w:val="32"/>
          <w:szCs w:val="32"/>
        </w:rPr>
      </w:pPr>
      <w:r>
        <w:rPr>
          <w:rFonts w:hint="eastAsia" w:ascii="仿宋" w:hAnsi="仿宋" w:eastAsia="仿宋"/>
          <w:sz w:val="32"/>
          <w:szCs w:val="32"/>
        </w:rPr>
        <w:br w:type="page"/>
      </w:r>
    </w:p>
    <w:p>
      <w:pPr>
        <w:keepNext/>
        <w:keepLines/>
        <w:spacing w:line="560" w:lineRule="exact"/>
        <w:jc w:val="center"/>
        <w:outlineLvl w:val="2"/>
        <w:rPr>
          <w:rFonts w:ascii="方正小标宋简体" w:hAnsi="仿宋" w:eastAsia="方正小标宋简体"/>
          <w:kern w:val="44"/>
          <w:sz w:val="44"/>
          <w:szCs w:val="44"/>
        </w:rPr>
      </w:pPr>
      <w:bookmarkStart w:id="138" w:name="_Toc32138"/>
      <w:bookmarkStart w:id="139" w:name="_Toc23259"/>
      <w:bookmarkStart w:id="140" w:name="_Toc164973741"/>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上市公司股东征集表决权公告格式</w:t>
      </w:r>
      <w:bookmarkEnd w:id="138"/>
      <w:bookmarkEnd w:id="139"/>
      <w:bookmarkEnd w:id="140"/>
    </w:p>
    <w:p>
      <w:pPr>
        <w:autoSpaceDE w:val="0"/>
        <w:autoSpaceDN w:val="0"/>
        <w:adjustRightInd w:val="0"/>
        <w:spacing w:line="560" w:lineRule="exact"/>
        <w:ind w:left="111" w:leftChars="53" w:firstLine="454" w:firstLineChars="142"/>
        <w:jc w:val="center"/>
        <w:rPr>
          <w:rFonts w:ascii="仿宋" w:hAnsi="仿宋" w:eastAsia="仿宋"/>
          <w:sz w:val="32"/>
          <w:szCs w:val="32"/>
        </w:rPr>
      </w:pPr>
    </w:p>
    <w:p>
      <w:pPr>
        <w:autoSpaceDE w:val="0"/>
        <w:autoSpaceDN w:val="0"/>
        <w:adjustRightInd w:val="0"/>
        <w:spacing w:line="560" w:lineRule="exact"/>
        <w:ind w:left="111" w:leftChars="53" w:firstLine="456" w:firstLineChars="142"/>
        <w:jc w:val="left"/>
        <w:rPr>
          <w:rFonts w:ascii="仿宋" w:hAnsi="仿宋" w:eastAsia="仿宋"/>
          <w:b/>
          <w:sz w:val="32"/>
          <w:szCs w:val="32"/>
        </w:rPr>
      </w:pPr>
      <w:r>
        <w:rPr>
          <w:rFonts w:hint="eastAsia" w:ascii="仿宋" w:hAnsi="仿宋" w:eastAsia="仿宋"/>
          <w:b/>
          <w:sz w:val="32"/>
          <w:szCs w:val="32"/>
        </w:rPr>
        <w:t>适用情形：</w:t>
      </w:r>
    </w:p>
    <w:p>
      <w:pPr>
        <w:autoSpaceDE w:val="0"/>
        <w:autoSpaceDN w:val="0"/>
        <w:adjustRightInd w:val="0"/>
        <w:spacing w:line="560" w:lineRule="exact"/>
        <w:ind w:left="111" w:leftChars="53" w:firstLine="454" w:firstLineChars="142"/>
        <w:jc w:val="left"/>
        <w:rPr>
          <w:rFonts w:ascii="仿宋" w:hAnsi="仿宋" w:eastAsia="仿宋"/>
          <w:sz w:val="32"/>
          <w:szCs w:val="32"/>
        </w:rPr>
      </w:pPr>
      <w:r>
        <w:rPr>
          <w:rFonts w:hint="eastAsia" w:ascii="仿宋" w:hAnsi="仿宋" w:eastAsia="仿宋"/>
          <w:sz w:val="32"/>
          <w:szCs w:val="32"/>
        </w:rPr>
        <w:t>本格式适用于上市公司股东公开征集表决权，上市公司董事会、独立董事、投资者保护机构公开征集股东会表决权的，参照本格式执行。</w:t>
      </w:r>
    </w:p>
    <w:p>
      <w:pPr>
        <w:autoSpaceDE w:val="0"/>
        <w:autoSpaceDN w:val="0"/>
        <w:adjustRightInd w:val="0"/>
        <w:spacing w:line="560" w:lineRule="exact"/>
        <w:ind w:left="111" w:leftChars="53" w:firstLine="454" w:firstLineChars="142"/>
        <w:jc w:val="center"/>
        <w:rPr>
          <w:rFonts w:ascii="仿宋" w:hAnsi="仿宋" w:eastAsia="仿宋"/>
          <w:sz w:val="32"/>
          <w:szCs w:val="32"/>
        </w:rPr>
      </w:pPr>
    </w:p>
    <w:p>
      <w:pPr>
        <w:autoSpaceDE w:val="0"/>
        <w:autoSpaceDN w:val="0"/>
        <w:adjustRightInd w:val="0"/>
        <w:spacing w:line="560" w:lineRule="exact"/>
        <w:ind w:left="111" w:leftChars="53" w:firstLine="454" w:firstLineChars="142"/>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rPr>
      </w:pPr>
      <w:r>
        <w:rPr>
          <w:rFonts w:hint="eastAsia" w:ascii="仿宋" w:hAnsi="仿宋" w:eastAsia="仿宋"/>
          <w:sz w:val="32"/>
          <w:szCs w:val="32"/>
        </w:rPr>
        <w:t>XXXXXX股份有限公司股东关于公开征集表决权的公告</w:t>
      </w:r>
    </w:p>
    <w:p>
      <w:pPr>
        <w:adjustRightInd w:val="0"/>
        <w:spacing w:line="560" w:lineRule="exact"/>
        <w:ind w:firstLine="562"/>
        <w:rPr>
          <w:rFonts w:ascii="仿宋" w:hAnsi="仿宋" w:eastAsia="仿宋" w:cs="宋体"/>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196850</wp:posOffset>
                </wp:positionV>
                <wp:extent cx="5943600" cy="1235075"/>
                <wp:effectExtent l="5080" t="5080" r="13970" b="17145"/>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5943600" cy="12350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5pt;margin-top:15.5pt;height:97.25pt;width:468pt;z-index:251661312;mso-width-relative:page;mso-height-relative:page;" fillcolor="#FFFFFF" filled="t" stroked="t" coordsize="21600,21600" o:gfxdata="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OYo5zZAAAACgEAAA8AAAAAAAAAAQAgAAAAIgAA&#10;AGRycy9kb3ducmV2LnhtbFBLAQIUABQAAAAIAIdO4kBsQSiMQAIAAIsEAAAOAAAAAAAAAAEAIAAA&#10;ACg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rPr>
      </w:pPr>
    </w:p>
    <w:p>
      <w:pPr>
        <w:adjustRightInd w:val="0"/>
        <w:spacing w:line="560" w:lineRule="exact"/>
        <w:ind w:firstLine="562"/>
        <w:rPr>
          <w:rFonts w:ascii="仿宋" w:hAnsi="仿宋" w:eastAsia="仿宋" w:cs="宋体"/>
          <w:kern w:val="0"/>
          <w:sz w:val="32"/>
          <w:szCs w:val="32"/>
        </w:rPr>
      </w:pPr>
    </w:p>
    <w:p>
      <w:pPr>
        <w:adjustRightInd w:val="0"/>
        <w:spacing w:line="560" w:lineRule="exact"/>
        <w:ind w:firstLine="562"/>
        <w:rPr>
          <w:rFonts w:ascii="仿宋" w:hAnsi="仿宋" w:eastAsia="仿宋"/>
          <w:b/>
          <w:sz w:val="32"/>
          <w:szCs w:val="32"/>
        </w:rPr>
      </w:pP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特别声明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本次征集表决权为依法公开征集，征集人 XXX 符合《证券法》第九十条、《上市公司股东会规则》</w:t>
      </w:r>
      <w:r>
        <w:rPr>
          <w:rFonts w:hint="eastAsia" w:ascii="仿宋" w:hAnsi="仿宋" w:eastAsia="仿宋"/>
          <w:sz w:val="32"/>
          <w:szCs w:val="32"/>
          <w:highlight w:val="none"/>
        </w:rPr>
        <w:t>第三十</w:t>
      </w:r>
      <w:r>
        <w:rPr>
          <w:rFonts w:hint="eastAsia" w:ascii="仿宋" w:hAnsi="仿宋" w:eastAsia="仿宋"/>
          <w:sz w:val="32"/>
          <w:szCs w:val="32"/>
          <w:highlight w:val="none"/>
          <w:lang w:eastAsia="zh-CN"/>
        </w:rPr>
        <w:t>二</w:t>
      </w:r>
      <w:r>
        <w:rPr>
          <w:rFonts w:hint="eastAsia" w:ascii="仿宋" w:hAnsi="仿宋" w:eastAsia="仿宋"/>
          <w:sz w:val="32"/>
          <w:szCs w:val="32"/>
          <w:highlight w:val="none"/>
        </w:rPr>
        <w:t>条、</w:t>
      </w:r>
      <w:r>
        <w:rPr>
          <w:rFonts w:hint="eastAsia" w:ascii="仿宋" w:hAnsi="仿宋" w:eastAsia="仿宋"/>
          <w:sz w:val="32"/>
          <w:szCs w:val="32"/>
        </w:rPr>
        <w:t>《公开征集上市公司股东权利管理暂行规定》第三条规定的征集条件；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征集人承诺，自征集日至审议征集议案的股东会决议公告前不转让所持股份。</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一、征集人的基本情况</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2．征集人与上市公司董事、高级管理人员、持股5%以上股东、实际控制人及其关联人之间是否存在关联关系，征集人与征集表决权涉及的提案之间是否存在利害关系。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二、征集表决权的具体事项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1．征集表决权涉及的股东会届次和提案名称，并索引召集人已发出的股东会通知公告。</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仅就股东会部分提案提出投票意见的，应当在公告中明确，同时征求股东对于其他提案的投票意见，并将按被征集人的意见代为表决。</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2．征集主张，包括征集人的投票意向及理由，包括但不限于对上市公司的影响。征集人应当声明，不接受与其投票意见不一致的委托。</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对累积投票提案进行征集表决权的，征集人应当将自己所持有的全部票数表明投票意向，计算累积投票中不同子提案的投票比例。被征集股东应当按照征集人对子提案的投票比例进行委托投票。</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3．征集方案，包括征集期限、征集表决权的确权日、征集方式、征集程序和步骤、股东需提交的授权委托书（具体格式详见附件）等材料和递交方式等。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4．征集对象为，截至XXXX年XX月XX日（本次股东会股权登记日）下午收市后，在中国证券登记结算有限责任公司深圳分公司登记在册并办理出席会议登记手续的公司全体股东。</w:t>
      </w:r>
    </w:p>
    <w:p>
      <w:pPr>
        <w:autoSpaceDE w:val="0"/>
        <w:autoSpaceDN w:val="0"/>
        <w:adjustRightInd w:val="0"/>
        <w:spacing w:line="560" w:lineRule="exact"/>
        <w:ind w:right="-58" w:firstLine="480"/>
        <w:rPr>
          <w:rFonts w:ascii="仿宋" w:hAnsi="仿宋" w:eastAsia="仿宋"/>
          <w:b/>
          <w:sz w:val="32"/>
          <w:szCs w:val="32"/>
        </w:rPr>
      </w:pPr>
    </w:p>
    <w:p>
      <w:pPr>
        <w:spacing w:line="560" w:lineRule="exact"/>
        <w:ind w:left="4111" w:right="226" w:firstLine="284"/>
        <w:jc w:val="center"/>
        <w:rPr>
          <w:rFonts w:ascii="仿宋" w:hAnsi="仿宋" w:eastAsia="仿宋"/>
          <w:sz w:val="32"/>
          <w:szCs w:val="32"/>
        </w:rPr>
      </w:pPr>
      <w:r>
        <w:rPr>
          <w:rFonts w:hint="eastAsia" w:ascii="仿宋" w:hAnsi="仿宋" w:eastAsia="仿宋"/>
          <w:sz w:val="32"/>
          <w:szCs w:val="32"/>
        </w:rPr>
        <w:t>征集人姓名或名称</w:t>
      </w:r>
    </w:p>
    <w:p>
      <w:pPr>
        <w:spacing w:line="560" w:lineRule="exact"/>
        <w:ind w:left="4675" w:right="1440" w:firstLine="560"/>
        <w:jc w:val="right"/>
        <w:rPr>
          <w:rFonts w:ascii="仿宋" w:hAnsi="仿宋" w:eastAsia="仿宋"/>
          <w:sz w:val="32"/>
          <w:szCs w:val="32"/>
        </w:rPr>
      </w:pPr>
      <w:r>
        <w:rPr>
          <w:rFonts w:hint="eastAsia" w:ascii="仿宋" w:hAnsi="仿宋" w:eastAsia="仿宋"/>
          <w:sz w:val="32"/>
          <w:szCs w:val="32"/>
        </w:rPr>
        <w:t>年  月  日</w:t>
      </w:r>
    </w:p>
    <w:p>
      <w:pPr>
        <w:widowControl/>
        <w:spacing w:beforeAutospacing="1" w:afterAutospacing="1"/>
        <w:jc w:val="left"/>
        <w:rPr>
          <w:rFonts w:ascii="黑体" w:hAnsi="黑体" w:eastAsia="黑体"/>
          <w:sz w:val="32"/>
          <w:szCs w:val="32"/>
        </w:rPr>
      </w:pPr>
      <w:r>
        <w:rPr>
          <w:rFonts w:hint="eastAsia" w:ascii="仿宋" w:hAnsi="仿宋" w:eastAsia="仿宋"/>
          <w:sz w:val="32"/>
          <w:szCs w:val="32"/>
        </w:rPr>
        <w:br w:type="page"/>
      </w:r>
      <w:r>
        <w:rPr>
          <w:rFonts w:hint="eastAsia" w:ascii="黑体" w:hAnsi="黑体" w:eastAsia="黑体"/>
          <w:sz w:val="32"/>
          <w:szCs w:val="32"/>
        </w:rPr>
        <w:t>附件：</w:t>
      </w:r>
    </w:p>
    <w:p>
      <w:pPr>
        <w:spacing w:line="560" w:lineRule="exact"/>
        <w:ind w:firstLine="880" w:firstLineChars="200"/>
        <w:jc w:val="center"/>
        <w:rPr>
          <w:rFonts w:eastAsia="方正小标宋简体"/>
          <w:bCs/>
          <w:sz w:val="44"/>
          <w:szCs w:val="44"/>
        </w:rPr>
      </w:pPr>
      <w:r>
        <w:rPr>
          <w:rFonts w:hint="eastAsia" w:eastAsia="方正小标宋简体"/>
          <w:bCs/>
          <w:sz w:val="44"/>
          <w:szCs w:val="44"/>
        </w:rPr>
        <w:t>征集表决权授权委托书</w:t>
      </w:r>
    </w:p>
    <w:p>
      <w:pPr>
        <w:spacing w:line="560" w:lineRule="exact"/>
        <w:ind w:firstLine="643" w:firstLineChars="200"/>
        <w:rPr>
          <w:rFonts w:ascii="仿宋" w:hAnsi="仿宋" w:eastAsia="仿宋"/>
          <w:b/>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授权委托的事项和权限，就XX公司XX次股东会（明确届次）的XX提案（明确提案名称、提案代码），委托人将所持XX公司全部股份对应的表决权委托给受托人行使，明确委托人的投票意见，是否与受托人已披露的投票意见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对累积投票提案进行征集表决权的，受托人应当将自己所持有的全部票数表明投票意向，计算累积投票中不同子提案的投票比例。委托人应当按照受托人对子提案的投票比例进行委托投票。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受托人仅就股东会部分提案征集表决权的，委托人应当同时明确对其他提案的投票意见，受托人应当按委托人的意见代为表决。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委托人委托表决权的股份数量以XX次股东会的股权登记日即XX年XX月XX日持有的股票数量为准（应与股东会通知公告中披露的股权登记日一致）。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授权委托书签署日期和有效期限，授权委托期至本次（明确届次）股东会开会日即XX年XX月XX日为限。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于受托人代为行使表决权之前撤销委托的，撤销后受托人不得代为行使表决权。委托人未在受托人代为行使表决权之前撤销委托但出席股东会并在受托人代为行使表决权之前自主行使表决权的，视为已撤销表决权委托授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委托人签名（或盖章）；委托人为法人的，应当加盖单位印章。</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spacing w:line="560" w:lineRule="exact"/>
        <w:rPr>
          <w:rFonts w:ascii="仿宋" w:hAnsi="仿宋" w:eastAsia="仿宋"/>
          <w:sz w:val="32"/>
          <w:szCs w:val="32"/>
        </w:rPr>
      </w:pPr>
    </w:p>
    <w:p>
      <w:pPr>
        <w:widowControl/>
        <w:spacing w:beforeAutospacing="1" w:afterAutospacing="1"/>
        <w:jc w:val="left"/>
        <w:rPr>
          <w:rFonts w:ascii="仿宋" w:hAnsi="仿宋" w:eastAsia="仿宋"/>
          <w:sz w:val="32"/>
          <w:szCs w:val="32"/>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rPr>
      </w:pPr>
      <w:bookmarkStart w:id="141" w:name="_Toc14864"/>
      <w:bookmarkStart w:id="142" w:name="_Toc25031"/>
      <w:bookmarkStart w:id="143" w:name="_Toc164973742"/>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8</w:t>
      </w:r>
      <w:r>
        <w:rPr>
          <w:rFonts w:hint="eastAsia" w:ascii="方正小标宋简体" w:hAnsi="仿宋" w:eastAsia="方正小标宋简体"/>
          <w:kern w:val="44"/>
          <w:sz w:val="44"/>
          <w:szCs w:val="44"/>
        </w:rPr>
        <w:t>号 上市公司股东征集提案权公告格式</w:t>
      </w:r>
      <w:bookmarkEnd w:id="141"/>
      <w:bookmarkEnd w:id="142"/>
      <w:bookmarkEnd w:id="143"/>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ind w:left="685" w:leftChars="273" w:hanging="112" w:hangingChars="35"/>
        <w:jc w:val="left"/>
        <w:rPr>
          <w:rFonts w:ascii="仿宋" w:hAnsi="仿宋" w:eastAsia="仿宋"/>
          <w:b/>
          <w:sz w:val="32"/>
          <w:szCs w:val="32"/>
        </w:rPr>
      </w:pPr>
      <w:r>
        <w:rPr>
          <w:rFonts w:hint="eastAsia" w:ascii="仿宋" w:hAnsi="仿宋" w:eastAsia="仿宋"/>
          <w:b/>
          <w:sz w:val="32"/>
          <w:szCs w:val="32"/>
        </w:rPr>
        <w:t>适用情形：</w:t>
      </w:r>
    </w:p>
    <w:p>
      <w:pPr>
        <w:autoSpaceDE w:val="0"/>
        <w:autoSpaceDN w:val="0"/>
        <w:adjustRightInd w:val="0"/>
        <w:spacing w:line="560" w:lineRule="exact"/>
        <w:ind w:left="111" w:leftChars="53" w:firstLine="454" w:firstLineChars="142"/>
        <w:jc w:val="left"/>
        <w:rPr>
          <w:rFonts w:ascii="仿宋" w:hAnsi="仿宋" w:eastAsia="仿宋"/>
          <w:sz w:val="32"/>
          <w:szCs w:val="32"/>
        </w:rPr>
      </w:pPr>
      <w:r>
        <w:rPr>
          <w:rFonts w:hint="eastAsia" w:ascii="仿宋" w:hAnsi="仿宋" w:eastAsia="仿宋"/>
          <w:sz w:val="32"/>
          <w:szCs w:val="32"/>
        </w:rPr>
        <w:t>本格式适用于上市公司股东公开征集提案权，上市公司董事会、独立董事、投资者保护机构公开征集提案权的，参照本格式执行。</w:t>
      </w:r>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ind w:left="685" w:leftChars="273" w:hanging="112" w:hangingChars="35"/>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firstLine="700"/>
        <w:jc w:val="center"/>
        <w:rPr>
          <w:rFonts w:ascii="仿宋" w:hAnsi="仿宋" w:eastAsia="仿宋"/>
          <w:sz w:val="32"/>
          <w:szCs w:val="32"/>
        </w:rPr>
      </w:pPr>
      <w:r>
        <w:rPr>
          <w:rFonts w:hint="eastAsia" w:ascii="仿宋" w:hAnsi="仿宋" w:eastAsia="仿宋"/>
          <w:sz w:val="32"/>
          <w:szCs w:val="32"/>
        </w:rPr>
        <w:t>XXXXXX股份有限公司股东关于公开征集提案权的公告</w:t>
      </w:r>
    </w:p>
    <w:p>
      <w:pPr>
        <w:autoSpaceDE w:val="0"/>
        <w:autoSpaceDN w:val="0"/>
        <w:adjustRightInd w:val="0"/>
        <w:spacing w:line="560" w:lineRule="exact"/>
        <w:ind w:right="360" w:firstLine="700"/>
        <w:jc w:val="center"/>
        <w:rPr>
          <w:rFonts w:ascii="仿宋" w:hAnsi="仿宋" w:eastAsia="仿宋"/>
          <w:sz w:val="32"/>
          <w:szCs w:val="32"/>
        </w:rPr>
      </w:pPr>
      <w: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171450</wp:posOffset>
                </wp:positionV>
                <wp:extent cx="5943600" cy="1235075"/>
                <wp:effectExtent l="5080" t="5080" r="13970" b="1714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5943600" cy="12350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13.5pt;height:97.25pt;width:468pt;z-index:251662336;mso-width-relative:page;mso-height-relative:page;" fillcolor="#FFFFFF" filled="t" stroked="t" coordsize="21600,21600" o:gfxdata="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h1U1a1wAAAAoBAAAPAAAAAAAAAAEAIAAAACIAAABk&#10;cnMvZG93bnJldi54bWxQSwECFAAUAAAACACHTuJA7EB2d0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utoSpaceDE w:val="0"/>
        <w:autoSpaceDN w:val="0"/>
        <w:adjustRightInd w:val="0"/>
        <w:spacing w:line="560" w:lineRule="exact"/>
        <w:ind w:right="360" w:firstLine="700"/>
        <w:jc w:val="center"/>
        <w:rPr>
          <w:rFonts w:ascii="仿宋" w:hAnsi="仿宋" w:eastAsia="仿宋"/>
          <w:sz w:val="32"/>
          <w:szCs w:val="32"/>
        </w:rPr>
      </w:pPr>
    </w:p>
    <w:p>
      <w:pPr>
        <w:autoSpaceDE w:val="0"/>
        <w:autoSpaceDN w:val="0"/>
        <w:adjustRightInd w:val="0"/>
        <w:spacing w:line="560" w:lineRule="exact"/>
        <w:ind w:right="360" w:firstLine="700"/>
        <w:jc w:val="center"/>
        <w:rPr>
          <w:rFonts w:ascii="仿宋" w:hAnsi="仿宋" w:eastAsia="仿宋"/>
          <w:sz w:val="32"/>
          <w:szCs w:val="32"/>
        </w:rPr>
      </w:pPr>
    </w:p>
    <w:p>
      <w:pPr>
        <w:autoSpaceDE w:val="0"/>
        <w:autoSpaceDN w:val="0"/>
        <w:adjustRightInd w:val="0"/>
        <w:spacing w:line="560" w:lineRule="exact"/>
        <w:ind w:firstLine="562"/>
        <w:rPr>
          <w:rFonts w:ascii="仿宋" w:hAnsi="仿宋" w:eastAsia="仿宋"/>
          <w:b/>
          <w:sz w:val="32"/>
          <w:szCs w:val="32"/>
        </w:rPr>
      </w:pP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特别声明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本次征集提案权为依法公开征集，征集人 XXX 符合《证券法》第九十条、《公开征集上市公司股东权利管理暂行规定》第三条规定的征集条件；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征集人承诺，自征集日至审议征集议案的股东会决议公告前不转让所持股份。</w:t>
      </w:r>
    </w:p>
    <w:p>
      <w:pPr>
        <w:autoSpaceDE w:val="0"/>
        <w:autoSpaceDN w:val="0"/>
        <w:adjustRightInd w:val="0"/>
        <w:spacing w:line="560" w:lineRule="exact"/>
        <w:ind w:right="-58" w:firstLine="640" w:firstLineChars="200"/>
        <w:rPr>
          <w:rFonts w:ascii="仿宋" w:hAnsi="仿宋" w:eastAsia="仿宋"/>
          <w:b/>
          <w:sz w:val="32"/>
          <w:szCs w:val="32"/>
        </w:rPr>
      </w:pPr>
      <w:r>
        <w:rPr>
          <w:rFonts w:hint="eastAsia" w:ascii="仿宋" w:hAnsi="仿宋" w:eastAsia="仿宋"/>
          <w:sz w:val="32"/>
          <w:szCs w:val="32"/>
        </w:rPr>
        <w:t>3. 本次征集提案权涉及的提案内容属于股东会职权范围，符合法律法规、本所业务规则和公司章程的有关规定，本次提案内容有明确的议题和具体决议事项。</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一、征集人的基本情况</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2．征集人与上市公司董事、高级管理人员、持股5%以上股东、实际控制人及其关联人之间是否存在关联关系，征集人与征集提案权涉及的提案之间是否存在利害关系。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二、征集提案权的具体事项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1．征集主张，提案名称和提案内容，并提供股东对拟讨论的事项作出合理决策所需的全部资料或解释。</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提案内容涉及应披露事项时，应当按照相关规则、指引和公告格式披露事项的具体内容。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征集理由，说明提案涉及的事项可能对上市公司产生的影响。</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公司已经披露股东会通知的，索引召集人已发出的股东会通知公告，并作出以下提示：如征集结果满足行使提案权的持股比例要求，相关提案将在不晚于股东会召开前10日以临时提案的形式书面提交股东会审议。</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公司尚未披露股东会通知的，应作出以下提示：如征集结果满足行使提案权的持股比例要求，相关提案将提交XX公司最近一次股东会审议，具体以股东会通知公告为准。</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4．征集方案，包括征集期限、征集提案权的确权日、征集提案权结束日、征集方式、征集程序和步骤、股东需提交的授权委托书（具体格式详见附件）等材料和递交方式等。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征集提案权的确权日和结束日应当具体到XX年XX月XX日。确权日应当为股东会通知披露日，结束日应当为股东会召开前10日。公司尚未发出股东会通知的，确权日为最近一期股东会通知披露日，结束日应当为最近一期股东会召开前10日。</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5．征集对象为，截至最近一期股东会通知发出日，在中国证券登记结算有限责任公司深圳分公司登记在册的公司全体股东。</w:t>
      </w:r>
    </w:p>
    <w:p>
      <w:pPr>
        <w:autoSpaceDE w:val="0"/>
        <w:autoSpaceDN w:val="0"/>
        <w:adjustRightInd w:val="0"/>
        <w:spacing w:line="560" w:lineRule="exact"/>
        <w:ind w:right="-58" w:firstLine="480"/>
        <w:rPr>
          <w:rFonts w:ascii="仿宋" w:hAnsi="仿宋" w:eastAsia="仿宋"/>
          <w:b/>
          <w:sz w:val="32"/>
          <w:szCs w:val="32"/>
        </w:rPr>
      </w:pPr>
    </w:p>
    <w:p>
      <w:pPr>
        <w:spacing w:line="560" w:lineRule="exact"/>
        <w:ind w:left="4111" w:right="226" w:firstLine="284"/>
        <w:jc w:val="center"/>
        <w:rPr>
          <w:rFonts w:ascii="仿宋" w:hAnsi="仿宋" w:eastAsia="仿宋"/>
          <w:sz w:val="32"/>
          <w:szCs w:val="32"/>
        </w:rPr>
      </w:pPr>
      <w:r>
        <w:rPr>
          <w:rFonts w:hint="eastAsia" w:ascii="仿宋" w:hAnsi="仿宋" w:eastAsia="仿宋"/>
          <w:sz w:val="32"/>
          <w:szCs w:val="32"/>
        </w:rPr>
        <w:t>征集人姓名或名称</w:t>
      </w:r>
    </w:p>
    <w:p>
      <w:pPr>
        <w:spacing w:line="560" w:lineRule="exact"/>
        <w:ind w:left="4675" w:right="1440" w:firstLine="560"/>
        <w:jc w:val="right"/>
        <w:rPr>
          <w:rFonts w:ascii="仿宋" w:hAnsi="仿宋" w:eastAsia="仿宋"/>
          <w:sz w:val="32"/>
          <w:szCs w:val="32"/>
        </w:rPr>
      </w:pPr>
      <w:r>
        <w:rPr>
          <w:rFonts w:hint="eastAsia" w:ascii="仿宋" w:hAnsi="仿宋" w:eastAsia="仿宋"/>
          <w:sz w:val="32"/>
          <w:szCs w:val="32"/>
        </w:rPr>
        <w:t>年  月  日</w:t>
      </w:r>
    </w:p>
    <w:p>
      <w:pPr>
        <w:widowControl/>
        <w:jc w:val="left"/>
        <w:rPr>
          <w:rFonts w:ascii="黑体" w:hAnsi="黑体" w:eastAsia="黑体"/>
          <w:sz w:val="32"/>
          <w:szCs w:val="32"/>
        </w:rPr>
      </w:pPr>
      <w:r>
        <w:rPr>
          <w:rFonts w:hint="eastAsia" w:ascii="仿宋" w:hAnsi="仿宋" w:eastAsia="仿宋"/>
          <w:sz w:val="32"/>
          <w:szCs w:val="32"/>
        </w:rPr>
        <w:br w:type="page"/>
      </w:r>
      <w:r>
        <w:rPr>
          <w:rFonts w:hint="eastAsia" w:ascii="黑体" w:hAnsi="黑体" w:eastAsia="黑体"/>
          <w:sz w:val="32"/>
          <w:szCs w:val="32"/>
        </w:rPr>
        <w:t>附件</w:t>
      </w:r>
    </w:p>
    <w:p>
      <w:pPr>
        <w:spacing w:line="560" w:lineRule="exact"/>
        <w:jc w:val="center"/>
        <w:rPr>
          <w:rFonts w:eastAsia="方正小标宋简体"/>
          <w:bCs/>
          <w:sz w:val="44"/>
          <w:szCs w:val="44"/>
        </w:rPr>
      </w:pPr>
      <w:r>
        <w:rPr>
          <w:rFonts w:hint="eastAsia" w:eastAsia="方正小标宋简体"/>
          <w:bCs/>
          <w:sz w:val="44"/>
          <w:szCs w:val="44"/>
        </w:rPr>
        <w:t>征集提案权授权委托书</w:t>
      </w:r>
    </w:p>
    <w:p>
      <w:pPr>
        <w:spacing w:line="560" w:lineRule="exact"/>
        <w:ind w:firstLine="643" w:firstLineChars="200"/>
        <w:rPr>
          <w:rFonts w:ascii="仿宋" w:hAnsi="仿宋" w:eastAsia="仿宋"/>
          <w:b/>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3．授权委托的事项和权限，就XX公司XX次股东会（明确届次，如适用）的XX提案（明确提案名称、提案编码），委托人将所持XX公司全部股份对应的提案权委托给受托人行使。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委托人委托提案权的股份数量以XX次股东会通知披露日的持股数量为准，尚未发出股东会通知的，以下一次股东会通知的披露日为准。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4．授权委托书签署日期和有效期限，授权委托期至XX公司最近一期股东会开会日为限。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委托人撤销提案权授权委托的，应当在确权日前书面通知受托人。</w:t>
      </w:r>
    </w:p>
    <w:p>
      <w:pPr>
        <w:spacing w:line="560" w:lineRule="exact"/>
        <w:ind w:firstLine="640" w:firstLineChars="200"/>
        <w:jc w:val="left"/>
        <w:rPr>
          <w:rFonts w:ascii="仿宋" w:hAnsi="仿宋" w:eastAsia="仿宋"/>
          <w:sz w:val="32"/>
          <w:szCs w:val="32"/>
        </w:rPr>
        <w:sectPr>
          <w:footerReference r:id="rId6" w:type="default"/>
          <w:footerReference r:id="rId7" w:type="even"/>
          <w:pgSz w:w="11906" w:h="16838"/>
          <w:pgMar w:top="1440" w:right="1797" w:bottom="1440" w:left="1797" w:header="851" w:footer="992" w:gutter="0"/>
          <w:cols w:space="720" w:num="1"/>
          <w:formProt w:val="1"/>
          <w:docGrid w:linePitch="312" w:charSpace="0"/>
        </w:sectPr>
      </w:pPr>
      <w:r>
        <w:rPr>
          <w:rFonts w:hint="eastAsia" w:ascii="仿宋" w:hAnsi="仿宋" w:eastAsia="仿宋"/>
          <w:sz w:val="32"/>
          <w:szCs w:val="32"/>
        </w:rPr>
        <w:t>5．委托人签名（或盖章）；委托人为法人的，应当加盖单位印章。</w:t>
      </w:r>
      <w:bookmarkStart w:id="144" w:name="_Toc164973743"/>
    </w:p>
    <w:p>
      <w:pPr>
        <w:spacing w:line="560" w:lineRule="exact"/>
        <w:ind w:firstLine="0" w:firstLineChars="0"/>
        <w:jc w:val="center"/>
        <w:outlineLvl w:val="2"/>
        <w:rPr>
          <w:rFonts w:ascii="方正小标宋简体" w:hAnsi="仿宋" w:eastAsia="方正小标宋简体"/>
          <w:kern w:val="44"/>
          <w:sz w:val="44"/>
          <w:szCs w:val="44"/>
        </w:rPr>
      </w:pPr>
      <w:bookmarkStart w:id="145" w:name="_Toc28680"/>
      <w:bookmarkStart w:id="146" w:name="_Toc22268"/>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49</w:t>
      </w:r>
      <w:r>
        <w:rPr>
          <w:rFonts w:hint="eastAsia" w:ascii="方正小标宋简体" w:hAnsi="仿宋" w:eastAsia="方正小标宋简体"/>
          <w:kern w:val="44"/>
          <w:sz w:val="44"/>
          <w:szCs w:val="44"/>
        </w:rPr>
        <w:t>号 上市公司证券投资、委托理财公告格式</w:t>
      </w:r>
      <w:bookmarkEnd w:id="144"/>
      <w:bookmarkEnd w:id="145"/>
      <w:bookmarkEnd w:id="146"/>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上市公司进行证券投资、委托理财触及本所《创业板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上市规则》等规定的信息披露义务的，适用本公告格式。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XXXXXX股份有限公司证券投资/委托理财公告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677696" behindDoc="0" locked="0" layoutInCell="1" allowOverlap="1">
                <wp:simplePos x="0" y="0"/>
                <wp:positionH relativeFrom="column">
                  <wp:posOffset>-314325</wp:posOffset>
                </wp:positionH>
                <wp:positionV relativeFrom="paragraph">
                  <wp:posOffset>33020</wp:posOffset>
                </wp:positionV>
                <wp:extent cx="6096000" cy="1581150"/>
                <wp:effectExtent l="4445" t="4445" r="14605" b="1460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6096000" cy="1581150"/>
                        </a:xfrm>
                        <a:prstGeom prst="rect">
                          <a:avLst/>
                        </a:prstGeom>
                        <a:solidFill>
                          <a:srgbClr val="FFFFFF"/>
                        </a:solidFill>
                        <a:ln w="9525">
                          <a:solidFill>
                            <a:srgbClr val="000000"/>
                          </a:solidFill>
                          <a:miter lim="800000"/>
                        </a:ln>
                        <a:effectLst/>
                      </wps:spPr>
                      <wps:txbx>
                        <w:txbxContent>
                          <w:p>
                            <w:pPr>
                              <w:spacing w:line="440" w:lineRule="exact"/>
                              <w:ind w:firstLine="560" w:firstLineChars="175"/>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p>
                            <w:pPr>
                              <w:snapToGrid w:val="0"/>
                              <w:spacing w:line="480" w:lineRule="exact"/>
                              <w:ind w:firstLine="540"/>
                              <w:jc w:val="left"/>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pt;margin-top:2.6pt;height:124.5pt;width:480pt;z-index:251677696;mso-width-relative:page;mso-height-relative:page;" fillcolor="#FFFFFF" filled="t" stroked="t" coordsize="21600,21600" o:gfxdata="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Px0Kq1wAAAAkBAAAPAAAAAAAAAAEAIAAAACIA&#10;AABkcnMvZG93bnJldi54bWxQSwECFAAUAAAACACHTuJAo2vVqE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560" w:firstLineChars="175"/>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p>
                      <w:pPr>
                        <w:snapToGrid w:val="0"/>
                        <w:spacing w:line="480" w:lineRule="exact"/>
                        <w:ind w:firstLine="540"/>
                        <w:jc w:val="left"/>
                        <w:rPr>
                          <w:rFonts w:ascii="仿宋" w:hAnsi="仿宋" w:eastAsia="仿宋"/>
                          <w:sz w:val="32"/>
                          <w:szCs w:val="32"/>
                        </w:rPr>
                      </w:pP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投资种类。</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投资金额。</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特别风险提示。</w:t>
      </w:r>
    </w:p>
    <w:p>
      <w:pPr>
        <w:autoSpaceDE w:val="0"/>
        <w:autoSpaceDN w:val="0"/>
        <w:adjustRightInd w:val="0"/>
        <w:spacing w:line="560" w:lineRule="exact"/>
        <w:ind w:left="920" w:firstLine="640" w:firstLineChars="200"/>
        <w:rPr>
          <w:rFonts w:ascii="仿宋" w:hAnsi="仿宋" w:eastAsia="仿宋"/>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一、投资情况概述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投资目的：简述本次证券投资/委托理财的目的及必要性，说明投资是否影响公司主营业务的发展，公司资金使用安排是否合理等情况。</w:t>
      </w:r>
    </w:p>
    <w:p>
      <w:pPr>
        <w:pStyle w:val="55"/>
        <w:numPr>
          <w:ilvl w:val="0"/>
          <w:numId w:val="7"/>
        </w:numPr>
        <w:spacing w:line="560" w:lineRule="exact"/>
        <w:ind w:firstLineChars="0"/>
        <w:rPr>
          <w:rFonts w:ascii="仿宋" w:hAnsi="仿宋" w:eastAsia="仿宋" w:cs="宋体"/>
          <w:kern w:val="0"/>
          <w:sz w:val="32"/>
          <w:szCs w:val="32"/>
        </w:rPr>
      </w:pPr>
      <w:r>
        <w:rPr>
          <w:rFonts w:hint="eastAsia" w:ascii="仿宋" w:hAnsi="仿宋" w:eastAsia="仿宋" w:cs="宋体"/>
          <w:kern w:val="0"/>
          <w:sz w:val="32"/>
          <w:szCs w:val="32"/>
        </w:rPr>
        <w:t>投资金额：说明本次投资总金额。</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如公司以额度金额在规定期限内进行投资的，期限内任一时点的交易金额（含前述投资的收益进行再投资的相关金额）不应超过投资额度。</w:t>
      </w:r>
    </w:p>
    <w:p>
      <w:pPr>
        <w:spacing w:line="560" w:lineRule="exact"/>
        <w:ind w:firstLine="640"/>
        <w:rPr>
          <w:rFonts w:ascii="仿宋" w:hAnsi="仿宋" w:eastAsia="仿宋" w:cs="宋体"/>
          <w:kern w:val="0"/>
          <w:sz w:val="32"/>
          <w:szCs w:val="32"/>
        </w:rPr>
      </w:pPr>
      <w:r>
        <w:rPr>
          <w:rFonts w:hint="eastAsia" w:ascii="仿宋" w:hAnsi="仿宋" w:eastAsia="仿宋" w:cs="宋体"/>
          <w:kern w:val="0"/>
          <w:sz w:val="32"/>
          <w:szCs w:val="32"/>
        </w:rPr>
        <w:t>3. 投资方式：说明拟采取的具体投资方式、投资品种、风险等级等情况。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投资期限：说明本次授权在投资额度范围内进行证券投资/委托理财的期限。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 资金来源：说明公司本次用于投资的资金来源，有无涉及使用募集资金或银行信贷资金。</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说明本次投资需要履行的程序；涉及关联投资的，说明是否需要履行或者已履行了关联交易表决程序，以及相关的表决情况等。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三、投资风险分析及风控措施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评估本次投资的风险，说明公司关于证券投资/委托理财的人员配备、账户及资金管理制度、决策程序、报告制度、内部控制及风险监控管理措施等方面的情况。</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四、投资对公司的影响</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说明本次投资对公司可能带来的影响，公司拟采用的会计政策及核算原则。</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五、中介机构意见（如适用）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保荐人应就公司证券投资/委托理财的合规性、对公司的影响、可能存在的风险、公司采取的风险控制措施是否充分有效等事项进行核查，并出具结论性意见（如适用）。</w:t>
      </w:r>
    </w:p>
    <w:p>
      <w:pPr>
        <w:spacing w:line="560" w:lineRule="exact"/>
        <w:ind w:firstLine="640" w:firstLineChars="200"/>
        <w:rPr>
          <w:rFonts w:ascii="仿宋" w:hAnsi="仿宋" w:eastAsia="仿宋" w:cs="宋体"/>
          <w:kern w:val="0"/>
          <w:sz w:val="32"/>
          <w:szCs w:val="32"/>
        </w:rPr>
      </w:pP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备注：</w:t>
      </w:r>
    </w:p>
    <w:p>
      <w:pPr>
        <w:spacing w:line="560" w:lineRule="exact"/>
        <w:ind w:firstLine="656" w:firstLineChars="205"/>
        <w:rPr>
          <w:rFonts w:hint="eastAsia" w:ascii="仿宋" w:hAnsi="仿宋" w:eastAsia="仿宋" w:cs="宋体"/>
          <w:kern w:val="0"/>
          <w:sz w:val="32"/>
          <w:szCs w:val="32"/>
        </w:rPr>
      </w:pPr>
      <w:r>
        <w:rPr>
          <w:rFonts w:hint="eastAsia" w:ascii="仿宋" w:hAnsi="仿宋" w:eastAsia="仿宋" w:cs="宋体"/>
          <w:kern w:val="0"/>
          <w:sz w:val="32"/>
          <w:szCs w:val="32"/>
        </w:rPr>
        <w:t>上市公司关于证券投资、委托理财公告首次披露后，后续如出现本所《上市公司自律监管指引第7号——交易与关联交易》等规定情形的，应当及时披露相关情况、拟采取的应对措施（如适用）。</w:t>
      </w:r>
    </w:p>
    <w:p>
      <w:pPr>
        <w:pStyle w:val="2"/>
        <w:rPr>
          <w:rFonts w:hint="eastAsia" w:ascii="仿宋" w:hAnsi="仿宋" w:eastAsia="仿宋" w:cs="宋体"/>
          <w:kern w:val="0"/>
          <w:sz w:val="32"/>
          <w:szCs w:val="32"/>
        </w:rPr>
      </w:pPr>
    </w:p>
    <w:p>
      <w:pPr>
        <w:spacing w:line="560" w:lineRule="exact"/>
        <w:ind w:firstLine="659" w:firstLineChars="205"/>
        <w:rPr>
          <w:rFonts w:hint="eastAsia" w:ascii="仿宋" w:hAnsi="仿宋" w:eastAsia="仿宋" w:cs="宋体"/>
          <w:b w:val="0"/>
          <w:kern w:val="0"/>
          <w:sz w:val="32"/>
          <w:szCs w:val="32"/>
          <w:highlight w:val="none"/>
        </w:rPr>
      </w:pPr>
      <w:r>
        <w:rPr>
          <w:rFonts w:hint="eastAsia" w:ascii="仿宋" w:hAnsi="仿宋" w:eastAsia="仿宋" w:cs="宋体"/>
          <w:b/>
          <w:bCs/>
          <w:kern w:val="0"/>
          <w:sz w:val="32"/>
          <w:szCs w:val="32"/>
          <w:highlight w:val="none"/>
        </w:rPr>
        <w:t>备查文件</w:t>
      </w:r>
    </w:p>
    <w:p>
      <w:pPr>
        <w:spacing w:line="560" w:lineRule="exact"/>
        <w:ind w:firstLine="656" w:firstLineChars="205"/>
        <w:rPr>
          <w:rFonts w:hint="eastAsia" w:ascii="仿宋" w:hAnsi="仿宋" w:eastAsia="仿宋" w:cs="宋体"/>
          <w:kern w:val="0"/>
          <w:sz w:val="32"/>
          <w:szCs w:val="32"/>
        </w:rPr>
      </w:pPr>
      <w:r>
        <w:rPr>
          <w:rFonts w:hint="eastAsia" w:ascii="仿宋" w:hAnsi="仿宋" w:eastAsia="仿宋" w:cs="宋体"/>
          <w:kern w:val="0"/>
          <w:sz w:val="32"/>
          <w:szCs w:val="32"/>
          <w:highlight w:val="none"/>
        </w:rPr>
        <w:t>保荐人意见（如适用）。</w:t>
      </w:r>
    </w:p>
    <w:p>
      <w:pPr>
        <w:keepNext/>
        <w:keepLines/>
        <w:spacing w:before="340" w:line="560" w:lineRule="exact"/>
        <w:jc w:val="center"/>
        <w:outlineLvl w:val="2"/>
        <w:rPr>
          <w:rFonts w:ascii="方正小标宋简体" w:hAnsi="仿宋" w:eastAsia="方正小标宋简体"/>
          <w:kern w:val="44"/>
          <w:sz w:val="44"/>
          <w:szCs w:val="44"/>
        </w:rPr>
      </w:pPr>
      <w:r>
        <w:rPr>
          <w:rFonts w:hint="eastAsia" w:ascii="仿宋" w:hAnsi="仿宋" w:eastAsia="仿宋" w:cs="宋体"/>
          <w:kern w:val="0"/>
          <w:sz w:val="32"/>
          <w:szCs w:val="32"/>
        </w:rPr>
        <w:br w:type="page"/>
      </w:r>
      <w:bookmarkStart w:id="147" w:name="_Toc4326"/>
      <w:bookmarkStart w:id="148" w:name="_Toc164973744"/>
      <w:bookmarkStart w:id="149" w:name="_Toc14895"/>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上市公司会计政策变更公告格式</w:t>
      </w:r>
      <w:bookmarkEnd w:id="147"/>
      <w:bookmarkEnd w:id="148"/>
      <w:bookmarkEnd w:id="149"/>
    </w:p>
    <w:p>
      <w:pPr>
        <w:adjustRightInd w:val="0"/>
        <w:snapToGrid w:val="0"/>
        <w:spacing w:line="360" w:lineRule="auto"/>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适用情形及注意事项：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1．上市公司根据法律、行政法规或者国家统一的会计制度的要求变更会计政策的或自主变更会计政策的，应当适用本格式。</w:t>
      </w:r>
    </w:p>
    <w:p>
      <w:pPr>
        <w:spacing w:line="560" w:lineRule="exact"/>
        <w:ind w:firstLine="640" w:firstLineChars="200"/>
        <w:rPr>
          <w:rFonts w:ascii="仿宋" w:hAnsi="仿宋"/>
          <w:color w:val="000000"/>
          <w:sz w:val="32"/>
        </w:rPr>
      </w:pPr>
      <w:r>
        <w:rPr>
          <w:rFonts w:hint="eastAsia" w:ascii="仿宋" w:hAnsi="仿宋" w:eastAsia="仿宋"/>
          <w:sz w:val="32"/>
          <w:szCs w:val="32"/>
        </w:rPr>
        <w:t>2．上市公司</w:t>
      </w:r>
      <w:r>
        <w:rPr>
          <w:rFonts w:hint="eastAsia" w:ascii="仿宋" w:hAnsi="仿宋" w:eastAsia="仿宋"/>
          <w:color w:val="000000"/>
          <w:sz w:val="32"/>
          <w:szCs w:val="32"/>
        </w:rPr>
        <w:t>变更重要会计估计的，在董事会审议通过后比照</w:t>
      </w:r>
      <w:r>
        <w:rPr>
          <w:rFonts w:hint="eastAsia" w:ascii="仿宋" w:hAnsi="仿宋" w:eastAsia="仿宋"/>
          <w:sz w:val="32"/>
          <w:szCs w:val="32"/>
        </w:rPr>
        <w:t>自主变更会计政策适用本格式。</w:t>
      </w:r>
    </w:p>
    <w:p>
      <w:pPr>
        <w:adjustRightInd w:val="0"/>
        <w:snapToGrid w:val="0"/>
        <w:spacing w:line="560" w:lineRule="exact"/>
        <w:ind w:firstLine="200"/>
        <w:rPr>
          <w:rFonts w:ascii="仿宋" w:hAnsi="仿宋" w:eastAsia="仿宋"/>
          <w:sz w:val="32"/>
          <w:szCs w:val="32"/>
        </w:rPr>
      </w:pP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证券代码：        证券简称：       公告编号：</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XXXXXX股份有限公司会计政策变更公告</w:t>
      </w:r>
    </w:p>
    <w:p>
      <w:pPr>
        <w:autoSpaceDE w:val="0"/>
        <w:autoSpaceDN w:val="0"/>
        <w:adjustRightInd w:val="0"/>
        <w:spacing w:line="360" w:lineRule="auto"/>
        <w:ind w:left="360"/>
        <w:rPr>
          <w:rFonts w:ascii="仿宋" w:hAnsi="仿宋" w:eastAsia="仿宋"/>
          <w:sz w:val="32"/>
          <w:szCs w:val="32"/>
        </w:rPr>
      </w:pPr>
    </w:p>
    <w:p>
      <w:pPr>
        <w:tabs>
          <w:tab w:val="left" w:pos="1260"/>
        </w:tabs>
        <w:autoSpaceDE w:val="0"/>
        <w:autoSpaceDN w:val="0"/>
        <w:adjustRightInd w:val="0"/>
        <w:spacing w:line="360" w:lineRule="auto"/>
        <w:ind w:firstLine="538"/>
        <w:rPr>
          <w:rFonts w:ascii="仿宋" w:hAnsi="仿宋" w:eastAsia="仿宋"/>
          <w:sz w:val="32"/>
          <w:szCs w:val="32"/>
        </w:rPr>
      </w:pPr>
      <w:r>
        <mc:AlternateContent>
          <mc:Choice Requires="wps">
            <w:drawing>
              <wp:anchor distT="0" distB="0" distL="114300" distR="114300" simplePos="0" relativeHeight="251708416" behindDoc="0" locked="0" layoutInCell="1" allowOverlap="1">
                <wp:simplePos x="0" y="0"/>
                <wp:positionH relativeFrom="column">
                  <wp:posOffset>-238125</wp:posOffset>
                </wp:positionH>
                <wp:positionV relativeFrom="paragraph">
                  <wp:posOffset>118745</wp:posOffset>
                </wp:positionV>
                <wp:extent cx="5505450" cy="1533525"/>
                <wp:effectExtent l="4445" t="4445" r="14605" b="508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5505450" cy="1533525"/>
                        </a:xfrm>
                        <a:prstGeom prst="rect">
                          <a:avLst/>
                        </a:prstGeom>
                        <a:solidFill>
                          <a:srgbClr val="FFFFFF"/>
                        </a:solidFill>
                        <a:ln w="9525">
                          <a:solidFill>
                            <a:srgbClr val="000000"/>
                          </a:solidFill>
                          <a:miter lim="800000"/>
                        </a:ln>
                        <a:effectLst/>
                      </wps:spPr>
                      <wps:txbx>
                        <w:txbxContent>
                          <w:p>
                            <w:pPr>
                              <w:spacing w:line="440" w:lineRule="exact"/>
                              <w:ind w:firstLine="566" w:firstLineChars="177"/>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602"/>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9.35pt;height:120.75pt;width:433.5pt;z-index:251708416;mso-width-relative:page;mso-height-relative:page;" fillcolor="#FFFFFF" filled="t" stroked="t" coordsize="21600,21600" o:gfxdata="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CVGOvYAAAACgEAAA8AAAAAAAAAAQAgAAAAIgAAAGRycy9k&#10;b3ducmV2LnhtbFBLAQIUABQAAAAIAIdO4kAL52MBOwIAAIsEAAAOAAAAAAAAAAEAIAAAACcBAABk&#10;cnMvZTJvRG9jLnhtbFBLBQYAAAAABgAGAFkBAADUBQAAAAA=&#10;">
                <v:fill on="t" focussize="0,0"/>
                <v:stroke color="#000000" miterlimit="8" joinstyle="miter"/>
                <v:imagedata o:title=""/>
                <o:lock v:ext="edit" aspectratio="f"/>
                <v:textbox>
                  <w:txbxContent>
                    <w:p>
                      <w:pPr>
                        <w:spacing w:line="440" w:lineRule="exact"/>
                        <w:ind w:firstLine="566" w:firstLineChars="177"/>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602"/>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rPr>
      </w:pPr>
    </w:p>
    <w:p>
      <w:pPr>
        <w:tabs>
          <w:tab w:val="left" w:pos="1260"/>
        </w:tabs>
        <w:autoSpaceDE w:val="0"/>
        <w:autoSpaceDN w:val="0"/>
        <w:adjustRightInd w:val="0"/>
        <w:spacing w:line="360" w:lineRule="auto"/>
        <w:ind w:firstLine="538"/>
        <w:rPr>
          <w:rFonts w:ascii="仿宋" w:hAnsi="仿宋" w:eastAsia="仿宋"/>
          <w:sz w:val="32"/>
          <w:szCs w:val="32"/>
        </w:rPr>
      </w:pPr>
    </w:p>
    <w:p>
      <w:pPr>
        <w:widowControl/>
        <w:tabs>
          <w:tab w:val="center" w:pos="4657"/>
        </w:tabs>
        <w:spacing w:line="560" w:lineRule="exact"/>
        <w:ind w:firstLine="643" w:firstLineChars="200"/>
        <w:rPr>
          <w:rFonts w:ascii="仿宋" w:hAnsi="仿宋" w:eastAsia="仿宋"/>
          <w:kern w:val="0"/>
          <w:sz w:val="32"/>
          <w:szCs w:val="32"/>
        </w:rPr>
      </w:pPr>
      <w:r>
        <w:rPr>
          <w:rFonts w:hint="eastAsia" w:ascii="仿宋" w:hAnsi="仿宋" w:eastAsia="仿宋"/>
          <w:b/>
          <w:kern w:val="0"/>
          <w:sz w:val="32"/>
          <w:szCs w:val="32"/>
        </w:rPr>
        <w:t>特别提示：</w:t>
      </w:r>
      <w:r>
        <w:rPr>
          <w:rFonts w:hint="eastAsia" w:ascii="仿宋" w:hAnsi="仿宋" w:eastAsia="仿宋" w:cs="宋体"/>
          <w:b/>
          <w:bCs/>
          <w:kern w:val="0"/>
          <w:sz w:val="32"/>
          <w:szCs w:val="32"/>
        </w:rPr>
        <w:tab/>
      </w:r>
    </w:p>
    <w:p>
      <w:pPr>
        <w:widowControl/>
        <w:spacing w:line="560" w:lineRule="exact"/>
        <w:ind w:firstLine="640" w:firstLineChars="200"/>
        <w:rPr>
          <w:rFonts w:ascii="仿宋" w:hAnsi="仿宋" w:eastAsia="仿宋"/>
          <w:kern w:val="0"/>
          <w:sz w:val="32"/>
          <w:szCs w:val="32"/>
        </w:rPr>
      </w:pPr>
    </w:p>
    <w:p>
      <w:pPr>
        <w:widowControl/>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特别提示：</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如审计委员会、董事会对公司变更会计政策存在异议的，重点说明异议情况。</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2. 会计政策变更对上市公司营业收入、净利润、净资产等的影响。</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一、会计政策变更概述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说明会计政策变更的情况，包括但不限于会计政策变更的性质、变更的原因、变更前采用的会计政策、变更后采用的会计政策、会计政策变更的适用日期等。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对于自主变更会计政策的，还应简要说明董事会审议会计政策变更的表决情况。对于需要提交股东会审议的，应当在公告中特别载明“上述事项尚需提交股东会审议”。</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二、会计政策变更对公司的影响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采用追溯调整法的，应说明当期及前期财务报告中受影响的项目名称和调整金额，变更对营业收入、净利润、净资产等主要财务指标的影响，同时应说明追溯调整是否导致公司已披露的年度财务报告出现盈亏性质改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无法进行追溯调整的，应说明确定会计政策变更对列报前期影响数不切实可行的原因，在当期期初确定会计政策变更对以前各期累积影响数不切实可行的原因，以及开始应用新会计政策的时点和具体应用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三、会计估计对公司的影响（如适用）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1．会计估计变更的内容及原因，会计估计变更对当期及未来期间的影响金额，包括但不限于对营业收入、净利润和净资产的影响金额。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2．分析会计估计变更日前，假设运用新的会计估计对公司的影响，包括但不限于对营业收入、净利润和净资产的影响金额。</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四、审计委员会审议意见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说明审计委员会关于公司变更会计政策的意见，包括为评估会计政策变更的原因及必要性、合理性，是否追溯调整前期财务数据，是否损害公司利益等进行的具体工作和结论。</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五、董事会意见（如适用）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1．说明董事会审议情况及表决情况。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2．结合公司实际情况等因素，说明会计政策变更的必要性、合理性，是否损害上市公司利益。</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、会计师事务所意见（如适用）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会计政策变更的原因及合规性；如涉及追溯调整的，对以往各年度财务状况和经营成果的影响金额；如涉及更换会计师事务所的，是否就相关事项与前任会计师事务所进行了必要的沟通等。</w:t>
      </w:r>
    </w:p>
    <w:p>
      <w:pPr>
        <w:spacing w:line="560" w:lineRule="exact"/>
        <w:ind w:firstLine="640" w:firstLineChars="200"/>
        <w:rPr>
          <w:rFonts w:ascii="仿宋" w:hAnsi="仿宋" w:eastAsia="仿宋"/>
          <w:sz w:val="32"/>
          <w:szCs w:val="32"/>
        </w:rPr>
      </w:pPr>
    </w:p>
    <w:p>
      <w:pPr>
        <w:spacing w:line="560" w:lineRule="exact"/>
        <w:ind w:firstLine="563" w:firstLineChars="176"/>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hint="eastAsia"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1．审计委员会审议意见（如适用）；</w:t>
      </w:r>
    </w:p>
    <w:p>
      <w:pPr>
        <w:spacing w:line="560" w:lineRule="exact"/>
        <w:ind w:firstLine="640" w:firstLineChars="200"/>
        <w:rPr>
          <w:rFonts w:hint="eastAsia"/>
        </w:rPr>
      </w:pPr>
      <w:r>
        <w:rPr>
          <w:rFonts w:hint="eastAsia" w:ascii="仿宋" w:hAnsi="仿宋" w:eastAsia="仿宋" w:cs="Times New Roman"/>
          <w:sz w:val="32"/>
          <w:szCs w:val="32"/>
          <w:highlight w:val="none"/>
          <w:lang w:eastAsia="zh"/>
        </w:rPr>
        <w:t>2</w:t>
      </w:r>
      <w:r>
        <w:rPr>
          <w:rFonts w:hint="eastAsia" w:ascii="仿宋" w:hAnsi="仿宋" w:eastAsia="仿宋" w:cs="Times New Roman"/>
          <w:sz w:val="32"/>
          <w:szCs w:val="32"/>
          <w:highlight w:val="none"/>
        </w:rPr>
        <w:t>．会计师事务所意见（如适用）。</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br w:type="page"/>
      </w:r>
    </w:p>
    <w:p>
      <w:pPr>
        <w:keepNext/>
        <w:keepLines/>
        <w:spacing w:before="340" w:line="560" w:lineRule="exact"/>
        <w:ind w:firstLine="440" w:firstLineChars="100"/>
        <w:jc w:val="both"/>
        <w:outlineLvl w:val="2"/>
        <w:rPr>
          <w:rFonts w:ascii="方正小标宋简体" w:hAnsi="仿宋" w:eastAsia="方正小标宋简体"/>
          <w:kern w:val="44"/>
          <w:sz w:val="44"/>
          <w:szCs w:val="44"/>
        </w:rPr>
      </w:pPr>
      <w:bookmarkStart w:id="150" w:name="_Toc27997"/>
      <w:bookmarkStart w:id="151" w:name="_Toc3679"/>
      <w:bookmarkStart w:id="152" w:name="_Toc164973745"/>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上市公司提供财务资助公告格式</w:t>
      </w:r>
      <w:bookmarkEnd w:id="150"/>
      <w:bookmarkEnd w:id="151"/>
      <w:bookmarkEnd w:id="152"/>
    </w:p>
    <w:p>
      <w:pPr>
        <w:spacing w:line="560" w:lineRule="exact"/>
        <w:ind w:firstLine="643" w:firstLineChars="200"/>
        <w:rPr>
          <w:rFonts w:ascii="仿宋" w:hAnsi="仿宋" w:eastAsia="仿宋" w:cs="宋体"/>
          <w:b/>
          <w:kern w:val="0"/>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上市公司提供财务资助触及本所《创业板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上市规则》《创业板规范运作指引》规定的信息披露义务的，适用本公告格式。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XXXX股份有限公司提供财务资助公告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-264795</wp:posOffset>
                </wp:positionH>
                <wp:positionV relativeFrom="paragraph">
                  <wp:posOffset>196850</wp:posOffset>
                </wp:positionV>
                <wp:extent cx="5715000" cy="1619250"/>
                <wp:effectExtent l="4445" t="5080" r="14605" b="1397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85pt;margin-top:15.5pt;height:127.5pt;width:450pt;z-index:251704320;mso-width-relative:page;mso-height-relative:page;" fillcolor="#FFFFFF" filled="t" stroked="t" coordsize="21600,21600" o:gfxdata="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&#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OpcK2AAAAAoBAAAPAAAAAAAAAAEAIAAAACIAAABk&#10;cnMvZG93bnJldi54bWxQSwECFAAUAAAACACHTuJAKZ4Wpj8CAACLBAAADgAAAAAAAAABACAAAAAn&#10;AQAAZHJzL2Uyb0RvYy54bWxQSwUGAAAAAAYABgBZAQAA2AU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资助对象、方式、金额、期限、利息等。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履行的审议程序。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特别风险提示。</w:t>
      </w:r>
    </w:p>
    <w:p>
      <w:pPr>
        <w:autoSpaceDE w:val="0"/>
        <w:autoSpaceDN w:val="0"/>
        <w:adjustRightInd w:val="0"/>
        <w:spacing w:line="560" w:lineRule="exact"/>
        <w:ind w:left="920" w:firstLine="640" w:firstLineChars="200"/>
        <w:rPr>
          <w:rFonts w:ascii="仿宋" w:hAnsi="仿宋" w:eastAsia="仿宋"/>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一、财务资助事项概述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简述本次提供财务资助的主要原因及考虑，是否影响公司正常业务开展及资金使用，是否不属于本所《创业板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上市规则》《创业板规范运作指引》等规定的不得提供财务资助的情形。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2.简述本次提供财务资助基本情况，包括协议签署日期、签署地点、各方当事人名称及资助方式、金额、期限、利息、用途及担保措施等。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w:t>
      </w:r>
      <w:r>
        <w:rPr>
          <w:szCs w:val="24"/>
        </w:rPr>
        <w:t xml:space="preserve"> </w:t>
      </w:r>
      <w:r>
        <w:rPr>
          <w:rFonts w:hint="eastAsia" w:ascii="仿宋" w:hAnsi="仿宋" w:eastAsia="仿宋" w:cs="宋体"/>
          <w:kern w:val="0"/>
          <w:sz w:val="32"/>
          <w:szCs w:val="32"/>
        </w:rPr>
        <w:t>简要说明董事会审议财务资助议案的表决情况,交易生效所必需的审议程序，如是否需经过股东会或有关部门批准等。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二、被资助对象的基本情况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1．应说明被资助对象的名称、成立日期、注册地点、注册资本、股权结构、法定代表人、控股股东、实际控制人、主营业务等。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应说明被资助对象主要财务指标，至少应当包括最近一年经审计的资产总额、负债总额、归属于母公司的所有者权益、营业收入、归属于母公司所有者的净利润、或有事项涉及的总额（包括担保、抵押、诉讼与仲裁事项）等，并说明其资信情况或最新信用等级状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3．应当说明被资助对象与上市公司是否存在关联关系或其他业务联系，如存在，应当披露具体的情形。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及采取的应对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对需提交股东会审议的提供财务资助事项，应以方框图或者其他有效形式全面披露被资助对象相关的产权及控制关系，包括被资助对象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6．应当说明上市公司在上一会计年度对该对象提供财务资助的情况，是否存在财务资助到期后未能及时清偿的情形。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7．被资助对象是否为失信被执行人，如是，应进一步披露其失信情况、受到的惩戒措施、对本次交易的影响，以及公司所采取的应对措施等。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三、财务资助协议的主要内容</w:t>
      </w:r>
    </w:p>
    <w:p>
      <w:pPr>
        <w:spacing w:line="560" w:lineRule="exact"/>
        <w:ind w:firstLine="640" w:firstLineChars="200"/>
        <w:rPr>
          <w:rFonts w:ascii="仿宋" w:hAnsi="仿宋" w:eastAsia="仿宋" w:cs="宋体"/>
          <w:kern w:val="0"/>
          <w:sz w:val="32"/>
          <w:szCs w:val="32"/>
        </w:rPr>
      </w:pPr>
      <w:r>
        <w:rPr>
          <w:rFonts w:hint="eastAsia" w:ascii="仿宋" w:hAnsi="仿宋" w:eastAsia="仿宋"/>
          <w:sz w:val="32"/>
          <w:szCs w:val="32"/>
        </w:rPr>
        <w:t>主要介绍提供财务资助的方式、期限、金额、利息、资金用途、担保及反担保措施、被资助对象应遵守的条件、违约责任以及协议中的其他重要条款。如通过资产等标的提供资助的，参照</w:t>
      </w:r>
      <w:r>
        <w:rPr>
          <w:rFonts w:hint="eastAsia" w:ascii="仿宋" w:hAnsi="仿宋" w:eastAsia="仿宋"/>
          <w:sz w:val="32"/>
          <w:szCs w:val="32"/>
          <w:lang w:eastAsia="zh-CN"/>
        </w:rPr>
        <w:t>“</w:t>
      </w:r>
      <w:r>
        <w:rPr>
          <w:rFonts w:hint="eastAsia" w:ascii="仿宋" w:hAnsi="仿宋" w:eastAsia="仿宋"/>
          <w:sz w:val="32"/>
          <w:szCs w:val="32"/>
        </w:rPr>
        <w:t>上市公司购买、出售资产公告格式</w:t>
      </w:r>
      <w:r>
        <w:rPr>
          <w:rFonts w:hint="eastAsia" w:ascii="仿宋" w:hAnsi="仿宋" w:eastAsia="仿宋"/>
          <w:sz w:val="32"/>
          <w:szCs w:val="32"/>
          <w:lang w:eastAsia="zh-CN"/>
        </w:rPr>
        <w:t>”</w:t>
      </w:r>
      <w:r>
        <w:rPr>
          <w:rFonts w:hint="eastAsia" w:ascii="仿宋" w:hAnsi="仿宋" w:eastAsia="仿宋"/>
          <w:sz w:val="32"/>
          <w:szCs w:val="32"/>
        </w:rPr>
        <w:t>介绍资产等标的的基本情况。</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四、财务资助风险分析及风控措施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应当充分披露所采取的风险防范措施，包括但不限于被资助对象或者其他第三方是否就财务资助事项提供担保等。由第三方就财务资助事项提供担保的，应当披露该第三方的基本情况及其担保履约能力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1．介绍提供财务资助的原因。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2．董事会在对被资助对象的资产质量、经营情况、行业前景、偿债能力、信用状况、第三方担保及履约能力情况等进行全面评估的基础上, 披露该财务资助事项的风险和公允性，以及董事会对被资助对象偿还债务能力的判断。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3．被资助对象其他股东如未按同等条件、未按出资比例提供财务资助的，董事会应当在分析被资助对象经营情况、偿债能力的基础上，充分说明该笔财务资助风险是否可控，是否损害上市公司利益等。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4．被资助对象或第三方未提供担保的，应当说明其合理性以及是否损害上市公司利益。</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六、中介机构意见（如适用）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保荐人或独立财务顾问（如有）应当对财务资助事项的合法合规性、公允性及存在的风险等发表意见。</w:t>
      </w:r>
    </w:p>
    <w:p>
      <w:pPr>
        <w:snapToGrid w:val="0"/>
        <w:spacing w:line="460" w:lineRule="exact"/>
        <w:ind w:firstLine="643" w:firstLineChars="200"/>
        <w:rPr>
          <w:rFonts w:ascii="仿宋" w:hAnsi="仿宋" w:eastAsia="仿宋"/>
          <w:b/>
          <w:sz w:val="32"/>
          <w:szCs w:val="32"/>
        </w:rPr>
      </w:pPr>
      <w:r>
        <w:rPr>
          <w:rFonts w:hint="eastAsia" w:ascii="仿宋" w:hAnsi="仿宋" w:eastAsia="仿宋"/>
          <w:b/>
          <w:sz w:val="32"/>
          <w:szCs w:val="32"/>
        </w:rPr>
        <w:t>七、累计提供财务资助金额及逾期金额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八、其他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1．提供财务资助公告首次披露后，上市公司应及时披露提供财务资助事项的审议、协议签署和其他进展或变化情况；</w:t>
      </w:r>
    </w:p>
    <w:p>
      <w:pPr>
        <w:adjustRightInd/>
        <w:spacing w:line="560" w:lineRule="exact"/>
        <w:ind w:firstLine="640" w:firstLineChars="200"/>
        <w:rPr>
          <w:rFonts w:ascii="仿宋" w:hAnsi="仿宋" w:eastAsia="仿宋"/>
          <w:bCs/>
          <w:sz w:val="32"/>
          <w:szCs w:val="32"/>
        </w:rPr>
      </w:pPr>
      <w:r>
        <w:rPr>
          <w:rFonts w:hint="eastAsia" w:ascii="仿宋" w:hAnsi="仿宋" w:eastAsia="仿宋"/>
          <w:sz w:val="32"/>
          <w:szCs w:val="32"/>
        </w:rPr>
        <w:t>2．对于已披露的财务资助事项，上市公司还应当在出现本所《创业板规范运作指引》等规定的风险情形时，及时披露相关情况及拟采取的补救措施，并充分说明董事会关于被资助对象偿债能力和该项财务资助收回风险的判断。</w:t>
      </w: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XXXXXX股份有限公司董事会XXXX年XX月XX日</w:t>
      </w:r>
    </w:p>
    <w:p>
      <w:pPr>
        <w:spacing w:line="560" w:lineRule="exact"/>
        <w:ind w:right="800"/>
        <w:rPr>
          <w:rFonts w:ascii="仿宋" w:hAnsi="仿宋" w:eastAsia="仿宋"/>
          <w:sz w:val="32"/>
          <w:szCs w:val="32"/>
        </w:rPr>
      </w:pP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1．保荐人或独立财务顾问意见（如有）； </w:t>
      </w:r>
    </w:p>
    <w:p>
      <w:pPr>
        <w:spacing w:line="560" w:lineRule="exact"/>
        <w:ind w:firstLine="640" w:firstLineChars="200"/>
        <w:sectPr>
          <w:pgSz w:w="11906" w:h="16838"/>
          <w:pgMar w:top="1440" w:right="1797" w:bottom="1440" w:left="1797" w:header="851" w:footer="992" w:gutter="0"/>
          <w:cols w:space="720" w:num="1"/>
          <w:formProt w:val="1"/>
          <w:docGrid w:linePitch="312" w:charSpace="0"/>
        </w:sectPr>
      </w:pPr>
      <w:r>
        <w:rPr>
          <w:rFonts w:hint="eastAsia" w:ascii="仿宋" w:hAnsi="仿宋" w:eastAsia="仿宋" w:cs="宋体"/>
          <w:kern w:val="0"/>
          <w:sz w:val="32"/>
          <w:szCs w:val="32"/>
          <w:highlight w:val="none"/>
          <w:lang w:eastAsia="zh"/>
        </w:rPr>
        <w:t>2</w:t>
      </w:r>
      <w:r>
        <w:rPr>
          <w:rFonts w:hint="eastAsia" w:ascii="仿宋" w:hAnsi="仿宋" w:eastAsia="仿宋" w:cs="宋体"/>
          <w:kern w:val="0"/>
          <w:sz w:val="32"/>
          <w:szCs w:val="32"/>
          <w:highlight w:val="none"/>
        </w:rPr>
        <w:t>．财务资助合同（如有）。</w:t>
      </w:r>
    </w:p>
    <w:p>
      <w:pPr>
        <w:keepNext/>
        <w:keepLines/>
        <w:spacing w:before="340" w:line="560" w:lineRule="exact"/>
        <w:jc w:val="center"/>
        <w:outlineLvl w:val="2"/>
        <w:rPr>
          <w:rFonts w:ascii="方正小标宋简体" w:hAnsi="仿宋" w:eastAsia="方正小标宋简体"/>
          <w:kern w:val="44"/>
          <w:sz w:val="44"/>
          <w:szCs w:val="44"/>
        </w:rPr>
      </w:pPr>
      <w:bookmarkStart w:id="153" w:name="_Toc29942"/>
      <w:bookmarkStart w:id="154" w:name="_Toc164973746"/>
      <w:bookmarkStart w:id="155" w:name="_Toc21857"/>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上市公司股票可能被终止上市的风险提示公告格式</w:t>
      </w:r>
      <w:bookmarkEnd w:id="153"/>
      <w:bookmarkEnd w:id="154"/>
      <w:bookmarkEnd w:id="155"/>
    </w:p>
    <w:p>
      <w:pPr>
        <w:spacing w:line="560" w:lineRule="exact"/>
        <w:rPr>
          <w:rFonts w:eastAsia="方正仿宋简体"/>
          <w:sz w:val="30"/>
          <w:szCs w:val="30"/>
        </w:rPr>
      </w:pPr>
    </w:p>
    <w:p>
      <w:pPr>
        <w:autoSpaceDE w:val="0"/>
        <w:autoSpaceDN w:val="0"/>
        <w:adjustRightInd w:val="0"/>
        <w:snapToGrid w:val="0"/>
        <w:spacing w:line="560" w:lineRule="exact"/>
        <w:rPr>
          <w:rFonts w:ascii="仿宋" w:hAnsi="仿宋" w:eastAsia="仿宋"/>
          <w:b/>
          <w:sz w:val="32"/>
          <w:szCs w:val="30"/>
        </w:rPr>
      </w:pPr>
      <w:r>
        <w:rPr>
          <w:rFonts w:hint="eastAsia" w:ascii="仿宋" w:hAnsi="仿宋" w:eastAsia="仿宋"/>
          <w:b/>
          <w:sz w:val="32"/>
          <w:szCs w:val="30"/>
        </w:rPr>
        <w:t>适用情形：</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上市公司应当按照</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0"/>
        </w:rPr>
        <w:t>的要求，针对不同的终止上市情形，在规定时间内及时披露本公告，并关注相关停牌安排。具体情形如下：</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1.存在交易类终止上市风险的公司，应当在首次和连续十个交易日出现相应情形时披露本公告。</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2.已被实施财务类退市风险警示的公司，应当在其股票交易实际触及退市风险警示情形相应年度次一会计年度结束后一个月内披露本公告，并在首次披露风险提示公告后至年度报告披露前，每十个交易日披露一次风险提示公告；触及财务类退市指标的公司，应当在年度报告披露的同时或者发生规定情形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3.因触及本所《创业板股票上市规则》第10.4.1条第一项至第五项、第七项至第十项情形，其股票交易已被实施规范类退市风险警示的公司，应当至少每五个交易日披露一次本公告，直至相应情形消除或者本所终止其股票上市；因触及本所《创业板股票上市规则》第</w:t>
      </w:r>
      <w:r>
        <w:rPr>
          <w:rFonts w:ascii="仿宋" w:hAnsi="仿宋" w:eastAsia="仿宋"/>
          <w:color w:val="000000"/>
          <w:sz w:val="32"/>
          <w:szCs w:val="30"/>
        </w:rPr>
        <w:t>10.4.1条</w:t>
      </w:r>
      <w:r>
        <w:rPr>
          <w:rFonts w:hint="eastAsia" w:ascii="仿宋" w:hAnsi="仿宋" w:eastAsia="仿宋"/>
          <w:color w:val="000000"/>
          <w:sz w:val="32"/>
          <w:szCs w:val="30"/>
        </w:rPr>
        <w:t>第六项情形，其股票交易已被实施规范类退市风险警示的公司，应当至少每月披露一次本公告，在其股票交易被实施退市风险警示的当年会计年度结束后一个月内披露本公告，并在该月首次披露退市风险提示公告后至该年内部控制审计报告披露前，每十个交易日披露一次本公告；触及规范类退市指标的公司，应当在规定情形出现的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4.</w:t>
      </w:r>
      <w:r>
        <w:rPr>
          <w:rFonts w:hint="eastAsia" w:ascii="仿宋" w:hAnsi="仿宋" w:eastAsia="仿宋"/>
        </w:rPr>
        <w:t xml:space="preserve"> </w:t>
      </w:r>
      <w:r>
        <w:rPr>
          <w:rFonts w:hint="eastAsia" w:ascii="仿宋" w:hAnsi="仿宋" w:eastAsia="仿宋"/>
          <w:color w:val="000000"/>
          <w:sz w:val="32"/>
          <w:szCs w:val="30"/>
        </w:rPr>
        <w:t>依据相关行政机关行政处罚决定、人民法院生效裁判认定的事实，公司可能触及重大违法强制退市情形的，公司应当在收到相关行政机关行政处罚决定书，或者人民法院裁判生效后立即披露相关情况及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上市公司其他证券产品（如可转债等）出现终止上市情况的，参照本公告格式发布相应的风险提示公告。</w:t>
      </w:r>
    </w:p>
    <w:p>
      <w:pPr>
        <w:spacing w:line="560" w:lineRule="exact"/>
        <w:rPr>
          <w:rFonts w:ascii="仿宋" w:hAnsi="仿宋" w:eastAsia="仿宋"/>
          <w:sz w:val="30"/>
          <w:szCs w:val="30"/>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XXXX股份有限公司股票可能被终止上市的风险提示公告</w:t>
      </w:r>
    </w:p>
    <w:p>
      <w:pPr>
        <w:overflowPunct w:val="0"/>
        <w:autoSpaceDE w:val="0"/>
        <w:autoSpaceDN w:val="0"/>
        <w:adjustRightInd w:val="0"/>
        <w:spacing w:line="560" w:lineRule="exact"/>
        <w:ind w:firstLine="480"/>
        <w:rPr>
          <w:rFonts w:ascii="仿宋" w:hAnsi="仿宋" w:eastAsia="仿宋"/>
          <w:kern w:val="0"/>
          <w:sz w:val="32"/>
          <w:szCs w:val="32"/>
        </w:rPr>
      </w:pPr>
      <w: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142875</wp:posOffset>
                </wp:positionV>
                <wp:extent cx="5915025" cy="1628775"/>
                <wp:effectExtent l="4445" t="4445" r="5080" b="508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a:effectLst/>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09440;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QwTodYAAAAHAQAADwAAAAAAAAABACAAAAAiAAAAZHJzL2Rv&#10;d25yZXYueG1sUEsBAhQAFAAAAAgAh07iQDSKdig8AgAAiwQAAA4AAAAAAAAAAQAgAAAAJQEAAGRy&#10;cy9lMm9Eb2MueG1sUEsFBgAAAAAGAAYAWQEAANM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adjustRightInd w:val="0"/>
        <w:snapToGrid w:val="0"/>
        <w:spacing w:line="560" w:lineRule="exact"/>
        <w:jc w:val="center"/>
        <w:rPr>
          <w:rFonts w:ascii="仿宋" w:hAnsi="仿宋" w:eastAsia="仿宋"/>
          <w:color w:val="000000"/>
          <w:sz w:val="30"/>
          <w:szCs w:val="30"/>
        </w:rPr>
      </w:pPr>
    </w:p>
    <w:p>
      <w:pPr>
        <w:adjustRightInd w:val="0"/>
        <w:snapToGrid w:val="0"/>
        <w:spacing w:line="560" w:lineRule="exact"/>
        <w:ind w:firstLine="643" w:firstLineChars="200"/>
        <w:rPr>
          <w:rFonts w:ascii="仿宋" w:hAnsi="仿宋" w:eastAsia="仿宋"/>
          <w:b/>
          <w:sz w:val="32"/>
          <w:szCs w:val="30"/>
        </w:rPr>
      </w:pPr>
      <w:r>
        <w:rPr>
          <w:rFonts w:hint="eastAsia" w:ascii="仿宋" w:hAnsi="仿宋" w:eastAsia="仿宋"/>
          <w:b/>
          <w:sz w:val="32"/>
          <w:szCs w:val="30"/>
        </w:rPr>
        <w:t>特别提示：</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1.简要说明公司股票存在终止上市风险的适用情形。如：公司于20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日披露了《关于公司股票交易被实施退市风险警示的公告》，公司股票于20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日开市起被实施退市风险警示。若公司出现</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sz w:val="32"/>
          <w:szCs w:val="30"/>
        </w:rPr>
        <w:t>第</w:t>
      </w:r>
      <w:r>
        <w:rPr>
          <w:rFonts w:hint="eastAsia" w:ascii="仿宋" w:hAnsi="仿宋" w:eastAsia="仿宋"/>
          <w:kern w:val="0"/>
          <w:sz w:val="32"/>
          <w:szCs w:val="32"/>
        </w:rPr>
        <w:t>X</w:t>
      </w:r>
      <w:r>
        <w:rPr>
          <w:rFonts w:hint="eastAsia" w:ascii="仿宋" w:hAnsi="仿宋" w:eastAsia="仿宋"/>
          <w:sz w:val="32"/>
          <w:szCs w:val="30"/>
        </w:rPr>
        <w:t>条规定的情形，公司股票存在被终止上市的风险。</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2.说明公司披露本公告的规则依据和具体适用情形。如：根据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sz w:val="32"/>
          <w:szCs w:val="30"/>
        </w:rPr>
        <w:t>第</w:t>
      </w:r>
      <w:r>
        <w:rPr>
          <w:rFonts w:hint="eastAsia" w:ascii="仿宋" w:hAnsi="仿宋" w:eastAsia="仿宋"/>
          <w:kern w:val="0"/>
          <w:sz w:val="32"/>
          <w:szCs w:val="32"/>
        </w:rPr>
        <w:t>X</w:t>
      </w:r>
      <w:r>
        <w:rPr>
          <w:rFonts w:hint="eastAsia" w:ascii="仿宋" w:hAnsi="仿宋" w:eastAsia="仿宋"/>
          <w:sz w:val="32"/>
          <w:szCs w:val="30"/>
        </w:rPr>
        <w:t>条的规定（列明具体条文），公司应当披露股票可能被终止上市的风险提示公告。敬请广大投资者理性投资，注意风险。</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已被实施财务类退市风险警示的公司，应当披露下列表格并正确勾选可能触及的终止上市情形。</w:t>
      </w:r>
    </w:p>
    <w:p>
      <w:pPr>
        <w:pStyle w:val="58"/>
        <w:adjustRightInd w:val="0"/>
        <w:snapToGrid w:val="0"/>
        <w:spacing w:line="560" w:lineRule="exact"/>
        <w:ind w:firstLine="640"/>
        <w:rPr>
          <w:rFonts w:ascii="仿宋" w:hAnsi="仿宋" w:eastAsia="仿宋"/>
          <w:sz w:val="32"/>
          <w:szCs w:val="30"/>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具体情形</w:t>
            </w: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是否适用</w:t>
            </w:r>
          </w:p>
          <w:p>
            <w:pPr>
              <w:spacing w:line="360" w:lineRule="exact"/>
              <w:jc w:val="center"/>
              <w:rPr>
                <w:rFonts w:ascii="仿宋" w:hAnsi="仿宋" w:eastAsia="仿宋"/>
                <w:sz w:val="24"/>
                <w:szCs w:val="24"/>
              </w:rPr>
            </w:pPr>
            <w:r>
              <w:rPr>
                <w:rFonts w:hint="eastAsia" w:ascii="仿宋" w:hAnsi="仿宋" w:eastAsia="仿宋"/>
                <w:sz w:val="24"/>
                <w:szCs w:val="24"/>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经审计的利润总额、净利润、扣除非经常性损益后的净利润三者孰低为负值，且扣除后的营业收入低于1亿元。</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经审计的期末净资产为负值。</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财务会计报告被出具保留意见、无法表示意见或者否定意见的审计报告。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追溯重述后利润总额、净利润、扣除非经常性损益后的净利润三者孰低为负值，且扣除后的营业收入低于1亿元；或者追溯重述后期末净资产为负值。</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财务报告内部控制被出具无法表示意见或者否定意见的审计报告。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未按照规定披露内部控制审计报告，因实施完成破产重整、重组上市或者重大资产重组按照有关规定无法披露的除外。</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未在法定期限内披露过半数董事保证真实、准确、完整的年度报告。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bl>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3.说明披露本公告后公司股票的停牌安排（如适用）。</w:t>
      </w:r>
    </w:p>
    <w:p>
      <w:pPr>
        <w:autoSpaceDE w:val="0"/>
        <w:autoSpaceDN w:val="0"/>
        <w:adjustRightInd w:val="0"/>
        <w:snapToGrid w:val="0"/>
        <w:spacing w:line="560" w:lineRule="exact"/>
        <w:ind w:firstLine="600" w:firstLineChars="200"/>
        <w:rPr>
          <w:rFonts w:ascii="仿宋" w:hAnsi="仿宋" w:eastAsia="仿宋"/>
          <w:color w:val="000000"/>
          <w:kern w:val="0"/>
          <w:sz w:val="30"/>
          <w:szCs w:val="30"/>
        </w:rPr>
      </w:pP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一、公司股票可能被终止上市的原因</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公司应当逐项对照</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所列终止上市情形，结合自身各项风险情况，详细说明股票可能被终止上市的具体适用情形及其原因。</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二、重点提示的风险事项（如适用）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对于已被实施财务类退市风险警示的公司，如存在下列情形之一的，需明确说明相关情况，充分提示退市风险，采取的措施（如有）：</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1.业绩预告预计相关指标将触及</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第10.3.11条规定的任一情形，股票可能被终止上市的；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2.尚未聘请会计师事务所的；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3.业绩预告与会计师事务所出具的预审计情况的专项说明或审计进展情况的专项说明中相关内容存在重大差异的；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4.在年报编制及审计过程中，公司与会计师事务所对影响公司是否触及退市情形的关键事项存在重大分歧的；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5.在法定期限内披露年度报告存在障碍的；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6.影响公司是否触及退市情形的事项尚未核实，且未履行信息披露义务的；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7.公司预计退市风险出现重大变化，股票可能被终止上市的；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8.其他应当重点提示的风险事项。</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三、公司股票停牌安排、终止上市决定及退市整理期安排（如适用）</w:t>
      </w:r>
    </w:p>
    <w:p>
      <w:pPr>
        <w:widowControl/>
        <w:adjustRightInd w:val="0"/>
        <w:snapToGri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本部分适用于实际触及退市指标的次一交易日开市前披露本公告的情形。</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说明公司股票触及终止上市情形后的停牌安排；根据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第X条的规定，深交所将在公司出现终止上市情形（具体情形表述）后的规定期限内，作出是否终止其股票上市的决定。</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如果公司股票被作出终止上市决定，自深圳证券交易所公告对公司股票作出终止上市决定之日后的五个交易日届满的次一交易日起，公司股票进入退市整理期。退市整理期的交易期限为十五个交易日。上市公司股票于退市整理期届满的次一交易日摘牌，公司股票终止上市。</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交易类强制退市情形无退市整理期，公司应当充分提示风险。</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四、历次终止上市风险提示公告的披露情况（如适用）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以列举的方式详细说明历次终止上市风险提示公告的披露情况。</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五、其他事项</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其他需要说明的事项，如对公司其他证券产品（公司债、可转债）等进行相关风险提示。</w:t>
      </w:r>
    </w:p>
    <w:p>
      <w:pPr>
        <w:spacing w:line="560" w:lineRule="exact"/>
        <w:ind w:firstLine="643" w:firstLineChars="200"/>
        <w:rPr>
          <w:rFonts w:ascii="仿宋" w:hAnsi="仿宋" w:eastAsia="仿宋"/>
          <w:b/>
          <w:color w:val="000000"/>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color w:val="000000"/>
          <w:kern w:val="0"/>
          <w:sz w:val="32"/>
          <w:szCs w:val="32"/>
        </w:rPr>
        <w:t>XXXX</w:t>
      </w:r>
      <w:r>
        <w:rPr>
          <w:rFonts w:hint="eastAsia" w:ascii="仿宋" w:hAnsi="仿宋" w:eastAsia="仿宋"/>
          <w:bCs/>
          <w:sz w:val="32"/>
          <w:szCs w:val="32"/>
        </w:rPr>
        <w:t>股份有限公司董事会</w:t>
      </w:r>
    </w:p>
    <w:p>
      <w:pPr>
        <w:autoSpaceDE w:val="0"/>
        <w:autoSpaceDN w:val="0"/>
        <w:adjustRightInd w:val="0"/>
        <w:spacing w:line="560" w:lineRule="exact"/>
        <w:ind w:firstLine="614" w:firstLineChars="192"/>
        <w:jc w:val="right"/>
        <w:rPr>
          <w:rFonts w:ascii="仿宋" w:hAnsi="仿宋" w:eastAsia="仿宋"/>
          <w:b/>
          <w:color w:val="000000"/>
          <w:kern w:val="0"/>
          <w:sz w:val="32"/>
          <w:szCs w:val="32"/>
        </w:rPr>
      </w:pPr>
      <w:r>
        <w:rPr>
          <w:rFonts w:hint="eastAsia" w:ascii="仿宋" w:hAnsi="仿宋" w:eastAsia="仿宋"/>
          <w:bCs/>
          <w:sz w:val="32"/>
          <w:szCs w:val="32"/>
        </w:rPr>
        <w:t>年  月  日</w:t>
      </w:r>
    </w:p>
    <w:p>
      <w:pPr>
        <w:widowControl/>
        <w:jc w:val="center"/>
        <w:outlineLvl w:val="2"/>
        <w:rPr>
          <w:rFonts w:ascii="方正小标宋简体" w:hAnsi="仿宋" w:eastAsia="方正小标宋简体"/>
          <w:kern w:val="44"/>
          <w:sz w:val="44"/>
          <w:szCs w:val="44"/>
        </w:rPr>
      </w:pPr>
      <w:bookmarkStart w:id="156" w:name="_Toc14496"/>
      <w:bookmarkStart w:id="157" w:name="_Toc16091"/>
      <w:bookmarkStart w:id="158" w:name="_Toc164973747"/>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上市公司收到股票终止上市决定公告格式</w:t>
      </w:r>
      <w:bookmarkEnd w:id="156"/>
      <w:bookmarkEnd w:id="157"/>
      <w:bookmarkEnd w:id="158"/>
    </w:p>
    <w:p>
      <w:pPr>
        <w:rPr>
          <w:rFonts w:ascii="方正仿宋简体" w:eastAsia="方正仿宋简体"/>
        </w:rPr>
      </w:pPr>
    </w:p>
    <w:p>
      <w:pPr>
        <w:adjustRightInd w:val="0"/>
        <w:snapToGrid w:val="0"/>
        <w:spacing w:line="560" w:lineRule="exact"/>
        <w:rPr>
          <w:rFonts w:ascii="仿宋" w:hAnsi="仿宋" w:eastAsia="仿宋"/>
          <w:sz w:val="32"/>
          <w:szCs w:val="30"/>
        </w:rPr>
      </w:pPr>
      <w:r>
        <w:rPr>
          <w:rFonts w:hint="eastAsia" w:ascii="仿宋" w:hAnsi="仿宋" w:eastAsia="仿宋"/>
          <w:sz w:val="32"/>
          <w:szCs w:val="30"/>
        </w:rPr>
        <w:t>证券代码：          证券简称：       公告编号：</w:t>
      </w:r>
    </w:p>
    <w:p>
      <w:pPr>
        <w:snapToGrid w:val="0"/>
        <w:spacing w:line="560" w:lineRule="exact"/>
        <w:jc w:val="center"/>
        <w:rPr>
          <w:rFonts w:ascii="仿宋" w:hAnsi="仿宋" w:eastAsia="仿宋"/>
          <w:color w:val="000000"/>
          <w:sz w:val="32"/>
          <w:szCs w:val="30"/>
        </w:rPr>
      </w:pPr>
      <w:r>
        <w:rPr>
          <w:rFonts w:hint="eastAsia" w:ascii="仿宋" w:hAnsi="仿宋" w:eastAsia="仿宋"/>
          <w:color w:val="000000"/>
          <w:sz w:val="32"/>
          <w:szCs w:val="30"/>
        </w:rPr>
        <w:t>XXXX股份有限公司收到股票终止上市决定公告</w:t>
      </w:r>
    </w:p>
    <w:p>
      <w:pPr>
        <w:snapToGrid w:val="0"/>
        <w:spacing w:line="560" w:lineRule="exact"/>
        <w:jc w:val="center"/>
        <w:rPr>
          <w:rFonts w:ascii="仿宋" w:hAnsi="仿宋" w:eastAsia="仿宋"/>
          <w:color w:val="000000"/>
          <w:sz w:val="32"/>
          <w:szCs w:val="32"/>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1.终止上市的证券种类、证券简称、证券代码及终止上市日期。</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2.公司股票进入退市整理期的起始日和退市整理期的交易期限（如适用）。</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3.退市整理期间股票交易安排（如适用）。</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4.请投资者、证券公司等市场主体在股票摘牌前及时了结股票质押式回购、约定购回、融资融券、转融通、深股通等业务。</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对于将在股票摘牌后至完成全国中小企业股份转让系统有限责任公司管理的两网公司及退市公司板块（以下简称“退市板块”）初始登记期间到期的司法冻结业务，建议有权机关在股票摘牌前通过原协助执行渠道提前办理续冻手续。</w: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本公司于</w:t>
      </w: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收到深圳证券交易所《关于</w:t>
      </w:r>
      <w:r>
        <w:rPr>
          <w:rFonts w:hint="eastAsia" w:ascii="仿宋" w:hAnsi="仿宋" w:eastAsia="仿宋"/>
          <w:kern w:val="0"/>
          <w:sz w:val="32"/>
          <w:szCs w:val="32"/>
        </w:rPr>
        <w:t>XXXX</w:t>
      </w:r>
      <w:r>
        <w:rPr>
          <w:rFonts w:hint="eastAsia" w:ascii="仿宋" w:hAnsi="仿宋" w:eastAsia="仿宋"/>
          <w:color w:val="000000"/>
          <w:sz w:val="32"/>
          <w:szCs w:val="32"/>
        </w:rPr>
        <w:t>股份有限公司股票终止上市的决定》（深证上〔20 X X〕X号），深圳证券交易所决定终止公司股票上市。</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一、终止上市的证券种类、证券简称、证券代码</w:t>
      </w:r>
    </w:p>
    <w:p>
      <w:pPr>
        <w:autoSpaceDE w:val="0"/>
        <w:autoSpaceDN w:val="0"/>
        <w:adjustRightIn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1.证券种类</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2.证券简称</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3.证券代码</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三、终止上市后公司股票登记、转让和管理事宜</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主动终止上市公司：说明公司股票终止上市后，公司将选择在证券交易场所交易或转让其股票，或者依法作出其他安排，以及相应的股票登记、转让和管理事宜等。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强制终止上市公司：说明公司股票终止上市后，公司股票将转入</w:t>
      </w:r>
      <w:r>
        <w:rPr>
          <w:rFonts w:hint="eastAsia" w:ascii="仿宋" w:hAnsi="仿宋" w:eastAsia="仿宋"/>
          <w:color w:val="000000"/>
          <w:sz w:val="32"/>
          <w:szCs w:val="32"/>
          <w:lang w:eastAsia="zh-CN"/>
        </w:rPr>
        <w:t>退市板块</w:t>
      </w:r>
      <w:r>
        <w:rPr>
          <w:rFonts w:hint="eastAsia" w:ascii="仿宋" w:hAnsi="仿宋" w:eastAsia="仿宋"/>
          <w:color w:val="000000"/>
          <w:sz w:val="32"/>
          <w:szCs w:val="32"/>
        </w:rPr>
        <w:t>转让，以及相应的股票登记、转让和管理事宜等。</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四、终止上市后公司的信息披露指定媒体、联系人、联系地址、电话和其他通讯方式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说明公司股票终止上市后的信息披露指定媒体、联系人、联系地址、电话和其他通讯方式等。</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五、公司退市整理期（如适用）及摘牌相关安排</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s="宋体"/>
          <w:bCs/>
          <w:kern w:val="0"/>
          <w:sz w:val="32"/>
          <w:szCs w:val="32"/>
        </w:rPr>
        <w:t>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s="宋体"/>
          <w:bCs/>
          <w:kern w:val="0"/>
          <w:sz w:val="32"/>
          <w:szCs w:val="32"/>
        </w:rPr>
        <w:t>，自深圳证券交易所公告对上市公司</w:t>
      </w:r>
      <w:r>
        <w:rPr>
          <w:rFonts w:hint="eastAsia" w:ascii="仿宋" w:hAnsi="仿宋" w:eastAsia="仿宋"/>
          <w:color w:val="000000"/>
          <w:sz w:val="32"/>
          <w:szCs w:val="32"/>
        </w:rPr>
        <w:t>股票作出终止上市的决定之日后的五个交易日届满的次一交易日起，公司股票进入退市整理期。在退市整理期间，公司股票继续在风险警示板交易。</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进入退市整理期的起始日、交易期限及预计最后交易日期、退市整理期首日及后续交易日涨跌幅限制、公司股票于退市整理期届满的次一交易日摘牌，公司股票终止上市等内容，同时还应当说明公司股票在退市整理期内全天停牌的，停牌期间不计入退市整理期、退市整理期间风险提示公告的披露安排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对于不进入退市整理期交易的股票，应当说明根据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，公司股票被作出终止上市决定后，公司股票于十五个交易日内摘牌，公司股票终止上市。</w:t>
      </w:r>
    </w:p>
    <w:p>
      <w:pPr>
        <w:widowControl/>
        <w:adjustRightInd w:val="0"/>
        <w:snapToGrid w:val="0"/>
        <w:spacing w:line="560" w:lineRule="exact"/>
        <w:ind w:firstLine="643" w:firstLineChars="200"/>
        <w:rPr>
          <w:rFonts w:ascii="仿宋" w:hAnsi="仿宋" w:eastAsia="仿宋" w:cs="宋体"/>
          <w:b/>
          <w:bCs/>
          <w:kern w:val="0"/>
          <w:sz w:val="32"/>
          <w:szCs w:val="32"/>
        </w:rPr>
      </w:pPr>
    </w:p>
    <w:p>
      <w:pPr>
        <w:widowControl/>
        <w:adjustRightInd w:val="0"/>
        <w:snapToGrid w:val="0"/>
        <w:spacing w:line="560" w:lineRule="exact"/>
        <w:ind w:firstLine="640" w:firstLineChars="200"/>
        <w:rPr>
          <w:rFonts w:ascii="仿宋" w:hAnsi="仿宋" w:eastAsia="仿宋" w:cs="宋体"/>
          <w:kern w:val="0"/>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XXXX股份有限公司</w:t>
      </w:r>
    </w:p>
    <w:p>
      <w:pPr>
        <w:autoSpaceDE w:val="0"/>
        <w:autoSpaceDN w:val="0"/>
        <w:adjustRightInd w:val="0"/>
        <w:spacing w:line="560" w:lineRule="exact"/>
        <w:ind w:firstLine="640" w:firstLineChars="200"/>
        <w:jc w:val="right"/>
        <w:rPr>
          <w:rFonts w:ascii="方正仿宋简体" w:eastAsia="方正仿宋简体"/>
          <w:color w:val="000000"/>
          <w:sz w:val="30"/>
          <w:szCs w:val="30"/>
        </w:rPr>
        <w:sectPr>
          <w:pgSz w:w="11906" w:h="16838"/>
          <w:pgMar w:top="1440" w:right="1797" w:bottom="1440" w:left="1797" w:header="851" w:footer="992" w:gutter="0"/>
          <w:cols w:space="720" w:num="1"/>
          <w:formProt w:val="1"/>
          <w:docGrid w:linePitch="312" w:charSpace="0"/>
        </w:sectPr>
      </w:pPr>
      <w:r>
        <w:rPr>
          <w:rFonts w:hint="eastAsia" w:ascii="仿宋" w:hAnsi="仿宋" w:eastAsia="仿宋"/>
          <w:bCs/>
          <w:sz w:val="32"/>
          <w:szCs w:val="32"/>
        </w:rPr>
        <w:t>年  月  日</w:t>
      </w:r>
    </w:p>
    <w:p>
      <w:pPr>
        <w:keepNext/>
        <w:keepLines/>
        <w:spacing w:before="340" w:line="560" w:lineRule="exact"/>
        <w:jc w:val="center"/>
        <w:outlineLvl w:val="2"/>
        <w:rPr>
          <w:rFonts w:ascii="方正小标宋简体" w:hAnsi="仿宋" w:eastAsia="方正小标宋简体"/>
          <w:kern w:val="44"/>
          <w:sz w:val="44"/>
          <w:szCs w:val="44"/>
        </w:rPr>
      </w:pPr>
      <w:bookmarkStart w:id="159" w:name="_Toc164973748"/>
      <w:bookmarkStart w:id="160" w:name="_Toc27490"/>
      <w:bookmarkStart w:id="161" w:name="_Toc2543"/>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上市公司股票进入退市整理期交易首日的风险提示公告/上市公司股票于退市整理期交易的风险提示公告格式</w:t>
      </w:r>
      <w:bookmarkEnd w:id="159"/>
      <w:bookmarkEnd w:id="160"/>
      <w:bookmarkEnd w:id="161"/>
    </w:p>
    <w:p>
      <w:pPr>
        <w:overflowPunct w:val="0"/>
        <w:autoSpaceDE w:val="0"/>
        <w:autoSpaceDN w:val="0"/>
        <w:adjustRightInd w:val="0"/>
        <w:spacing w:line="560" w:lineRule="exact"/>
        <w:ind w:firstLine="420"/>
        <w:rPr>
          <w:rFonts w:ascii="方正仿宋简体" w:hAnsi="仿宋" w:eastAsia="方正仿宋简体"/>
          <w:b/>
          <w:kern w:val="0"/>
          <w:sz w:val="32"/>
          <w:szCs w:val="32"/>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0"/>
        </w:rPr>
        <w:t>XXXX</w:t>
      </w:r>
      <w:r>
        <w:rPr>
          <w:rFonts w:hint="eastAsia" w:ascii="仿宋" w:hAnsi="仿宋" w:eastAsia="仿宋"/>
          <w:color w:val="000000"/>
          <w:sz w:val="32"/>
          <w:szCs w:val="32"/>
        </w:rPr>
        <w:t>股份有限公司股票进入退市整理期交易首日的风险提示公告/</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0"/>
        </w:rPr>
        <w:t>XXXX</w:t>
      </w:r>
      <w:r>
        <w:rPr>
          <w:rFonts w:hint="eastAsia" w:ascii="仿宋" w:hAnsi="仿宋" w:eastAsia="仿宋"/>
          <w:color w:val="000000"/>
          <w:sz w:val="32"/>
          <w:szCs w:val="32"/>
        </w:rPr>
        <w:t>股份有限公司股票于退市整理期交易的风险提示公告</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（披露股票进入退市整理期交易首日的风险提示公告后，</w:t>
      </w:r>
      <w:r>
        <w:rPr>
          <w:rFonts w:hint="eastAsia" w:ascii="仿宋" w:hAnsi="仿宋" w:eastAsia="仿宋"/>
          <w:color w:val="000000"/>
          <w:sz w:val="32"/>
          <w:szCs w:val="32"/>
        </w:rPr>
        <w:br w:type="textWrapping"/>
      </w:r>
      <w:r>
        <w:rPr>
          <w:rFonts w:hint="eastAsia" w:ascii="仿宋" w:hAnsi="仿宋" w:eastAsia="仿宋"/>
          <w:color w:val="000000"/>
          <w:sz w:val="32"/>
          <w:szCs w:val="32"/>
        </w:rPr>
        <w:t>方可披露股票于退市整理期交易的风险提示公告）</w:t>
      </w:r>
    </w:p>
    <w:p>
      <w:pPr>
        <w:snapToGrid w:val="0"/>
        <w:spacing w:line="560" w:lineRule="exact"/>
        <w:jc w:val="center"/>
        <w:rPr>
          <w:rFonts w:ascii="仿宋" w:hAnsi="仿宋" w:eastAsia="仿宋"/>
          <w:color w:val="000000"/>
          <w:sz w:val="32"/>
          <w:szCs w:val="32"/>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rPr>
        <w:t xml:space="preserve"> </w:t>
      </w:r>
      <w:r>
        <w:rPr>
          <w:rFonts w:hint="eastAsia" w:ascii="仿宋" w:hAnsi="仿宋" w:eastAsia="仿宋"/>
          <w:color w:val="000000"/>
          <w:sz w:val="32"/>
          <w:szCs w:val="32"/>
        </w:rPr>
        <w:t>公司股票于退市整理期届满的次一交易日摘牌，公司股票终止上市。</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2.退市整理期起始日及预计最后交易日期。</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3.本公司股票将在退市整理期交易十五个交易日，截至本公告日已交易XX个交易日，剩余YY个交易日，交易期满将被终止上市，敬请投资者审慎投资、注意风险。</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4.公司股票在退市整理期交易期间，公司将不筹划或实施重大资产重组事项。</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5.请投资者、证券公司等市场主体在股票摘牌前及时了结股票质押式回购、约定购回、融资融券、转融通、深股通等业务。</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6.对于将在股票摘牌后至完成全国中小企业股份转让系统有限责任公司依托原证券公司代办股份转让系统设立并代为管理的两网公司及退市公司板块初始登记期间到期的司法冻结业务，建议有权机关在股票摘牌前通过原协助执行渠道提前办理续冻手续。</w:t>
      </w:r>
    </w:p>
    <w:p>
      <w:pPr>
        <w:pStyle w:val="58"/>
        <w:adjustRightInd w:val="0"/>
        <w:snapToGrid w:val="0"/>
        <w:spacing w:line="560" w:lineRule="exact"/>
        <w:ind w:firstLine="64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，本公司收到深圳证券交易所《关于终止××</w:t>
      </w:r>
      <w:r>
        <w:rPr>
          <w:rFonts w:hint="eastAsia" w:ascii="仿宋" w:hAnsi="仿宋" w:eastAsia="仿宋"/>
          <w:color w:val="000000"/>
          <w:kern w:val="0"/>
          <w:sz w:val="32"/>
          <w:szCs w:val="32"/>
        </w:rPr>
        <w:t>××</w:t>
      </w:r>
      <w:r>
        <w:rPr>
          <w:rFonts w:hint="eastAsia" w:ascii="仿宋" w:hAnsi="仿宋" w:eastAsia="仿宋"/>
          <w:color w:val="000000"/>
          <w:sz w:val="32"/>
          <w:szCs w:val="32"/>
        </w:rPr>
        <w:t>股份有限公司股票上市的决定》（深证上〔20 X X〕X号），深圳证券交易所决定终止公司股票上市。根据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的相关规定，本公司股票于</w:t>
      </w: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进入退市整理期交易。</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一、公司股票在退市整理期间的证券代码、证券简称及涨跌幅限制</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1.证券代码</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2.证券简称</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3.涨跌幅限制</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二、公司股票退市整理期交易起始日及交易期限</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进入退市整理期的起始日、交易期限及预计最后交易日期、退市整理期首日及后续交易日涨跌幅限制、公司股票于退市整理期届满的次一交易日摘牌等内容，同时还应当说明公司股票在退市整理期内全天停牌的，停牌期间不计入退市整理期、退市整理期间风险提示公告的披露安排等。</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三、退市整理期风险提示公告的披露安排</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于股票在退市整理期交易首日发布公司股票已被深圳证券交易所作出终止上市决定的风险提示公告；每五个交易日发布一次股票将被终止上市的风险提示公告，在最后五个交易日内每日发布一次股票将被终止上市的风险提示公告。</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四、公司股票在退市整理期交易期间公司将不筹划或者实施重大资产重组事宜的说明</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的相关规定，公司股票在退市整理期交易期间，公司将不筹划或实施重大资产重组事宜。</w:t>
      </w:r>
    </w:p>
    <w:p>
      <w:pPr>
        <w:widowControl/>
        <w:adjustRightInd w:val="0"/>
        <w:snapToGrid w:val="0"/>
        <w:spacing w:line="560" w:lineRule="exact"/>
        <w:jc w:val="left"/>
        <w:rPr>
          <w:rFonts w:ascii="仿宋" w:hAnsi="仿宋" w:eastAsia="仿宋" w:cs="宋体"/>
          <w:b/>
          <w:bCs/>
          <w:kern w:val="0"/>
          <w:sz w:val="32"/>
          <w:szCs w:val="32"/>
        </w:rPr>
      </w:pPr>
    </w:p>
    <w:p>
      <w:pPr>
        <w:widowControl/>
        <w:adjustRightInd w:val="0"/>
        <w:snapToGrid w:val="0"/>
        <w:spacing w:line="560" w:lineRule="exact"/>
        <w:jc w:val="left"/>
        <w:rPr>
          <w:rFonts w:ascii="仿宋" w:hAnsi="仿宋" w:eastAsia="仿宋" w:cs="宋体"/>
          <w:b/>
          <w:bCs/>
          <w:kern w:val="0"/>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XXXX股份有限公司</w:t>
      </w: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年  月  日</w:t>
      </w:r>
    </w:p>
    <w:p>
      <w:pPr>
        <w:widowControl/>
        <w:jc w:val="center"/>
        <w:outlineLvl w:val="2"/>
        <w:rPr>
          <w:rFonts w:ascii="方正小标宋简体" w:hAnsi="仿宋" w:eastAsia="方正小标宋简体"/>
          <w:kern w:val="44"/>
          <w:sz w:val="44"/>
          <w:szCs w:val="44"/>
        </w:rPr>
      </w:pPr>
      <w:r>
        <w:rPr>
          <w:rFonts w:hint="eastAsia" w:ascii="方正仿宋简体" w:hAnsi="仿宋" w:eastAsia="方正仿宋简体"/>
          <w:bCs/>
          <w:sz w:val="30"/>
          <w:szCs w:val="30"/>
        </w:rPr>
        <w:br w:type="page"/>
      </w:r>
      <w:bookmarkStart w:id="162" w:name="_Toc164973749"/>
      <w:bookmarkStart w:id="163" w:name="_Toc32158"/>
      <w:bookmarkStart w:id="164" w:name="_Toc32275"/>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上市公司股票终止上市暨摘牌公告格式</w:t>
      </w:r>
      <w:bookmarkEnd w:id="162"/>
      <w:bookmarkEnd w:id="163"/>
      <w:bookmarkEnd w:id="164"/>
    </w:p>
    <w:p>
      <w:pPr>
        <w:overflowPunct w:val="0"/>
        <w:autoSpaceDE w:val="0"/>
        <w:autoSpaceDN w:val="0"/>
        <w:adjustRightInd w:val="0"/>
        <w:spacing w:line="560" w:lineRule="exact"/>
        <w:ind w:firstLine="420"/>
        <w:rPr>
          <w:rFonts w:eastAsia="方正仿宋简体"/>
          <w:b/>
          <w:kern w:val="0"/>
          <w:sz w:val="32"/>
          <w:szCs w:val="32"/>
        </w:rPr>
      </w:pPr>
    </w:p>
    <w:p>
      <w:pPr>
        <w:adjustRightInd w:val="0"/>
        <w:snapToGrid w:val="0"/>
        <w:spacing w:line="560" w:lineRule="exact"/>
        <w:rPr>
          <w:rFonts w:ascii="仿宋" w:hAnsi="仿宋" w:eastAsia="仿宋"/>
          <w:sz w:val="32"/>
          <w:szCs w:val="30"/>
        </w:rPr>
      </w:pPr>
      <w:r>
        <w:rPr>
          <w:rFonts w:hint="eastAsia" w:ascii="仿宋" w:hAnsi="仿宋" w:eastAsia="仿宋"/>
          <w:sz w:val="32"/>
          <w:szCs w:val="30"/>
        </w:rPr>
        <w:t>证券代码：             证券简称：          公告编号：</w:t>
      </w:r>
    </w:p>
    <w:p>
      <w:pPr>
        <w:snapToGrid w:val="0"/>
        <w:spacing w:line="560" w:lineRule="exact"/>
        <w:jc w:val="center"/>
        <w:rPr>
          <w:rFonts w:ascii="仿宋" w:hAnsi="仿宋" w:eastAsia="仿宋"/>
          <w:color w:val="000000"/>
          <w:sz w:val="32"/>
          <w:szCs w:val="30"/>
        </w:rPr>
      </w:pPr>
      <w:r>
        <w:rPr>
          <w:rFonts w:hint="eastAsia" w:ascii="仿宋" w:hAnsi="仿宋" w:eastAsia="仿宋"/>
          <w:color w:val="000000"/>
          <w:sz w:val="32"/>
          <w:szCs w:val="30"/>
        </w:rPr>
        <w:t>XXXX股份有限公司股票终止上市暨摘牌的公告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2"/>
          <w:szCs w:val="30"/>
        </w:rPr>
        <w:t xml:space="preserve">    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1.（存在退市整理期的退市情形适用）公司股票已被深圳证券交易所决定终止上市，公司股票于20XX年X月X日进入退市整理期，在退市整理期交易十五个交易日，最后交易日为20XX年X月X日。 </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2.公司股票已被深圳证券交易所决定终止上市，将在20XX年X月X日被摘牌。</w: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20XX年X月X日，</w:t>
      </w:r>
      <w:r>
        <w:rPr>
          <w:rFonts w:hint="eastAsia" w:ascii="仿宋" w:hAnsi="仿宋" w:eastAsia="仿宋"/>
          <w:color w:val="000000"/>
          <w:sz w:val="32"/>
          <w:szCs w:val="32"/>
        </w:rPr>
        <w:t>本公司收到深圳证券交易所《关于终止XXXX股份有限公司股票上市的决定》（深证上〔20XX〕X号）。鉴于公司股票被深圳证券交易所决定终止上市，根据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关于退市公司进入退市板块挂牌转让的实施办法》等的相关规定，公司应当在股票被终止上市后及时做好相关工作，以确保公司股份在摘牌后四十五个交易日内可以进入全国中小企业股份转让系统有限责任公司管理的两网公司及退市公司板块（以下简称“退市板块”）挂牌转让。</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一、终止上市股票的证券种类、简称、代码、终止上市决定日期、摘牌日期</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1.证券种类</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2.证券代码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 xml:space="preserve">3.证券简称 </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4.终止上市决定日期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5.摘牌日期</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本部分应当披露收到深圳证券交易所关于公司股票终止上市决定的主要内容。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三、摘牌后股份确权、登记和托管等事宜</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本部分主要提示投资者确认或申报拟在退市板块使用的证券账户，并明确股票进入退市板块挂牌转让涉及的股份确权、登记和托管等相关安排，包括：</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1.披露主办券商的名称、确定主办券商的方式、签订委托股份转让协议的情况；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2.根据《关于退市公司进入退市板块挂牌转让的实施办法》，退市登记业务办理期间由主办券商负责登记退市公司股份，并办理股份确权、协助执法等业务。</w:t>
      </w:r>
    </w:p>
    <w:p>
      <w:pPr>
        <w:tabs>
          <w:tab w:val="left" w:pos="336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3.公司委托中国证券登记结算有限责任公司（以下简称中国结算）在股票摘牌前派发的现金红利，在股票摘牌时因特殊原因未派发的，处理方式如下：</w:t>
      </w:r>
    </w:p>
    <w:p>
      <w:pPr>
        <w:tabs>
          <w:tab w:val="left" w:pos="336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投资者所持股票未托管、未确权等原因未派发给投资者的现金红利，公司已委托中国结算深圳分公司继续负责保管和发放。对于未托管现金红利，投资者可通过中国结算北京分公司或中国结算深圳分公司申领。对于未确权现金红利，投资者办理股份确权登记时可一并申领。</w:t>
      </w:r>
    </w:p>
    <w:p>
      <w:pPr>
        <w:tabs>
          <w:tab w:val="left" w:pos="3360"/>
        </w:tabs>
        <w:spacing w:line="560" w:lineRule="exact"/>
        <w:ind w:firstLine="640" w:firstLineChars="200"/>
        <w:rPr>
          <w:rFonts w:eastAsia="仿宋" w:cs="仿宋"/>
          <w:sz w:val="32"/>
          <w:szCs w:val="32"/>
        </w:rPr>
      </w:pPr>
      <w:r>
        <w:rPr>
          <w:rFonts w:hint="eastAsia" w:ascii="仿宋" w:hAnsi="仿宋" w:eastAsia="仿宋"/>
          <w:color w:val="000000"/>
          <w:sz w:val="32"/>
          <w:szCs w:val="32"/>
        </w:rPr>
        <w:t>因投资者所持股票被质押、司法冻结等原因未派发给投资者的现金红利，公司已委托中国结算深圳分公司在股票完成退市板块初始登记前，暂为保管该部分现金红利并协助主办券商办理解冻资金的划付；在股票完成退市板块初始登记后，将该部分现金红利划至中国结算北京分公司，由中国结算北京分公司负责保管和发放。</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4.自公司股票摘牌后至完成退市板块初始登记期间，请投资者不要注销拟在退市板块使用的证券账户，否则可能导致股份无法按时完成退市板块的登记、影响后续股份转让。</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5.请投资者持续关注托管券商通知和主办券商发布的股份确权公告，并按上述通知和公告的时间要求，尽快联系托管券商或主办券商完成股份确权手续，并办理加挂资金账户等交易结算手续。</w:t>
      </w:r>
    </w:p>
    <w:p>
      <w:pPr>
        <w:overflowPunct w:val="0"/>
        <w:autoSpaceDE w:val="0"/>
        <w:autoSpaceDN w:val="0"/>
        <w:adjustRightInd w:val="0"/>
        <w:spacing w:line="560" w:lineRule="exact"/>
        <w:ind w:firstLine="643" w:firstLineChars="200"/>
        <w:rPr>
          <w:rFonts w:ascii="仿宋" w:hAnsi="仿宋" w:eastAsia="仿宋"/>
          <w:b/>
          <w:bCs/>
          <w:kern w:val="0"/>
          <w:sz w:val="32"/>
          <w:szCs w:val="32"/>
        </w:rPr>
      </w:pPr>
      <w:r>
        <w:rPr>
          <w:rFonts w:hint="eastAsia" w:ascii="仿宋" w:hAnsi="仿宋" w:eastAsia="仿宋"/>
          <w:b/>
          <w:bCs/>
          <w:kern w:val="0"/>
          <w:sz w:val="32"/>
          <w:szCs w:val="32"/>
        </w:rPr>
        <w:t>四、公司股票摘牌后至在退市板块挂牌前的信息披露</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由公司聘请的主办券商在全国股份转让系统网站（</w:t>
      </w:r>
      <w:r>
        <w:fldChar w:fldCharType="begin"/>
      </w:r>
      <w:r>
        <w:instrText xml:space="preserve"> HYPERLINK "http://www.neeq.com.cn" </w:instrText>
      </w:r>
      <w:r>
        <w:fldChar w:fldCharType="separate"/>
      </w:r>
      <w:r>
        <w:rPr>
          <w:rStyle w:val="33"/>
          <w:rFonts w:hint="eastAsia" w:ascii="仿宋" w:hAnsi="仿宋" w:eastAsia="仿宋"/>
          <w:kern w:val="0"/>
          <w:sz w:val="32"/>
          <w:szCs w:val="32"/>
        </w:rPr>
        <w:t>www.neeq.com.cn</w:t>
      </w:r>
      <w:r>
        <w:rPr>
          <w:rStyle w:val="33"/>
          <w:rFonts w:hint="eastAsia" w:ascii="仿宋" w:hAnsi="仿宋" w:eastAsia="仿宋"/>
          <w:kern w:val="0"/>
          <w:sz w:val="32"/>
          <w:szCs w:val="32"/>
        </w:rPr>
        <w:fldChar w:fldCharType="end"/>
      </w:r>
      <w:r>
        <w:rPr>
          <w:rFonts w:hint="eastAsia" w:ascii="仿宋" w:hAnsi="仿宋" w:eastAsia="仿宋"/>
          <w:color w:val="000000"/>
          <w:kern w:val="0"/>
          <w:sz w:val="32"/>
          <w:szCs w:val="32"/>
        </w:rPr>
        <w:t>）代为披露。</w:t>
      </w:r>
    </w:p>
    <w:p>
      <w:pPr>
        <w:widowControl/>
        <w:adjustRightInd w:val="0"/>
        <w:snapToGrid w:val="0"/>
        <w:spacing w:line="560" w:lineRule="exact"/>
        <w:ind w:firstLine="643" w:firstLineChars="200"/>
        <w:jc w:val="left"/>
        <w:rPr>
          <w:rFonts w:ascii="仿宋" w:hAnsi="仿宋" w:eastAsia="仿宋"/>
          <w:bCs/>
          <w:kern w:val="0"/>
          <w:sz w:val="32"/>
          <w:szCs w:val="32"/>
        </w:rPr>
      </w:pPr>
      <w:r>
        <w:rPr>
          <w:rFonts w:hint="eastAsia" w:ascii="仿宋" w:hAnsi="仿宋" w:eastAsia="仿宋"/>
          <w:b/>
          <w:bCs/>
          <w:kern w:val="0"/>
          <w:sz w:val="32"/>
          <w:szCs w:val="32"/>
        </w:rPr>
        <w:t>五、终止上市后公司的联系人、联系地址、电话和其他通讯方式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1.联系人</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2.联系地址</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3.咨询电话</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4.传真</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5.电子信箱</w:t>
      </w:r>
    </w:p>
    <w:p>
      <w:pPr>
        <w:autoSpaceDE w:val="0"/>
        <w:autoSpaceDN w:val="0"/>
        <w:adjustRightInd w:val="0"/>
        <w:spacing w:line="560" w:lineRule="exact"/>
        <w:ind w:firstLine="617" w:firstLineChars="192"/>
        <w:jc w:val="left"/>
        <w:rPr>
          <w:rFonts w:ascii="仿宋" w:hAnsi="仿宋" w:eastAsia="仿宋"/>
          <w:b/>
          <w:color w:val="000000"/>
          <w:sz w:val="32"/>
          <w:szCs w:val="32"/>
        </w:rPr>
      </w:pPr>
    </w:p>
    <w:p>
      <w:pPr>
        <w:autoSpaceDE w:val="0"/>
        <w:autoSpaceDN w:val="0"/>
        <w:adjustRightInd w:val="0"/>
        <w:spacing w:line="560" w:lineRule="exact"/>
        <w:ind w:firstLine="614" w:firstLineChars="192"/>
        <w:jc w:val="left"/>
        <w:rPr>
          <w:rFonts w:ascii="仿宋" w:hAnsi="仿宋" w:eastAsia="仿宋"/>
          <w:color w:val="000000"/>
          <w:kern w:val="0"/>
          <w:sz w:val="32"/>
          <w:szCs w:val="32"/>
        </w:rPr>
      </w:pPr>
    </w:p>
    <w:p>
      <w:pPr>
        <w:autoSpaceDE w:val="0"/>
        <w:autoSpaceDN w:val="0"/>
        <w:adjustRightInd w:val="0"/>
        <w:spacing w:line="560" w:lineRule="exact"/>
        <w:jc w:val="right"/>
        <w:rPr>
          <w:rFonts w:ascii="仿宋" w:hAnsi="仿宋" w:eastAsia="仿宋"/>
          <w:color w:val="000000"/>
          <w:kern w:val="0"/>
          <w:sz w:val="32"/>
          <w:szCs w:val="32"/>
        </w:rPr>
      </w:pPr>
      <w:r>
        <w:rPr>
          <w:rFonts w:hint="eastAsia" w:ascii="仿宋" w:hAnsi="仿宋" w:eastAsia="仿宋"/>
          <w:color w:val="000000"/>
          <w:kern w:val="0"/>
          <w:sz w:val="32"/>
          <w:szCs w:val="32"/>
        </w:rPr>
        <w:t>XXXX股份有限公司董事会</w:t>
      </w:r>
    </w:p>
    <w:p>
      <w:pPr>
        <w:spacing w:line="560" w:lineRule="exact"/>
        <w:jc w:val="right"/>
        <w:rPr>
          <w:rFonts w:ascii="仿宋" w:hAnsi="仿宋" w:eastAsia="仿宋"/>
          <w:color w:val="000000"/>
          <w:kern w:val="0"/>
          <w:sz w:val="32"/>
          <w:szCs w:val="32"/>
        </w:rPr>
      </w:pPr>
      <w:r>
        <w:rPr>
          <w:rFonts w:hint="eastAsia" w:ascii="仿宋" w:hAnsi="仿宋" w:eastAsia="仿宋"/>
          <w:color w:val="000000"/>
          <w:kern w:val="0"/>
          <w:sz w:val="32"/>
          <w:szCs w:val="32"/>
        </w:rPr>
        <w:t xml:space="preserve"> 年  月  日</w:t>
      </w:r>
    </w:p>
    <w:p>
      <w:pPr>
        <w:widowControl/>
        <w:jc w:val="center"/>
        <w:outlineLvl w:val="2"/>
        <w:rPr>
          <w:rFonts w:ascii="方正小标宋简体" w:hAnsi="仿宋" w:eastAsia="方正小标宋简体"/>
          <w:kern w:val="44"/>
          <w:sz w:val="44"/>
          <w:szCs w:val="44"/>
        </w:rPr>
      </w:pPr>
      <w:r>
        <w:rPr>
          <w:rFonts w:hint="eastAsia" w:ascii="仿宋" w:hAnsi="仿宋" w:eastAsia="仿宋"/>
          <w:color w:val="000000"/>
          <w:kern w:val="0"/>
          <w:sz w:val="32"/>
          <w:szCs w:val="32"/>
        </w:rPr>
        <w:br w:type="page"/>
      </w:r>
      <w:bookmarkStart w:id="165" w:name="_Toc164973750"/>
      <w:bookmarkStart w:id="166" w:name="_Toc18277"/>
      <w:bookmarkStart w:id="167" w:name="_Toc29349"/>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上市公司可转债交易异常波动/严重异常波动公告格式</w:t>
      </w:r>
      <w:bookmarkEnd w:id="165"/>
      <w:bookmarkEnd w:id="166"/>
      <w:bookmarkEnd w:id="167"/>
    </w:p>
    <w:p>
      <w:pPr>
        <w:overflowPunct w:val="0"/>
        <w:autoSpaceDE w:val="0"/>
        <w:autoSpaceDN w:val="0"/>
        <w:adjustRightInd w:val="0"/>
        <w:spacing w:line="560" w:lineRule="exact"/>
        <w:ind w:firstLine="420"/>
        <w:rPr>
          <w:rFonts w:eastAsia="方正仿宋简体"/>
          <w:b/>
          <w:kern w:val="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XXXXXX股份有限公司可转债交易异常波动</w:t>
      </w:r>
      <w:r>
        <w:rPr>
          <w:rFonts w:hint="eastAsia" w:ascii="仿宋" w:hAnsi="仿宋" w:eastAsia="仿宋"/>
          <w:sz w:val="32"/>
          <w:szCs w:val="32"/>
          <w:lang w:val="en-US" w:eastAsia="zh-CN"/>
        </w:rPr>
        <w:t>/严重异常波动</w:t>
      </w:r>
      <w:r>
        <w:rPr>
          <w:rFonts w:hint="eastAsia" w:ascii="仿宋" w:hAnsi="仿宋" w:eastAsia="仿宋"/>
          <w:sz w:val="32"/>
          <w:szCs w:val="32"/>
        </w:rPr>
        <w:t>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一、可转债发行上市概况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说明可转债发行上市的基本情况，包括发行日期、数量、面值、总额、利率、期限，上市日期、转债代码、转债简称，以及可转债开始转股的日期、转股价格等。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二、可转债交易异常波动/严重异常波动的具体情况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说明可转债交易异常波动/严重异常波动的具体情形及发生时间等。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可转换公司债券交易实施细则》规定的异常波动标准的，公司可参考以下表述描述可转债交易异常情形：①公司可转债交易连续3个交易日内日收盘价涨（跌）幅偏离值累计达到±30%；②证监会或者本所认定属于异常波动的其他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可转换公司债券交易实施细则》规定的严重异常波动标准的，公司可参考以下表述描述可转债交易严重异常情形：①公司可转债交易连续10个交易日内3次出现同向异常波动情形；②公司可转债交易连续10个交易日内日收盘价涨（跌）幅偏离值累计达到+100%（-50%）；③公司可转债交易连续30个交易日内日收盘价涨（跌）幅偏离值累计达到+200%（-70%）；④证监会或者本所认定属于严重异常波动的其他情形。如上市公司可转债交易出现严重异常波动的多种情形，应当列明出现的所有情形。</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三、说明关注、核实情况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说明关注问题、核实对象、核实方式、核实结论等。关注问题包括不限于：（1）前期披露的信息是否存在需要更正、补充之处；（2）近期公共传媒是否报道了可能或已经对公司可转债交易价格产生较大影响的未公开重大信息；（3）近期公司经营情况及内外部经营环境是否发生或预计将要发生重大变化；（4）公司、控股股东和实际控制人是否存在关于本公司的应披露而未披露的重大事项，或处于筹划阶段的重大事项；（5）可转债价格偏离可转债价值的程度；（6）上市公司董事、高级管理人员、实际控制人、控股股东及其一致行动人买卖公司可转债的情况；（7）是否存在导致可转债价格异常波动的重大信息或者重大风险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在关注、核实过程中发现涉及其他应披露事项的，要参照相关公告格式对有关事项逐项作出说明和披露。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传闻内容虽非涉及公司未公开重大信息，但可能或已经对公司可转债交易价格产生较大影响的，真实、准确、完整的说明相关情况对公司的影响并进行风险提示。中国证监会及本所另有要求的除外。</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四、是否存在应披露而未披露信息的说明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本公司董事会确认，本公司目前没有任何根据《创业板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上市规则》等有关规定应予以披露而未披露的事项或与该事项有关的筹划、商谈、意向、协议等；董事会也未获悉本公司有根据《创业板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上市规则》等有关规定应予以披露而未披露的、对本公司可转债交易价格产生较大影响的信息；公司前期披露的信息不存在需要更正、补充之处。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或：本公司董事会确认，除前述事项（指第三部分涉及的披露事项）外，本公司目前没有任何根据《创业板</w:t>
      </w:r>
      <w:r>
        <w:rPr>
          <w:rFonts w:hint="eastAsia" w:ascii="仿宋" w:hAnsi="仿宋" w:eastAsia="仿宋"/>
          <w:sz w:val="32"/>
          <w:szCs w:val="32"/>
          <w:lang w:eastAsia="zh-CN"/>
        </w:rPr>
        <w:t>股票</w:t>
      </w:r>
      <w:r>
        <w:rPr>
          <w:rFonts w:hint="eastAsia" w:ascii="仿宋" w:hAnsi="仿宋" w:eastAsia="仿宋"/>
          <w:sz w:val="32"/>
          <w:szCs w:val="32"/>
        </w:rPr>
        <w:t>上市规则》规定应予以披露而未披露的事项或与该事项有关的筹划、商谈、意向、协议等；董事会也未获悉本公司有根据《创业板</w:t>
      </w:r>
      <w:r>
        <w:rPr>
          <w:rFonts w:hint="eastAsia" w:ascii="仿宋" w:hAnsi="仿宋" w:eastAsia="仿宋"/>
          <w:sz w:val="32"/>
          <w:szCs w:val="32"/>
          <w:lang w:eastAsia="zh-CN"/>
        </w:rPr>
        <w:t>股票</w:t>
      </w:r>
      <w:r>
        <w:rPr>
          <w:rFonts w:hint="eastAsia" w:ascii="仿宋" w:hAnsi="仿宋" w:eastAsia="仿宋"/>
          <w:sz w:val="32"/>
          <w:szCs w:val="32"/>
        </w:rPr>
        <w:t>上市规则》的规定应予以披露而未披露的、对本公司可转债交易价格产生较大影响的信息；公司前期披露的信息不存在需要更正、补充之处。</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五、上市公司认为必要的风险提示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“XX转债”近期价格波动较大，XXXX年XX月XX日盘中涨幅/跌幅达XX%，当日收盘涨幅/跌幅XX%，换手率XX%。最近XX个交易日，累计涨幅/跌幅达到XX%。</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截至XXXX年XX月XX日，“XX转债”价格XX元/张，相对于票面价格溢价XX%。“XX转债”按照当前转股价格转换后的价值为XX元（转股价值），可转债价格相对于转股价值溢价XX%。当前“XX转债”存在较大的估值风险。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可转债可能触发赎回条款的风险提示。（如适用）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可转债可能触发赎回条款的，公司可参考以下表述：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募集说明书相关约定，当公司A股股票连续XX个交易日中至少有XX个交易日的收盘价格不低于当期转股价格的XX%（含XX%），发行人有权按照债券面值加当期应计利息的价格赎回全部或部分未转股的可转债。截至XXXX年XX月XX日，公司股票在任何连续XX个交易日中已有XX个交易日的收盘价格不低于当期转股价格的XX%（触及时适用），存在一定的赎回风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若“XX转债”触发赎回条款、且公司决定赎回，投资者所持可转债除在规定时限内通过二级市场继续交易或按照XX元的转股价格进行转股外，仅能选择以100元/张的票面价格加当期应计利息（即XX元）被强制赎回，可能面临较大投资损失。（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公司应自查是否存在违反信息公平披露的情形，并在公告中予以明确说明。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在公告中郑重提醒广大投资者：“《XXXX报》和XXX网站为公司选定的信息披露媒体，公司所有信息均以在上述指定媒体刊登的信息为准，请广大投资者理性投资，注意风险。”</w:t>
      </w:r>
    </w:p>
    <w:p>
      <w:pPr>
        <w:snapToGrid w:val="0"/>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jc w:val="left"/>
        <w:rPr>
          <w:rFonts w:ascii="仿宋" w:hAnsi="仿宋" w:eastAsia="仿宋"/>
          <w:sz w:val="32"/>
          <w:szCs w:val="32"/>
        </w:rPr>
        <w:sectPr>
          <w:pgSz w:w="11906" w:h="16838"/>
          <w:pgMar w:top="1440" w:right="1797" w:bottom="1440" w:left="1797" w:header="851" w:footer="992" w:gutter="0"/>
          <w:cols w:space="720" w:num="1"/>
          <w:formProt w:val="1"/>
          <w:docGrid w:linePitch="312" w:charSpace="0"/>
        </w:sectPr>
      </w:pPr>
    </w:p>
    <w:p>
      <w:pPr>
        <w:keepNext/>
        <w:keepLines/>
        <w:spacing w:before="340" w:line="560" w:lineRule="exact"/>
        <w:jc w:val="center"/>
        <w:outlineLvl w:val="2"/>
        <w:rPr>
          <w:rFonts w:ascii="方正小标宋简体" w:hAnsi="仿宋" w:eastAsia="方正小标宋简体"/>
          <w:kern w:val="44"/>
          <w:sz w:val="44"/>
          <w:szCs w:val="44"/>
        </w:rPr>
      </w:pPr>
      <w:bookmarkStart w:id="168" w:name="_Toc20683"/>
      <w:bookmarkStart w:id="169" w:name="_Toc164973751"/>
      <w:bookmarkStart w:id="170" w:name="_Toc18019"/>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上市公司期货和衍生品交易（含套期保值业务）公告格式</w:t>
      </w:r>
      <w:bookmarkEnd w:id="168"/>
      <w:bookmarkEnd w:id="169"/>
      <w:bookmarkEnd w:id="170"/>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适用范围：</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上市公司开展《深圳证券交易所上市公司自律监管指引第7号——交易与关联交易》中规定的期货和衍生品交易（含套期保值业务）的，适用本公告格式。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XXXXXX股份有限公司期货和衍生品交易（含套期保值业务）</w:t>
      </w:r>
    </w:p>
    <w:p>
      <w:pPr>
        <w:adjustRightInd w:val="0"/>
        <w:snapToGrid w:val="0"/>
        <w:spacing w:line="560" w:lineRule="exact"/>
        <w:jc w:val="center"/>
        <w:rPr>
          <w:rFonts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187325</wp:posOffset>
                </wp:positionV>
                <wp:extent cx="5915025" cy="1628775"/>
                <wp:effectExtent l="4445" t="4445" r="5080" b="508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a:effectLst/>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710464;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wkQa9YAAAAHAQAADwAAAAAAAAABACAAAAAiAAAAZHJzL2Rv&#10;d25yZXYueG1sUEsBAhQAFAAAAAgAh07iQHeEf6U8AgAAiwQAAA4AAAAAAAAAAQAgAAAAJQEAAGRy&#10;cy9lMm9Eb2MueG1sUEsFBgAAAAAGAAYAWQEAANM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olor w:val="000000"/>
          <w:kern w:val="0"/>
          <w:sz w:val="32"/>
          <w:szCs w:val="32"/>
        </w:rPr>
        <w:t>交易目的、交易品种、交易工具、交易场所和交易金额</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2．已履行及拟履行的审议程序。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3．风险提示。</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一、投资情况概述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投资目的：简述期货和衍生品交易的目的，结合公司主营业务说明交易的必要性及可行性、是否影响公司主营业务的发展、公司资金使用安排是否合理等。公司应在公告标题中明确说明本次交易目的（投资或套期保值）。</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以套期保值为目的开展期货和衍生品交易的，应当说明期货和衍生品品种、预期管理的风险敞口，明确两者是否存在风险相互对冲的经济关系，如何运用期货和衍生品对相关风险敞口进行套期保值，并说明套期保值预计可实现的效果。</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以获取投资收益为目的的期货和衍生品交易的，不得在公告内容及标题中使用“套期保值”“风险管理”等可能使投资者对交易目的产生误解的词语。</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2．交易金额：说明预计动用的交易保证金和权利金上限（包括为交易而提供的担保物价值、预计占用的金融机构授信额度、为应急措施所预留的保证金等）和</w:t>
      </w:r>
      <w:r>
        <w:rPr>
          <w:rFonts w:hint="eastAsia" w:ascii="仿宋" w:hAnsi="仿宋" w:eastAsia="仿宋"/>
          <w:color w:val="000000"/>
          <w:kern w:val="0"/>
          <w:sz w:val="32"/>
          <w:szCs w:val="32"/>
        </w:rPr>
        <w:t>预计任一交易日持有的最高合约价值</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如果公司对</w:t>
      </w:r>
      <w:r>
        <w:rPr>
          <w:rFonts w:hint="eastAsia" w:ascii="仿宋" w:hAnsi="仿宋" w:eastAsia="仿宋"/>
          <w:color w:val="000000"/>
          <w:kern w:val="0"/>
          <w:sz w:val="32"/>
          <w:szCs w:val="32"/>
        </w:rPr>
        <w:t>未来十二个月内期货和衍生品交易的额度进行合理预计并审议</w:t>
      </w:r>
      <w:r>
        <w:rPr>
          <w:rFonts w:hint="eastAsia" w:ascii="仿宋" w:hAnsi="仿宋" w:eastAsia="仿宋" w:cs="宋体"/>
          <w:kern w:val="0"/>
          <w:sz w:val="32"/>
          <w:szCs w:val="32"/>
        </w:rPr>
        <w:t>，应明确期限内任一时点的交易金额</w:t>
      </w:r>
      <w:r>
        <w:rPr>
          <w:rFonts w:hint="eastAsia" w:ascii="仿宋" w:hAnsi="仿宋" w:eastAsia="仿宋"/>
          <w:color w:val="000000"/>
          <w:kern w:val="0"/>
          <w:sz w:val="32"/>
          <w:szCs w:val="32"/>
        </w:rPr>
        <w:t>（含前述交易的收益进行再交易的相关金额）将</w:t>
      </w:r>
      <w:r>
        <w:rPr>
          <w:rFonts w:hint="eastAsia" w:ascii="仿宋" w:hAnsi="仿宋" w:eastAsia="仿宋" w:cs="宋体"/>
          <w:kern w:val="0"/>
          <w:sz w:val="32"/>
          <w:szCs w:val="32"/>
        </w:rPr>
        <w:t>不超过</w:t>
      </w:r>
      <w:r>
        <w:rPr>
          <w:rFonts w:hint="eastAsia" w:ascii="仿宋" w:hAnsi="仿宋" w:eastAsia="仿宋"/>
          <w:color w:val="000000"/>
          <w:kern w:val="0"/>
          <w:sz w:val="32"/>
          <w:szCs w:val="32"/>
        </w:rPr>
        <w:t>已审议额度</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3．交易方式：说明</w:t>
      </w:r>
      <w:r>
        <w:rPr>
          <w:rFonts w:hint="eastAsia" w:ascii="仿宋" w:hAnsi="仿宋" w:eastAsia="仿宋"/>
          <w:color w:val="000000"/>
          <w:kern w:val="0"/>
          <w:sz w:val="32"/>
          <w:szCs w:val="32"/>
        </w:rPr>
        <w:t>交易场所和具体交易品种。如拟在境外开展期货和衍生品交易的或者拟开展场外衍生品交易，应进一步说明交易的必要性。</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4．交易期限：说明本次授权在交易额度范围内进行期货和衍生品交易的期限。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5．资金来源：说明公司本次交易的资金来源，有无涉及使用募集资金或者银行信贷资金。</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说明本次交易需要履行的程序，是否已获得公司董事会或者股东会审议通过；涉及关联交易的，说明是否需要履行或者已履行的关联交易审议程序，以及相关的表决情况等。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三、交易风险分析及风控措施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评估本次交易的风险，说明公司期货和衍生品交易相关部门设置与人员配备情况、账户及资金管理制度、交易决策程序、报告制度、风险监控等内部控制及风险管理方面的情况。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公司拟在境外开展期货和衍生品交易的，应当披露在相关国家和地区开展交易的政治、经济和法律等风险，是否已充分考虑结算便捷性、交易流动性、汇率波动性等因素。</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公司拟开展场外衍生品交易的，应当披露产品结构复杂程度、流动性风险及交易对手信用风险。</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以获取投资收益为目的的期货和衍生品交易的，公司应当分项披露交易各类期货和衍生品的风险，包括但不限于市场风险、流动性风险、信用风险、操作风险、法律风险等风险及其估算方法、参数设置、发生概率，说明针对各类期货和衍生品设定的止损限额等风险管理措施，分析并披露上述风险可能导致相关合约产生最大损失金额。</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四、交易相关会计处理</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公司拟采用的会计政策及核算原则。公司以套期保值为目的开展期货和衍生品交易的，应当说明套期保值业务是否符合《企业会计准则第24号——套期会计》规定的套期会计适用条件、是否拟采取套期会计进行会计处理。</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五、中介机构意见（如适用）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保荐人应当就公司期货和衍生品交易的合规性、对公司的影响、可能存在的风险、公司采取的风险控制措施是否充分有效等事项进行核查，并出具结论性意见（如适用）。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公司聘请专业机构就期货和衍生品交易出具的可行性分析报告应当同时披露。</w:t>
      </w: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kern w:val="0"/>
          <w:sz w:val="32"/>
          <w:szCs w:val="32"/>
        </w:rPr>
      </w:pPr>
      <w:r>
        <w:rPr>
          <w:rFonts w:hint="eastAsia" w:ascii="仿宋" w:hAnsi="仿宋" w:eastAsia="仿宋" w:cs="宋体"/>
          <w:b/>
          <w:kern w:val="0"/>
          <w:sz w:val="32"/>
          <w:szCs w:val="32"/>
        </w:rPr>
        <w:t>备注：</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上市公司关于期货和衍生品交易（含套期保值业务）公告首次披露后，如后续出现本所《上市公司自律监管指引第7号——交易与关联交易》规定的需披露的亏损情形，应当及时披露相关情况、拟采取的应对措施。因开展套期保值业务导致亏损达到披露标准时，还应当重新评估套期关系的有效性，披露套期工具和被套期项目的公允价值或者现金流量变动未按预期抵销的原因，并分别披露套期工具和被套期项目价值变动情况等。</w:t>
      </w:r>
    </w:p>
    <w:p>
      <w:pPr>
        <w:spacing w:line="560" w:lineRule="exact"/>
        <w:ind w:firstLine="643" w:firstLineChars="200"/>
        <w:rPr>
          <w:rFonts w:hint="eastAsia" w:ascii="仿宋" w:hAnsi="仿宋" w:eastAsia="仿宋" w:cs="宋体"/>
          <w:b/>
          <w:kern w:val="0"/>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 xml:space="preserve">保荐人意见（如适用）； </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公司出具的可行性分析报告；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专业机构出具的可行性分析报告（如适用）；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4</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期货和衍生品交易合同或者具体说明材料。</w:t>
      </w:r>
    </w:p>
    <w:p>
      <w:pPr>
        <w:pStyle w:val="2"/>
      </w:pPr>
    </w:p>
    <w:p>
      <w:pPr>
        <w:spacing w:line="560" w:lineRule="exact"/>
        <w:ind w:right="480" w:firstLine="3430"/>
        <w:jc w:val="right"/>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jc w:val="right"/>
        <w:rPr>
          <w:rFonts w:ascii="仿宋" w:hAnsi="仿宋" w:eastAsia="仿宋"/>
          <w:color w:val="000000"/>
          <w:kern w:val="0"/>
          <w:sz w:val="32"/>
          <w:szCs w:val="32"/>
        </w:rPr>
      </w:pPr>
    </w:p>
    <w:p>
      <w:pPr>
        <w:rPr>
          <w:rFonts w:ascii="方正仿宋简体" w:eastAsia="方正仿宋简体"/>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keepNext w:val="0"/>
        <w:keepLines w:val="0"/>
        <w:spacing w:before="0" w:line="240" w:lineRule="auto"/>
        <w:jc w:val="left"/>
        <w:outlineLvl w:val="9"/>
        <w:rPr>
          <w:rFonts w:hint="eastAsia" w:ascii="方正小标宋简体" w:hAnsi="仿宋" w:eastAsia="方正小标宋简体"/>
          <w:kern w:val="44"/>
          <w:sz w:val="44"/>
          <w:szCs w:val="44"/>
        </w:rPr>
      </w:pPr>
      <w:bookmarkStart w:id="171" w:name="_Toc2425"/>
      <w:bookmarkStart w:id="172" w:name="_Toc2007"/>
      <w:bookmarkStart w:id="173" w:name="_Toc25696"/>
      <w:r>
        <w:rPr>
          <w:rFonts w:hint="eastAsia" w:ascii="方正小标宋简体" w:hAnsi="仿宋" w:eastAsia="方正小标宋简体"/>
          <w:kern w:val="44"/>
          <w:sz w:val="44"/>
          <w:szCs w:val="44"/>
        </w:rPr>
        <w:br w:type="page"/>
      </w:r>
    </w:p>
    <w:p>
      <w:pPr>
        <w:keepNext/>
        <w:keepLines/>
        <w:spacing w:before="340"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58</w:t>
      </w:r>
      <w:r>
        <w:rPr>
          <w:rFonts w:hint="eastAsia" w:ascii="方正小标宋简体" w:hAnsi="仿宋" w:eastAsia="方正小标宋简体"/>
          <w:kern w:val="44"/>
          <w:sz w:val="44"/>
          <w:szCs w:val="44"/>
        </w:rPr>
        <w:t>号　上市公司</w:t>
      </w:r>
      <w:r>
        <w:rPr>
          <w:rFonts w:hint="eastAsia" w:ascii="方正小标宋简体" w:hAnsi="仿宋" w:eastAsia="方正小标宋简体"/>
          <w:kern w:val="44"/>
          <w:sz w:val="44"/>
          <w:szCs w:val="44"/>
          <w:lang w:eastAsia="zh-CN"/>
        </w:rPr>
        <w:t>估值提升计划</w:t>
      </w:r>
      <w:r>
        <w:rPr>
          <w:rFonts w:hint="eastAsia" w:ascii="方正小标宋简体" w:hAnsi="仿宋" w:eastAsia="方正小标宋简体"/>
          <w:kern w:val="44"/>
          <w:sz w:val="44"/>
          <w:szCs w:val="44"/>
        </w:rPr>
        <w:t>公告格式</w:t>
      </w:r>
      <w:bookmarkEnd w:id="171"/>
      <w:bookmarkEnd w:id="172"/>
      <w:bookmarkEnd w:id="173"/>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适用情形：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lang w:eastAsia="zh-CN"/>
        </w:rPr>
        <w:t>根据中国证监会</w:t>
      </w:r>
      <w:r>
        <w:rPr>
          <w:rFonts w:hint="eastAsia" w:ascii="Times New Roman" w:hAnsi="Times New Roman" w:eastAsia="仿宋"/>
          <w:sz w:val="32"/>
          <w:szCs w:val="32"/>
          <w:lang w:eastAsia="zh-CN"/>
        </w:rPr>
        <w:t>《上市公司监管指引第</w:t>
      </w:r>
      <w:r>
        <w:rPr>
          <w:rFonts w:hint="eastAsia" w:ascii="仿宋" w:hAnsi="仿宋" w:eastAsia="仿宋" w:cs="仿宋"/>
          <w:sz w:val="32"/>
          <w:szCs w:val="32"/>
          <w:lang w:eastAsia="zh-CN"/>
        </w:rPr>
        <w:t>10号——市值管理》</w:t>
      </w:r>
      <w:r>
        <w:rPr>
          <w:rFonts w:hint="eastAsia" w:ascii="仿宋" w:hAnsi="仿宋" w:eastAsia="仿宋"/>
          <w:sz w:val="32"/>
          <w:szCs w:val="32"/>
        </w:rPr>
        <w:t>的规定</w:t>
      </w:r>
      <w:r>
        <w:rPr>
          <w:rFonts w:hint="eastAsia" w:ascii="仿宋" w:hAnsi="仿宋" w:eastAsia="仿宋" w:cs="仿宋"/>
          <w:sz w:val="32"/>
          <w:szCs w:val="32"/>
          <w:lang w:eastAsia="zh-CN"/>
        </w:rPr>
        <w:t>，长期破净公司应当披露上市公司估值提升计划。长期破净是指公司股票连续12个月每个交易日的收盘价，均低于其最近一个会计年度经审计的每股归属于普通股股东的净资产（以下简称每股净资产）。判断是否触及长期破净情形应当采用回溯方式，以公司股票收盘价与当日已披露的最近一个会计年度经审计的每股净资产进行比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上市公司应当在每个季度最后一个交易日，确认是否触及前述长期破净情形</w:t>
      </w:r>
      <w:r>
        <w:rPr>
          <w:rStyle w:val="35"/>
          <w:rFonts w:hint="eastAsia" w:ascii="仿宋" w:hAnsi="仿宋" w:eastAsia="仿宋"/>
          <w:sz w:val="32"/>
          <w:szCs w:val="32"/>
          <w:lang w:val="en-US" w:eastAsia="zh-CN"/>
        </w:rPr>
        <w:footnoteReference w:id="2" w:customMarkFollows="1"/>
        <w:t>注</w:t>
      </w:r>
      <w:r>
        <w:rPr>
          <w:rFonts w:hint="eastAsia" w:ascii="仿宋" w:hAnsi="仿宋" w:eastAsia="仿宋"/>
          <w:sz w:val="32"/>
          <w:szCs w:val="32"/>
          <w:lang w:val="en-US" w:eastAsia="zh-CN"/>
        </w:rPr>
        <w:t>。触及相关情形的，应当在每个季度结束之日起2个月内披露估值提升计划。已披露估值提升计划的，在估值提升计划到期前无需再次披露，经董事会评估后需要完善的除外。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sz w:val="32"/>
          <w:szCs w:val="32"/>
          <w:lang w:val="en-US" w:eastAsia="zh-CN"/>
        </w:rPr>
      </w:pPr>
    </w:p>
    <w:p>
      <w:pPr>
        <w:autoSpaceDE w:val="0"/>
        <w:autoSpaceDN w:val="0"/>
        <w:adjustRightInd w:val="0"/>
        <w:spacing w:line="560" w:lineRule="exact"/>
        <w:jc w:val="both"/>
        <w:rPr>
          <w:rFonts w:hint="eastAsia" w:ascii="仿宋" w:hAnsi="仿宋" w:eastAsia="仿宋"/>
          <w:sz w:val="32"/>
          <w:szCs w:val="32"/>
          <w:lang w:eastAsia="zh-CN"/>
        </w:rPr>
      </w:pPr>
    </w:p>
    <w:p>
      <w:pPr>
        <w:snapToGri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cs="仿宋"/>
          <w:b/>
          <w:bCs/>
          <w:sz w:val="32"/>
          <w:szCs w:val="32"/>
          <w:lang w:val="en-US" w:eastAsia="zh-CN"/>
        </w:rPr>
        <w:br w:type="page"/>
      </w:r>
      <w:r>
        <w:rPr>
          <w:rFonts w:hint="eastAsia" w:ascii="仿宋" w:hAnsi="仿宋" w:eastAsia="仿宋"/>
          <w:sz w:val="32"/>
          <w:szCs w:val="32"/>
        </w:rPr>
        <w:t>证券代码：        证券简称：        公告编号：</w:t>
      </w:r>
    </w:p>
    <w:p>
      <w:pPr>
        <w:snapToGrid w:val="0"/>
        <w:spacing w:line="560" w:lineRule="exact"/>
        <w:jc w:val="center"/>
        <w:rPr>
          <w:rFonts w:hint="eastAsia" w:ascii="仿宋" w:hAnsi="仿宋" w:eastAsia="仿宋"/>
          <w:sz w:val="32"/>
          <w:szCs w:val="32"/>
          <w:lang w:eastAsia="zh-CN"/>
        </w:rPr>
      </w:pPr>
      <w:r>
        <w:rPr>
          <w:rFonts w:hint="eastAsia" w:ascii="仿宋" w:hAnsi="仿宋" w:eastAsia="仿宋"/>
          <w:sz w:val="32"/>
          <w:szCs w:val="32"/>
        </w:rPr>
        <w:t>XXXXXX股份有限公司</w:t>
      </w:r>
      <w:r>
        <w:rPr>
          <w:rFonts w:hint="eastAsia" w:ascii="仿宋" w:hAnsi="仿宋" w:eastAsia="仿宋"/>
          <w:sz w:val="32"/>
          <w:szCs w:val="32"/>
          <w:lang w:eastAsia="zh-CN"/>
        </w:rPr>
        <w:t>估值提升计划</w:t>
      </w:r>
    </w:p>
    <w:p>
      <w:pPr>
        <w:rPr>
          <w:rFonts w:hint="eastAsia" w:ascii="仿宋" w:hAnsi="仿宋" w:eastAsia="仿宋" w:cs="仿宋"/>
          <w:b/>
          <w:bCs/>
          <w:sz w:val="32"/>
          <w:szCs w:val="32"/>
          <w:lang w:val="en-US" w:eastAsia="zh-CN"/>
        </w:rPr>
      </w:pPr>
      <w:r>
        <w:rPr>
          <w:rFonts w:hint="eastAsia" w:ascii="Calibri" w:hAnsi="Calibri"/>
          <w:szCs w:val="22"/>
        </w:rPr>
        <mc:AlternateContent>
          <mc:Choice Requires="wps">
            <w:drawing>
              <wp:anchor distT="0" distB="0" distL="114300" distR="114300" simplePos="0" relativeHeight="251712512" behindDoc="0" locked="0" layoutInCell="1" allowOverlap="1">
                <wp:simplePos x="0" y="0"/>
                <wp:positionH relativeFrom="margin">
                  <wp:posOffset>-209550</wp:posOffset>
                </wp:positionH>
                <wp:positionV relativeFrom="paragraph">
                  <wp:posOffset>106680</wp:posOffset>
                </wp:positionV>
                <wp:extent cx="5915025" cy="1628775"/>
                <wp:effectExtent l="4445" t="4445" r="5080" b="5080"/>
                <wp:wrapNone/>
                <wp:docPr id="234" name="矩形 23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8.4pt;height:128.25pt;width:465.75pt;mso-position-horizontal-relative:margin;z-index:251712512;mso-width-relative:page;mso-height-relative:page;" fillcolor="#FFFFFF" filled="t" stroked="t" coordsize="21600,21600" o:gfxdata="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67Haz2AAAAAoBAAAPAAAAAAAAAAEAIAAAACIAAABkcnMvZG93&#10;bnJldi54bWxQSwECFAAUAAAACACHTuJA64zJlDkCAAB/BAAADgAAAAAAAAABACAAAAAnAQAAZHJz&#10;L2Uyb0RvYy54bWxQSwUGAAAAAAYABgBZAQAA0g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一、触及情形及审议程序</w:t>
      </w:r>
    </w:p>
    <w:p>
      <w:pPr>
        <w:numPr>
          <w:ilvl w:val="0"/>
          <w:numId w:val="0"/>
        </w:num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说明公司触及长期破净情形的具体情况，包括起止时点、股价变动区间及每股净资产情况等。</w:t>
      </w:r>
    </w:p>
    <w:p>
      <w:pPr>
        <w:numPr>
          <w:ilvl w:val="0"/>
          <w:numId w:val="0"/>
        </w:numPr>
        <w:spacing w:line="56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说明董事会会议的召开、审议和表决情况。</w:t>
      </w:r>
    </w:p>
    <w:p>
      <w:pPr>
        <w:numPr>
          <w:ilvl w:val="0"/>
          <w:numId w:val="0"/>
        </w:numPr>
        <w:spacing w:line="560" w:lineRule="exact"/>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二、估值提升计划具体方案</w:t>
      </w:r>
    </w:p>
    <w:p>
      <w:pPr>
        <w:numPr>
          <w:ilvl w:val="0"/>
          <w:numId w:val="0"/>
        </w:num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上市公司应当说明提升上市公司质量和投资价值的具体举措，相关举措应当结合公司自身情况、围绕公司主业展开，明确、具体、可执行，不得使用容易引起歧义或者误导投资者的表述。</w:t>
      </w:r>
      <w:r>
        <w:rPr>
          <w:rFonts w:hint="eastAsia" w:ascii="仿宋" w:hAnsi="仿宋" w:eastAsia="仿宋" w:cs="仿宋"/>
          <w:color w:val="000000"/>
          <w:kern w:val="0"/>
          <w:sz w:val="32"/>
          <w:szCs w:val="32"/>
          <w:highlight w:val="none"/>
          <w:lang w:val="en-US" w:eastAsia="zh-CN" w:bidi="ar"/>
        </w:rPr>
        <w:t>公司披露预测性信息及其他涉及公司未来经营和财务状况等信息的，应当说明假设基础、依据和风险因素等，合理、谨慎、客观，不得出现误导性陈述。</w:t>
      </w:r>
      <w:r>
        <w:rPr>
          <w:rFonts w:hint="eastAsia" w:ascii="仿宋" w:hAnsi="仿宋" w:eastAsia="仿宋" w:cs="仿宋"/>
          <w:b w:val="0"/>
          <w:bCs w:val="0"/>
          <w:sz w:val="32"/>
          <w:szCs w:val="32"/>
          <w:lang w:val="en-US" w:eastAsia="zh-CN"/>
        </w:rPr>
        <w:t>相关举措可以包括：</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经营提升。上市公司应当重视经营质量的整体提高，说明提升经营效率和盈利能力的具体措施。公司应当专注主业、稳健经营，采取具体措施积极开拓市场、提升营运能力、强化成本控制、加大研发力度，以新质生产力的培育和运用，推动经营水平和发展质量提升。</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并购重组。上市公司可以围绕科技创新、产业升级布局，通过并购重组加快发展新质生产力，引导更多资源要素向新质生产力方向聚集，优化资产结构和业务布局，提升上市公司核心竞争力和内在价值。在重大事项决策中应当充分考虑投资者利益和回报，坚持稳健经营，避免盲目扩张。</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（3）股权激励和员工持股计划。上市公司可以建立并披露长效激励机制，充分运用股权激励、员工持股计划等工具，合理拟定授予价格、激励对象范围、股票数量和业绩考核条件等。</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现金分红。上市公司可以根据公司发展阶段和经营情况，制定并披露中长期分红规划，明确分红条件、分红频次、分红比例等，提升分红的稳定性、及时性和可预期性。上市公司可以结合业绩情况及未分配利润情况，开展一年多次分红、预分红、春节前分红，增强投资者获得感。</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投资者关系管理和信息披露。上市公司可以制定并披露与投资者沟通交流的计划安排，通过投资者说明会、业绩说明会、路演、投资者调研、证券分析师调研等形式，积极收集、分析市场各方对上市公司投资价值的判断和对上市公司经营的预期，持续加强与投资者的互动交流。上市公司可以制定并披露有关舆情监测管理、重大事项响应的机制安排，可以说明提高公告可读性的具体方式，持续提升信息披露透明度和精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股份回购和股东增持。上市公司可以结合公司股权结构和业务经营需要，明确股份回购的机制安排，如回购触发情形、回购计划、回购主要用途、资金规划等。鼓励上市公司将回购股份依法注销。上市公司大股东、董事、高级管理人员可以</w:t>
      </w:r>
      <w:r>
        <w:rPr>
          <w:rFonts w:hint="eastAsia" w:ascii="仿宋" w:hAnsi="仿宋" w:eastAsia="仿宋" w:cs="仿宋"/>
          <w:b w:val="0"/>
          <w:bCs w:val="0"/>
          <w:sz w:val="32"/>
          <w:szCs w:val="32"/>
          <w:highlight w:val="none"/>
          <w:lang w:val="en-US" w:eastAsia="zh-CN"/>
        </w:rPr>
        <w:t>结合实际情况制定、披露并实施股份增持计划，</w:t>
      </w:r>
      <w:r>
        <w:rPr>
          <w:rFonts w:hint="eastAsia" w:ascii="仿宋" w:hAnsi="仿宋" w:eastAsia="仿宋" w:cs="仿宋"/>
          <w:b w:val="0"/>
          <w:bCs w:val="0"/>
          <w:sz w:val="32"/>
          <w:szCs w:val="32"/>
          <w:lang w:val="en-US" w:eastAsia="zh-CN"/>
        </w:rPr>
        <w:t>或者通过自愿延长股份锁定期、自愿终止减持计划以及承诺不减持股份等方式，提振市场信心。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（7）其他合规措施。上市公司可以结合其实际情况，制定其他与强化市值管理相关的具体举措。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上市公司已披露或者同步披露“质量回报双提升”行动方案的，估值提升计划与“质量回报双提升”行动方案内容应当保持内在统一，不得出现前后矛盾情形。</w:t>
      </w:r>
    </w:p>
    <w:p>
      <w:pPr>
        <w:spacing w:line="560" w:lineRule="exact"/>
        <w:ind w:firstLine="643" w:firstLineChars="200"/>
        <w:rPr>
          <w:rFonts w:hint="default" w:ascii="仿宋" w:hAnsi="仿宋" w:eastAsia="仿宋" w:cs="仿宋"/>
          <w:b/>
          <w:bCs/>
          <w:sz w:val="32"/>
          <w:szCs w:val="32"/>
          <w:highlight w:val="none"/>
          <w:u w:val="none"/>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u w:val="none"/>
          <w:lang w:val="en-US" w:eastAsia="zh-CN"/>
        </w:rPr>
        <w:t>估值提升计划的后续评估及专项说明（如适用）</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长期破净公司应当至少每年对估值提升计划的实施效果进行评估，评估后需要完善的，将完善后的估值提升计划经董事会审议后披露。</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上市公司触及长期破净情形所处会计年度的日平均市净率低于所在行业平均值的，应当就估值提升计划的执行情况在年度业绩说明会中进行专项说明。行业分类可参考市场公开可获取的相关信息。</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结合公司实际情况等因素，说明</w:t>
      </w:r>
      <w:r>
        <w:rPr>
          <w:rFonts w:hint="eastAsia" w:ascii="仿宋" w:hAnsi="仿宋" w:eastAsia="仿宋"/>
          <w:sz w:val="32"/>
          <w:szCs w:val="32"/>
          <w:lang w:eastAsia="zh-CN"/>
        </w:rPr>
        <w:t>上市公司估值提升计划的合理性、可行性，是否有利于提升上市公司投资价值和增强投资者回报</w:t>
      </w:r>
      <w:r>
        <w:rPr>
          <w:rFonts w:hint="eastAsia" w:ascii="仿宋" w:hAnsi="仿宋" w:eastAsia="仿宋"/>
          <w:sz w:val="32"/>
          <w:szCs w:val="32"/>
        </w:rPr>
        <w:t>。</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五、风险提示</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说明本估值提升计划不代表对公司股价、市值、未来业绩等方面的承诺，计划实施效果情况存在不确定性，并向市场充分提示投资风险。</w:t>
      </w:r>
    </w:p>
    <w:p>
      <w:pPr>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其他风险提示。</w:t>
      </w:r>
    </w:p>
    <w:p>
      <w:pPr>
        <w:spacing w:line="560" w:lineRule="exact"/>
        <w:ind w:firstLine="640" w:firstLineChars="200"/>
        <w:rPr>
          <w:rFonts w:ascii="Times New Roman" w:hAnsi="Times New Roman"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pStyle w:val="7"/>
        <w:ind w:left="0" w:leftChars="0" w:firstLine="0" w:firstLineChars="0"/>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XXXX年XX月XX日</w:t>
      </w:r>
    </w:p>
    <w:p>
      <w:pPr>
        <w:keepNext w:val="0"/>
        <w:keepLines w:val="0"/>
        <w:spacing w:before="0" w:line="240" w:lineRule="auto"/>
        <w:jc w:val="left"/>
        <w:outlineLvl w:val="9"/>
        <w:rPr>
          <w:rFonts w:hint="eastAsia" w:ascii="方正小标宋简体" w:hAnsi="仿宋" w:eastAsia="仿宋"/>
          <w:kern w:val="44"/>
          <w:sz w:val="44"/>
          <w:szCs w:val="44"/>
          <w:lang w:eastAsia="zh-CN"/>
        </w:rPr>
      </w:pPr>
      <w:r>
        <w:rPr>
          <w:rFonts w:hint="eastAsia" w:ascii="仿宋" w:hAnsi="仿宋" w:eastAsia="仿宋"/>
          <w:sz w:val="32"/>
          <w:szCs w:val="32"/>
        </w:rPr>
        <w:br w:type="page"/>
      </w:r>
    </w:p>
    <w:p>
      <w:pPr>
        <w:keepNext/>
        <w:keepLines/>
        <w:spacing w:before="340" w:line="560" w:lineRule="exact"/>
        <w:jc w:val="center"/>
        <w:outlineLvl w:val="2"/>
        <w:rPr>
          <w:rFonts w:hint="eastAsia" w:ascii="方正小标宋简体" w:hAnsi="仿宋" w:eastAsia="方正小标宋简体"/>
          <w:kern w:val="44"/>
          <w:sz w:val="44"/>
          <w:szCs w:val="44"/>
        </w:rPr>
      </w:pPr>
      <w:bookmarkStart w:id="174" w:name="_Toc19764"/>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59</w:t>
      </w:r>
      <w:r>
        <w:rPr>
          <w:rFonts w:hint="eastAsia" w:ascii="方正小标宋简体" w:hAnsi="仿宋" w:eastAsia="方正小标宋简体"/>
          <w:kern w:val="44"/>
          <w:sz w:val="44"/>
          <w:szCs w:val="44"/>
        </w:rPr>
        <w:t>号　上市公司董事</w:t>
      </w:r>
      <w:r>
        <w:rPr>
          <w:rFonts w:hint="eastAsia" w:ascii="方正小标宋简体" w:hAnsi="仿宋" w:eastAsia="方正小标宋简体"/>
          <w:kern w:val="44"/>
          <w:sz w:val="44"/>
          <w:szCs w:val="44"/>
          <w:lang w:val="en-US" w:eastAsia="zh-CN"/>
        </w:rPr>
        <w:t>/</w:t>
      </w:r>
      <w:r>
        <w:rPr>
          <w:rFonts w:hint="eastAsia" w:ascii="方正小标宋简体" w:hAnsi="仿宋" w:eastAsia="方正小标宋简体"/>
          <w:kern w:val="44"/>
          <w:sz w:val="44"/>
          <w:szCs w:val="44"/>
          <w:lang w:eastAsia="zh-CN"/>
        </w:rPr>
        <w:t>高级管理人员离任</w:t>
      </w:r>
      <w:r>
        <w:rPr>
          <w:rFonts w:hint="eastAsia" w:ascii="方正小标宋简体" w:hAnsi="仿宋" w:eastAsia="方正小标宋简体"/>
          <w:kern w:val="44"/>
          <w:sz w:val="44"/>
          <w:szCs w:val="44"/>
        </w:rPr>
        <w:t>公告格式</w:t>
      </w:r>
      <w:bookmarkEnd w:id="174"/>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上市公司董事、总经理、董事会秘书或者财务负责人因辞职、解聘、工作调动、退休等原因提前离任的（不含任期届满、换届），适用本公告格式。</w:t>
      </w:r>
    </w:p>
    <w:p>
      <w:pPr>
        <w:autoSpaceDE w:val="0"/>
        <w:autoSpaceDN w:val="0"/>
        <w:adjustRightInd w:val="0"/>
        <w:spacing w:line="560" w:lineRule="exact"/>
        <w:ind w:firstLine="265" w:firstLineChars="83"/>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XXXXXX股份有限公司董事</w:t>
      </w:r>
      <w:r>
        <w:rPr>
          <w:rFonts w:hint="eastAsia" w:ascii="仿宋" w:hAnsi="仿宋" w:eastAsia="仿宋"/>
          <w:sz w:val="32"/>
          <w:szCs w:val="32"/>
          <w:lang w:val="en-US" w:eastAsia="zh-CN"/>
        </w:rPr>
        <w:t>/</w:t>
      </w:r>
      <w:r>
        <w:rPr>
          <w:rFonts w:hint="eastAsia" w:ascii="仿宋" w:hAnsi="仿宋" w:eastAsia="仿宋"/>
          <w:sz w:val="32"/>
          <w:szCs w:val="32"/>
        </w:rPr>
        <w:t>高级管理人员离任公告</w:t>
      </w:r>
    </w:p>
    <w:p>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13536;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wLQ5zXAAAACgEAAA8AAAAAAAAAAQAgAAAAIgAA&#10;AGRycy9kb3ducmV2LnhtbFBLAQIUABQAAAAIAIdO4kD8+j1dQgIAAIk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一、董事/高级管理人员离任情况</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1.提前离任的基本情况。上市公司应当说明提前离任董事、高级管理人员的姓名、离任职务、离任的具体原因</w:t>
      </w:r>
      <w:r>
        <w:rPr>
          <w:rFonts w:hint="eastAsia" w:ascii="仿宋" w:hAnsi="仿宋" w:eastAsia="仿宋"/>
          <w:color w:val="000000" w:themeColor="text1"/>
          <w:sz w:val="32"/>
          <w:szCs w:val="32"/>
          <w:lang w:val="en-US" w:eastAsia="zh-CN"/>
          <w14:textFill>
            <w14:solidFill>
              <w14:schemeClr w14:val="tx1"/>
            </w14:solidFill>
          </w14:textFill>
        </w:rPr>
        <w:t>（工作调动/退休/其他原因，其他原因应具体说明）</w:t>
      </w:r>
      <w:r>
        <w:rPr>
          <w:rFonts w:hint="eastAsia" w:ascii="仿宋" w:hAnsi="仿宋" w:eastAsia="仿宋"/>
          <w:sz w:val="32"/>
          <w:szCs w:val="32"/>
          <w:lang w:val="en-US" w:eastAsia="zh-CN"/>
        </w:rPr>
        <w:t>及原定的任职期间，并说明离任生效时间。离任后相关人员仍在上市公司及其控股子公司单位任职的，应当说明具体任职的情况。</w:t>
      </w:r>
    </w:p>
    <w:p>
      <w:pPr>
        <w:adjustRightIn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离任对上市公司的影响。董事离任的，应当说明是否导致董事会成员低于法定人数；董事会秘书离任且尚未新聘的，应当说明代行董事会秘书职责的具体安排；根据《公司法》《公司章程》及相关法律法规的规定，离任事项导致存在需要补选的，上市公司应当说明后续的选聘安排。离任人员存在未履行完毕的公开承诺的，应当说明具体情况及保障措施。公司还应当说明离任人员是否按照公司离职管理制度做好工作交接或者依规接受离任审计。</w:t>
      </w:r>
    </w:p>
    <w:p>
      <w:pPr>
        <w:adjustRightInd w:val="0"/>
        <w:spacing w:line="56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rPr>
        <w:t>二、</w:t>
      </w:r>
      <w:r>
        <w:rPr>
          <w:rFonts w:hint="eastAsia" w:ascii="仿宋" w:hAnsi="仿宋" w:eastAsia="仿宋"/>
          <w:b/>
          <w:sz w:val="32"/>
          <w:szCs w:val="32"/>
          <w:lang w:eastAsia="zh-CN"/>
        </w:rPr>
        <w:t>董事会审计委员会意见（如适用）</w:t>
      </w:r>
    </w:p>
    <w:p>
      <w:pPr>
        <w:adjustRightInd w:val="0"/>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涉及解聘财务负责人的，上市公司董事会审计委员会应当按照《股票上市规则》的规定履行相应审议程序。</w:t>
      </w:r>
    </w:p>
    <w:p>
      <w:pPr>
        <w:adjustRightInd w:val="0"/>
        <w:spacing w:line="560" w:lineRule="exact"/>
        <w:ind w:firstLine="640" w:firstLineChars="200"/>
        <w:rPr>
          <w:rFonts w:hint="eastAsia" w:ascii="仿宋" w:hAnsi="仿宋" w:eastAsia="仿宋"/>
          <w:sz w:val="32"/>
          <w:szCs w:val="32"/>
        </w:rPr>
      </w:pPr>
    </w:p>
    <w:p>
      <w:pPr>
        <w:adjustRightInd w:val="0"/>
        <w:spacing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XXXXXX股份有限公司董事会</w:t>
      </w:r>
    </w:p>
    <w:p>
      <w:pPr>
        <w:adjustRightInd w:val="0"/>
        <w:spacing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XXXX年XX月XX日</w:t>
      </w:r>
    </w:p>
    <w:p>
      <w:pPr>
        <w:pStyle w:val="7"/>
        <w:jc w:val="right"/>
        <w:rPr>
          <w:rFonts w:hint="eastAsia" w:ascii="仿宋" w:hAnsi="仿宋" w:eastAsia="仿宋"/>
          <w:sz w:val="32"/>
          <w:szCs w:val="32"/>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相关人员的辞职报告</w:t>
      </w:r>
      <w:r>
        <w:rPr>
          <w:rFonts w:hint="eastAsia" w:ascii="仿宋" w:hAnsi="仿宋" w:eastAsia="仿宋"/>
          <w:sz w:val="32"/>
          <w:szCs w:val="32"/>
          <w:highlight w:val="none"/>
        </w:rPr>
        <w:t>；</w:t>
      </w:r>
    </w:p>
    <w:p>
      <w:pPr>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highlight w:val="none"/>
        </w:rPr>
        <w:t>2．董事会</w:t>
      </w:r>
      <w:r>
        <w:rPr>
          <w:rFonts w:hint="eastAsia" w:ascii="仿宋" w:hAnsi="仿宋" w:eastAsia="仿宋"/>
          <w:sz w:val="32"/>
          <w:szCs w:val="32"/>
          <w:highlight w:val="none"/>
          <w:lang w:eastAsia="zh-CN"/>
        </w:rPr>
        <w:t>审计委员会出具的专项意见及</w:t>
      </w:r>
      <w:r>
        <w:rPr>
          <w:rFonts w:hint="eastAsia" w:ascii="仿宋" w:hAnsi="仿宋" w:eastAsia="仿宋"/>
          <w:sz w:val="32"/>
          <w:szCs w:val="32"/>
          <w:highlight w:val="none"/>
        </w:rPr>
        <w:t>审议</w:t>
      </w:r>
      <w:r>
        <w:rPr>
          <w:rFonts w:hint="eastAsia" w:ascii="仿宋" w:hAnsi="仿宋" w:eastAsia="仿宋"/>
          <w:sz w:val="32"/>
          <w:szCs w:val="32"/>
          <w:highlight w:val="none"/>
          <w:lang w:eastAsia="zh-CN"/>
        </w:rPr>
        <w:t>文件</w:t>
      </w:r>
      <w:r>
        <w:rPr>
          <w:rFonts w:hint="eastAsia" w:ascii="仿宋" w:hAnsi="仿宋" w:eastAsia="仿宋"/>
          <w:sz w:val="32"/>
          <w:szCs w:val="32"/>
          <w:highlight w:val="none"/>
        </w:rPr>
        <w:t>（如适用）。</w:t>
      </w:r>
    </w:p>
    <w:p>
      <w:pPr>
        <w:jc w:val="right"/>
        <w:rPr>
          <w:rFonts w:hint="eastAsia" w:ascii="仿宋" w:hAnsi="仿宋" w:eastAsia="仿宋"/>
          <w:sz w:val="32"/>
          <w:szCs w:val="32"/>
        </w:rPr>
      </w:pPr>
      <w:r>
        <w:rPr>
          <w:rFonts w:hint="eastAsia" w:ascii="仿宋" w:hAnsi="仿宋" w:eastAsia="仿宋"/>
          <w:sz w:val="32"/>
          <w:szCs w:val="32"/>
        </w:rPr>
        <w:br w:type="page"/>
      </w:r>
    </w:p>
    <w:p>
      <w:pPr>
        <w:keepNext/>
        <w:keepLines/>
        <w:spacing w:before="340" w:line="560" w:lineRule="exact"/>
        <w:jc w:val="center"/>
        <w:outlineLvl w:val="2"/>
        <w:rPr>
          <w:rFonts w:hint="eastAsia" w:ascii="方正小标宋简体" w:hAnsi="仿宋" w:eastAsia="方正小标宋简体"/>
          <w:kern w:val="44"/>
          <w:sz w:val="44"/>
          <w:szCs w:val="44"/>
        </w:rPr>
      </w:pPr>
      <w:bookmarkStart w:id="175" w:name="_Toc12844"/>
      <w:bookmarkStart w:id="176" w:name="_Toc17213"/>
      <w:r>
        <w:rPr>
          <w:rFonts w:hint="eastAsia" w:ascii="方正小标宋简体" w:hAnsi="仿宋" w:eastAsia="方正小标宋简体" w:cs="Times New Roman"/>
          <w:kern w:val="44"/>
          <w:sz w:val="44"/>
          <w:szCs w:val="44"/>
        </w:rPr>
        <w:t>第</w:t>
      </w:r>
      <w:r>
        <w:rPr>
          <w:rFonts w:hint="eastAsia" w:ascii="方正小标宋简体" w:hAnsi="仿宋" w:eastAsia="方正小标宋简体" w:cs="Times New Roman"/>
          <w:kern w:val="44"/>
          <w:sz w:val="44"/>
          <w:szCs w:val="44"/>
          <w:lang w:val="en-US" w:eastAsia="zh-CN"/>
        </w:rPr>
        <w:t>60</w:t>
      </w:r>
      <w:r>
        <w:rPr>
          <w:rFonts w:hint="eastAsia" w:ascii="方正小标宋简体" w:hAnsi="仿宋" w:eastAsia="方正小标宋简体" w:cs="Times New Roman"/>
          <w:kern w:val="44"/>
          <w:sz w:val="44"/>
          <w:szCs w:val="44"/>
        </w:rPr>
        <w:t>号</w:t>
      </w:r>
      <w:bookmarkEnd w:id="175"/>
      <w:bookmarkEnd w:id="176"/>
      <w:r>
        <w:rPr>
          <w:rFonts w:hint="eastAsia" w:ascii="方正小标宋简体" w:hAnsi="仿宋" w:eastAsia="方正小标宋简体" w:cs="Times New Roman"/>
          <w:kern w:val="44"/>
          <w:sz w:val="44"/>
          <w:szCs w:val="44"/>
          <w:lang w:val="en-US" w:eastAsia="zh-CN"/>
        </w:rPr>
        <w:t xml:space="preserve">  </w:t>
      </w:r>
      <w:bookmarkStart w:id="177" w:name="_Toc6048"/>
      <w:bookmarkStart w:id="178" w:name="_Toc9442"/>
      <w:r>
        <w:rPr>
          <w:rFonts w:hint="eastAsia" w:ascii="方正小标宋简体" w:hAnsi="仿宋" w:eastAsia="方正小标宋简体"/>
          <w:kern w:val="44"/>
          <w:sz w:val="44"/>
          <w:szCs w:val="44"/>
        </w:rPr>
        <w:t>上市公司股东协议转让股份/过户完成公告格式</w:t>
      </w:r>
      <w:bookmarkEnd w:id="177"/>
      <w:bookmarkEnd w:id="178"/>
    </w:p>
    <w:p>
      <w:pPr>
        <w:spacing w:line="560" w:lineRule="exact"/>
        <w:ind w:firstLine="643" w:firstLineChars="200"/>
        <w:rPr>
          <w:rFonts w:hint="eastAsia"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上市公司股东通过协议转让方式转让股份，披露协议转让股份/过户完成公告的，适用本公告格式。</w:t>
      </w:r>
    </w:p>
    <w:p>
      <w:pPr>
        <w:autoSpaceDE w:val="0"/>
        <w:autoSpaceDN w:val="0"/>
        <w:adjustRightInd w:val="0"/>
        <w:spacing w:line="560" w:lineRule="exact"/>
        <w:ind w:firstLine="265" w:firstLineChars="83"/>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hint="eastAsia" w:ascii="仿宋" w:hAnsi="仿宋" w:eastAsia="仿宋"/>
          <w:sz w:val="32"/>
          <w:szCs w:val="32"/>
        </w:rPr>
      </w:pPr>
    </w:p>
    <w:p>
      <w:pPr>
        <w:autoSpaceDE w:val="0"/>
        <w:autoSpaceDN w:val="0"/>
        <w:adjustRightInd w:val="0"/>
        <w:spacing w:line="560" w:lineRule="exact"/>
        <w:jc w:val="center"/>
        <w:rPr>
          <w:rFonts w:hint="eastAsia" w:ascii="仿宋" w:hAnsi="仿宋" w:eastAsia="仿宋"/>
          <w:sz w:val="32"/>
          <w:szCs w:val="32"/>
          <w:lang w:eastAsia="zh-CN"/>
        </w:rPr>
      </w:pPr>
      <w:r>
        <w:rPr>
          <w:rFonts w:hint="eastAsia" w:ascii="仿宋" w:hAnsi="仿宋" w:eastAsia="仿宋"/>
          <w:sz w:val="32"/>
          <w:szCs w:val="32"/>
        </w:rPr>
        <w:t>XXXXXX股份有限公司股东协议转让股份/过户完成</w:t>
      </w:r>
      <w:r>
        <w:rPr>
          <w:rFonts w:hint="eastAsia" w:ascii="仿宋" w:hAnsi="仿宋" w:eastAsia="仿宋"/>
          <w:sz w:val="32"/>
          <w:szCs w:val="32"/>
          <w:lang w:eastAsia="zh-CN"/>
        </w:rPr>
        <w:t>公告</w:t>
      </w:r>
    </w:p>
    <w:p>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14560;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C0Oc1wAAAAoBAAAPAAAAAAAAAAEAIAAAACIA&#10;AABkcnMvZG93bnJldi54bWxQSwECFAAUAAAACACHTuJArm4j/0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重要内容提示：</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1.协议转让的主要内容。</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2.尚需履行的审批及其他相关程序。</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3.本次协议转让涉及的其他安排（如适用）。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4.协议转让的办理情况（如适用）。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5.需要提醒投资者重点关注的风险事项。</w:t>
      </w:r>
    </w:p>
    <w:p>
      <w:pPr>
        <w:adjustRightInd w:val="0"/>
        <w:spacing w:line="560" w:lineRule="exact"/>
        <w:ind w:firstLine="643" w:firstLineChars="200"/>
        <w:rPr>
          <w:rFonts w:hint="eastAsia" w:ascii="仿宋" w:hAnsi="仿宋" w:eastAsia="仿宋" w:cs="Times New Roman"/>
          <w:b/>
          <w:sz w:val="32"/>
          <w:szCs w:val="32"/>
          <w:lang w:val="en-US" w:eastAsia="zh-CN"/>
        </w:rPr>
      </w:pP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一、协议转让概述</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（二）本次协议转让的交易背景和目的。</w:t>
      </w:r>
    </w:p>
    <w:p>
      <w:pPr>
        <w:adjustRightInd w:val="0"/>
        <w:spacing w:line="560" w:lineRule="exact"/>
        <w:ind w:firstLine="640" w:firstLineChars="200"/>
        <w:rPr>
          <w:rFonts w:ascii="黑体" w:hAnsi="黑体" w:eastAsia="仿宋_GB2312" w:cs="宋体"/>
          <w:b/>
          <w:color w:val="000000"/>
          <w:kern w:val="0"/>
          <w:sz w:val="30"/>
          <w:szCs w:val="30"/>
        </w:rPr>
      </w:pPr>
      <w:r>
        <w:rPr>
          <w:rFonts w:hint="eastAsia" w:ascii="仿宋" w:hAnsi="仿宋" w:eastAsia="仿宋"/>
          <w:b w:val="0"/>
          <w:bCs/>
          <w:sz w:val="32"/>
          <w:szCs w:val="32"/>
          <w:lang w:val="en-US" w:eastAsia="zh-CN"/>
        </w:rPr>
        <w:t>（三）本次协议转让尚需履行的审批或者其他程序及其进展。</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二、协议转让双方情况介绍</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（一）转让方基本情况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转让方为法人或其他组织的，应当披露转让方的基本信息，包括名称、统一社会信用代码、成立时间、</w:t>
      </w:r>
      <w:r>
        <w:rPr>
          <w:rFonts w:hint="eastAsia" w:ascii="仿宋" w:hAnsi="仿宋" w:eastAsia="仿宋"/>
          <w:b w:val="0"/>
          <w:bCs/>
          <w:sz w:val="32"/>
          <w:szCs w:val="32"/>
          <w:highlight w:val="none"/>
          <w:lang w:val="en-US" w:eastAsia="zh-CN"/>
        </w:rPr>
        <w:t>注册地、</w:t>
      </w:r>
      <w:r>
        <w:rPr>
          <w:rFonts w:hint="eastAsia" w:ascii="仿宋" w:hAnsi="仿宋" w:eastAsia="仿宋"/>
          <w:b w:val="0"/>
          <w:bCs/>
          <w:sz w:val="32"/>
          <w:szCs w:val="32"/>
          <w:lang w:val="en-US" w:eastAsia="zh-CN"/>
        </w:rPr>
        <w:t>法定代表人、主营业务、主要股东或实际控制人。转让方为自然人的，应当披露其姓名、性别、国籍、通讯地址等基本情况。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转让方是否存在《深圳证券交易所上市公司自律监管指引第18号——股东及董事、高级管理人员减持股份》第五条、第六条、第九条规定的情形。</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（二）受让方基本情况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受让方为法人或其他组织的，应当披露受让方的基本信息，包括名称、统一社会信用代码、成立时间、注册地、法定代表人、注册资本及实缴资本、主营业务、主要股东或实际控制人。同时，应当披露受让方具有履约能力的证明，如受让方或者其实际控制人、控股方最近一年又一期的主要财务数据。受让方为私募基金的，应当披露产品名称、备案时间，产品存续期限，管理人名称等信息。受让方为信托产品、资管计划的，参照上述要求执行。</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2.受让方为自然人的，应当披露其姓名、性别、国籍、通讯地址等基本情况，以及受让方具有履约能力的证明。</w:t>
      </w:r>
    </w:p>
    <w:p>
      <w:pPr>
        <w:adjustRightInd w:val="0"/>
        <w:spacing w:line="560" w:lineRule="exact"/>
        <w:ind w:firstLine="640" w:firstLineChars="200"/>
        <w:rPr>
          <w:rFonts w:hint="eastAsia" w:ascii="仿宋" w:hAnsi="仿宋" w:eastAsia="仿宋"/>
          <w:bCs/>
          <w:sz w:val="32"/>
          <w:szCs w:val="32"/>
          <w:lang w:val="en-US" w:eastAsia="zh-CN"/>
        </w:rPr>
      </w:pPr>
      <w:r>
        <w:rPr>
          <w:rFonts w:hint="eastAsia" w:ascii="仿宋" w:hAnsi="仿宋" w:eastAsia="仿宋"/>
          <w:b w:val="0"/>
          <w:bCs/>
          <w:sz w:val="32"/>
          <w:szCs w:val="32"/>
          <w:lang w:val="en-US" w:eastAsia="zh-CN"/>
        </w:rPr>
        <w:t>3.受让方是否被列为失信被执行人。</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（三）转让方与受让方之间的关系</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转让方与受让方是否存在股权、人员等方面的关联关系，是否存在合伙、合作、联营等其他经济利益关系等。</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三、股份转让协议的主要内容</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（一）股份转让协议的主要条款</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1.转让股份数量及占比、转让价格、资金来源（自有资金、自筹资金等，涉及金融机构或其他主体借款的，说明借款期限及偿还安排）。</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2.付款安排，包括付款方式（全额一次付清、分期付款等）、付款金额、付款期限、付款条件等。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3.过户时间安排、协议生效条件及时间、违约责任等。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（二）其他</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本次协议转让是否存在股价对赌、股份代持、保底保收益、超额收益分成、附回购条款以及其他利益分割安排或者补充协议，是否存在出让方及其关联人或其指定的第三方为受让方提供资金支持、融资担保或其他类似安排。</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四、本次协议转让涉及的其他安排</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本次协议转让涉及的相关安排，如受让方向上市公司委派董事、高级管理人员，受让股份后续锁定期限等。</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五、协议转让完成股份过户登记</w:t>
      </w:r>
    </w:p>
    <w:p>
      <w:pPr>
        <w:widowControl/>
        <w:adjustRightInd w:val="0"/>
        <w:snapToGrid w:val="0"/>
        <w:spacing w:line="560" w:lineRule="exact"/>
        <w:ind w:firstLine="640" w:firstLineChars="200"/>
        <w:rPr>
          <w:rFonts w:hint="eastAsia" w:ascii="仿宋_GB2312" w:eastAsia="仿宋_GB2312"/>
          <w:sz w:val="30"/>
          <w:szCs w:val="30"/>
        </w:rPr>
      </w:pPr>
      <w:r>
        <w:rPr>
          <w:rFonts w:hint="eastAsia" w:ascii="仿宋_GB2312" w:eastAsia="仿宋_GB2312"/>
          <w:sz w:val="32"/>
          <w:szCs w:val="32"/>
        </w:rPr>
        <w:t>本次协议转让</w:t>
      </w:r>
      <w:r>
        <w:rPr>
          <w:rFonts w:hint="eastAsia" w:ascii="仿宋_GB2312" w:eastAsia="仿宋_GB2312"/>
          <w:sz w:val="32"/>
          <w:szCs w:val="32"/>
          <w:lang w:eastAsia="zh-CN"/>
        </w:rPr>
        <w:t>前期披露及</w:t>
      </w:r>
      <w:r>
        <w:rPr>
          <w:rFonts w:hint="eastAsia" w:ascii="仿宋_GB2312" w:eastAsia="仿宋_GB2312"/>
          <w:sz w:val="32"/>
          <w:szCs w:val="32"/>
        </w:rPr>
        <w:t>办理情况，</w:t>
      </w:r>
      <w:r>
        <w:rPr>
          <w:rFonts w:hint="eastAsia" w:ascii="仿宋_GB2312" w:eastAsia="仿宋_GB2312"/>
          <w:sz w:val="32"/>
          <w:szCs w:val="32"/>
          <w:lang w:eastAsia="zh-CN"/>
        </w:rPr>
        <w:t>包括</w:t>
      </w:r>
      <w:r>
        <w:rPr>
          <w:rFonts w:hint="eastAsia" w:ascii="仿宋_GB2312" w:eastAsia="仿宋_GB2312"/>
          <w:sz w:val="32"/>
          <w:szCs w:val="32"/>
        </w:rPr>
        <w:t>款项支付情况</w:t>
      </w:r>
      <w:r>
        <w:rPr>
          <w:rFonts w:hint="eastAsia" w:ascii="仿宋_GB2312" w:eastAsia="仿宋_GB2312"/>
          <w:sz w:val="32"/>
          <w:szCs w:val="32"/>
          <w:lang w:eastAsia="zh-CN"/>
        </w:rPr>
        <w:t>及其</w:t>
      </w:r>
      <w:r>
        <w:rPr>
          <w:rFonts w:hint="eastAsia" w:ascii="仿宋_GB2312" w:eastAsia="仿宋_GB2312"/>
          <w:sz w:val="32"/>
          <w:szCs w:val="32"/>
        </w:rPr>
        <w:t>是否</w:t>
      </w:r>
      <w:r>
        <w:rPr>
          <w:rFonts w:hint="eastAsia" w:ascii="仿宋_GB2312" w:eastAsia="仿宋_GB2312"/>
          <w:sz w:val="32"/>
          <w:szCs w:val="32"/>
          <w:lang w:eastAsia="zh-CN"/>
        </w:rPr>
        <w:t>与</w:t>
      </w:r>
      <w:r>
        <w:rPr>
          <w:rFonts w:hint="eastAsia" w:ascii="仿宋_GB2312" w:eastAsia="仿宋_GB2312"/>
          <w:sz w:val="32"/>
          <w:szCs w:val="32"/>
        </w:rPr>
        <w:t>前期披露</w:t>
      </w:r>
      <w:r>
        <w:rPr>
          <w:rFonts w:hint="eastAsia" w:ascii="仿宋_GB2312" w:eastAsia="仿宋_GB2312"/>
          <w:sz w:val="32"/>
          <w:szCs w:val="32"/>
          <w:lang w:eastAsia="zh-CN"/>
        </w:rPr>
        <w:t>、协议约定</w:t>
      </w:r>
      <w:r>
        <w:rPr>
          <w:rFonts w:hint="eastAsia" w:ascii="仿宋_GB2312" w:eastAsia="仿宋_GB2312"/>
          <w:sz w:val="32"/>
          <w:szCs w:val="32"/>
        </w:rPr>
        <w:t>安排一致</w:t>
      </w:r>
      <w:r>
        <w:rPr>
          <w:rFonts w:hint="eastAsia" w:ascii="仿宋_GB2312" w:eastAsia="仿宋_GB2312"/>
          <w:sz w:val="32"/>
          <w:szCs w:val="32"/>
          <w:lang w:eastAsia="zh-CN"/>
        </w:rPr>
        <w:t>，前期公告披露后是否签订补充协议或者作出其他安排，股份过户登记</w:t>
      </w:r>
      <w:r>
        <w:rPr>
          <w:rFonts w:hint="eastAsia" w:ascii="仿宋_GB2312" w:eastAsia="仿宋_GB2312"/>
          <w:sz w:val="32"/>
          <w:szCs w:val="32"/>
        </w:rPr>
        <w:t>时间</w:t>
      </w:r>
      <w:r>
        <w:rPr>
          <w:rFonts w:hint="eastAsia" w:ascii="仿宋_GB2312" w:eastAsia="仿宋_GB2312"/>
          <w:sz w:val="32"/>
          <w:szCs w:val="32"/>
          <w:lang w:eastAsia="zh-CN"/>
        </w:rPr>
        <w:t>，过户后</w:t>
      </w:r>
      <w:r>
        <w:rPr>
          <w:rFonts w:hint="eastAsia" w:ascii="仿宋_GB2312" w:eastAsia="仿宋_GB2312"/>
          <w:sz w:val="32"/>
          <w:szCs w:val="32"/>
        </w:rPr>
        <w:t>转让双方持股变化情况</w:t>
      </w:r>
      <w:r>
        <w:rPr>
          <w:rFonts w:hint="eastAsia" w:ascii="仿宋_GB2312" w:eastAsia="仿宋_GB2312"/>
          <w:sz w:val="32"/>
          <w:szCs w:val="32"/>
          <w:lang w:eastAsia="zh-CN"/>
        </w:rPr>
        <w:t>，后续支付安排（如适用）</w:t>
      </w:r>
      <w:r>
        <w:rPr>
          <w:rFonts w:hint="eastAsia" w:ascii="仿宋_GB2312" w:eastAsia="仿宋_GB2312"/>
          <w:sz w:val="32"/>
          <w:szCs w:val="32"/>
        </w:rPr>
        <w:t>等。</w:t>
      </w:r>
    </w:p>
    <w:p>
      <w:pPr>
        <w:adjustRightInd w:val="0"/>
        <w:spacing w:line="560" w:lineRule="exact"/>
        <w:ind w:firstLine="640" w:firstLineChars="200"/>
        <w:rPr>
          <w:rFonts w:hint="eastAsia" w:ascii="仿宋" w:hAnsi="仿宋" w:eastAsia="仿宋"/>
          <w:b w:val="0"/>
          <w:bCs/>
          <w:sz w:val="32"/>
          <w:szCs w:val="32"/>
          <w:lang w:val="en-US" w:eastAsia="zh-CN"/>
        </w:rPr>
      </w:pPr>
    </w:p>
    <w:p>
      <w:pPr>
        <w:adjustRightInd w:val="0"/>
        <w:spacing w:line="560" w:lineRule="exact"/>
        <w:ind w:firstLine="640" w:firstLineChars="200"/>
        <w:rPr>
          <w:rFonts w:hint="eastAsia" w:ascii="仿宋" w:hAnsi="仿宋" w:eastAsia="仿宋"/>
          <w:b w:val="0"/>
          <w:bCs/>
          <w:sz w:val="32"/>
          <w:szCs w:val="32"/>
          <w:lang w:val="en-US" w:eastAsia="zh-CN"/>
        </w:rPr>
      </w:pPr>
    </w:p>
    <w:p>
      <w:pPr>
        <w:adjustRightInd w:val="0"/>
        <w:spacing w:line="560" w:lineRule="exact"/>
        <w:ind w:firstLine="640" w:firstLineChars="200"/>
        <w:rPr>
          <w:rFonts w:hint="eastAsia" w:ascii="仿宋" w:hAnsi="仿宋" w:eastAsia="仿宋"/>
          <w:b w:val="0"/>
          <w:bCs/>
          <w:sz w:val="32"/>
          <w:szCs w:val="32"/>
          <w:lang w:val="en-US" w:eastAsia="zh-CN"/>
        </w:rPr>
      </w:pPr>
    </w:p>
    <w:p>
      <w:pPr>
        <w:adjustRightInd w:val="0"/>
        <w:spacing w:line="560" w:lineRule="exact"/>
        <w:ind w:firstLine="640" w:firstLineChars="200"/>
        <w:jc w:val="righ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XXXXXX股份有限公司董事会</w:t>
      </w:r>
    </w:p>
    <w:p>
      <w:pPr>
        <w:adjustRightInd w:val="0"/>
        <w:spacing w:line="560" w:lineRule="exact"/>
        <w:ind w:firstLine="640" w:firstLineChars="200"/>
        <w:jc w:val="righ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XXXX年XX月XX日</w:t>
      </w:r>
    </w:p>
    <w:p>
      <w:pPr>
        <w:adjustRightInd w:val="0"/>
        <w:spacing w:line="560" w:lineRule="exact"/>
        <w:ind w:firstLine="643" w:firstLineChars="200"/>
        <w:rPr>
          <w:rFonts w:hint="eastAsia" w:ascii="仿宋" w:hAnsi="仿宋" w:eastAsia="仿宋" w:cs="Times New Roman"/>
          <w:b/>
          <w:sz w:val="32"/>
          <w:szCs w:val="32"/>
          <w:lang w:val="en-US" w:eastAsia="zh-CN"/>
        </w:rPr>
      </w:pP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备查文件</w:t>
      </w:r>
    </w:p>
    <w:p>
      <w:pPr>
        <w:adjustRightInd w:val="0"/>
        <w:spacing w:line="560" w:lineRule="exact"/>
        <w:ind w:firstLine="640" w:firstLineChars="200"/>
        <w:rPr>
          <w:rFonts w:hint="eastAsia" w:ascii="仿宋" w:hAnsi="仿宋" w:eastAsia="仿宋"/>
          <w:b w:val="0"/>
          <w:bCs/>
          <w:sz w:val="32"/>
          <w:szCs w:val="32"/>
          <w:lang w:val="en-US" w:eastAsia="zh"/>
        </w:rPr>
      </w:pPr>
      <w:r>
        <w:rPr>
          <w:rFonts w:hint="eastAsia" w:ascii="仿宋" w:hAnsi="仿宋" w:eastAsia="仿宋"/>
          <w:b w:val="0"/>
          <w:bCs/>
          <w:sz w:val="32"/>
          <w:szCs w:val="32"/>
          <w:lang w:val="en-US" w:eastAsia="zh-CN"/>
        </w:rPr>
        <w:t>1.与本次协议转让相关的意向书、协议或合同</w:t>
      </w:r>
      <w:r>
        <w:rPr>
          <w:rFonts w:hint="eastAsia" w:ascii="仿宋" w:hAnsi="仿宋" w:eastAsia="仿宋"/>
          <w:b w:val="0"/>
          <w:bCs/>
          <w:sz w:val="32"/>
          <w:szCs w:val="32"/>
          <w:lang w:val="en-US" w:eastAsia="zh"/>
        </w:rPr>
        <w:t>；</w:t>
      </w:r>
    </w:p>
    <w:p>
      <w:pPr>
        <w:adjustRightInd w:val="0"/>
        <w:spacing w:line="560" w:lineRule="exact"/>
        <w:ind w:firstLine="640" w:firstLineChars="200"/>
        <w:rPr>
          <w:rFonts w:hint="eastAsia" w:ascii="仿宋" w:hAnsi="仿宋" w:eastAsia="仿宋"/>
          <w:b w:val="0"/>
          <w:bCs/>
          <w:sz w:val="32"/>
          <w:szCs w:val="32"/>
          <w:lang w:val="en-US" w:eastAsia="zh"/>
        </w:rPr>
      </w:pPr>
      <w:r>
        <w:rPr>
          <w:rFonts w:hint="eastAsia" w:ascii="仿宋" w:hAnsi="仿宋" w:eastAsia="仿宋"/>
          <w:b w:val="0"/>
          <w:bCs/>
          <w:sz w:val="32"/>
          <w:szCs w:val="32"/>
          <w:lang w:val="en-US" w:eastAsia="zh-CN"/>
        </w:rPr>
        <w:t>2.承诺函</w:t>
      </w:r>
      <w:r>
        <w:rPr>
          <w:rFonts w:hint="eastAsia" w:ascii="仿宋" w:hAnsi="仿宋" w:eastAsia="仿宋"/>
          <w:b w:val="0"/>
          <w:bCs/>
          <w:sz w:val="32"/>
          <w:szCs w:val="32"/>
          <w:lang w:val="en-US" w:eastAsia="zh"/>
        </w:rPr>
        <w:t>；</w:t>
      </w:r>
    </w:p>
    <w:p>
      <w:pPr>
        <w:adjustRightInd w:val="0"/>
        <w:spacing w:line="560" w:lineRule="exact"/>
        <w:ind w:firstLine="640" w:firstLineChars="200"/>
        <w:rPr>
          <w:rFonts w:hint="eastAsia" w:ascii="仿宋" w:hAnsi="仿宋" w:eastAsia="仿宋"/>
          <w:b w:val="0"/>
          <w:bCs/>
          <w:sz w:val="32"/>
          <w:szCs w:val="32"/>
          <w:lang w:val="en-US" w:eastAsia="zh"/>
        </w:rPr>
      </w:pPr>
      <w:r>
        <w:rPr>
          <w:rFonts w:hint="eastAsia" w:ascii="仿宋" w:hAnsi="仿宋" w:eastAsia="仿宋"/>
          <w:b w:val="0"/>
          <w:bCs/>
          <w:sz w:val="32"/>
          <w:szCs w:val="32"/>
          <w:lang w:val="en-US" w:eastAsia="zh-CN"/>
        </w:rPr>
        <w:t>3.本次协议转让涉及的有权机关的批文（如适用）</w:t>
      </w:r>
      <w:r>
        <w:rPr>
          <w:rFonts w:hint="eastAsia" w:ascii="仿宋" w:hAnsi="仿宋" w:eastAsia="仿宋"/>
          <w:b w:val="0"/>
          <w:bCs/>
          <w:sz w:val="32"/>
          <w:szCs w:val="32"/>
          <w:lang w:val="en-US" w:eastAsia="zh"/>
        </w:rPr>
        <w:t>；</w:t>
      </w:r>
    </w:p>
    <w:p>
      <w:pPr>
        <w:adjustRightInd w:val="0"/>
        <w:spacing w:line="560" w:lineRule="exact"/>
        <w:ind w:firstLine="640" w:firstLineChars="200"/>
        <w:rPr>
          <w:rFonts w:hint="eastAsia" w:ascii="仿宋" w:hAnsi="仿宋" w:eastAsia="仿宋"/>
          <w:b w:val="0"/>
          <w:bCs/>
          <w:sz w:val="32"/>
          <w:szCs w:val="32"/>
          <w:lang w:val="en-US" w:eastAsia="zh"/>
        </w:rPr>
      </w:pPr>
      <w:r>
        <w:rPr>
          <w:rFonts w:hint="eastAsia" w:ascii="仿宋" w:hAnsi="仿宋" w:eastAsia="仿宋"/>
          <w:b w:val="0"/>
          <w:bCs/>
          <w:sz w:val="32"/>
          <w:szCs w:val="32"/>
          <w:lang w:val="en-US" w:eastAsia="zh-CN"/>
        </w:rPr>
        <w:t>4.中国证券登记结算部门出具的股份登记证明（如适用）</w:t>
      </w:r>
      <w:r>
        <w:rPr>
          <w:rFonts w:hint="eastAsia" w:ascii="仿宋" w:hAnsi="仿宋" w:eastAsia="仿宋"/>
          <w:b w:val="0"/>
          <w:bCs/>
          <w:sz w:val="32"/>
          <w:szCs w:val="32"/>
          <w:lang w:val="en-US" w:eastAsia="zh"/>
        </w:rPr>
        <w:t>。</w:t>
      </w:r>
    </w:p>
    <w:p>
      <w:pPr>
        <w:pStyle w:val="2"/>
        <w:rPr>
          <w:rFonts w:hint="eastAsia"/>
          <w:lang w:val="en-US" w:eastAsia="zh-CN"/>
        </w:rPr>
      </w:pPr>
    </w:p>
    <w:p>
      <w:pPr>
        <w:rPr>
          <w:rFonts w:hint="eastAsia" w:ascii="仿宋" w:hAnsi="仿宋" w:eastAsia="仿宋"/>
          <w:sz w:val="32"/>
          <w:szCs w:val="32"/>
        </w:rPr>
      </w:pPr>
      <w:r>
        <w:rPr>
          <w:rFonts w:hint="eastAsia" w:ascii="仿宋" w:hAnsi="仿宋" w:eastAsia="仿宋"/>
          <w:sz w:val="32"/>
          <w:szCs w:val="32"/>
        </w:rPr>
        <w:br w:type="page"/>
      </w:r>
    </w:p>
    <w:p>
      <w:pPr>
        <w:adjustRightInd w:val="0"/>
        <w:snapToGrid w:val="0"/>
        <w:spacing w:line="360" w:lineRule="auto"/>
        <w:jc w:val="left"/>
        <w:rPr>
          <w:rFonts w:hint="eastAsia" w:ascii="仿宋_GB2312" w:eastAsia="仿宋_GB2312"/>
          <w:b/>
          <w:bCs/>
          <w:color w:val="000000"/>
          <w:sz w:val="28"/>
          <w:szCs w:val="22"/>
          <w:lang w:eastAsia="zh-CN"/>
        </w:rPr>
      </w:pPr>
      <w:r>
        <w:rPr>
          <w:rFonts w:hint="eastAsia" w:ascii="仿宋_GB2312" w:eastAsia="仿宋_GB2312"/>
          <w:b/>
          <w:bCs/>
          <w:color w:val="000000"/>
          <w:sz w:val="28"/>
          <w:szCs w:val="22"/>
          <w:lang w:eastAsia="zh-CN"/>
        </w:rPr>
        <w:t>报备承诺函模板（不公开）</w:t>
      </w:r>
    </w:p>
    <w:p>
      <w:pPr>
        <w:pStyle w:val="2"/>
      </w:pPr>
    </w:p>
    <w:p>
      <w:pPr>
        <w:adjustRightInd w:val="0"/>
        <w:snapToGrid w:val="0"/>
        <w:jc w:val="center"/>
        <w:rPr>
          <w:rFonts w:hint="eastAsia" w:ascii="黑体" w:hAnsi="黑体" w:eastAsia="黑体" w:cs="宋体"/>
          <w:b/>
          <w:bCs/>
          <w:sz w:val="36"/>
          <w:szCs w:val="36"/>
        </w:rPr>
      </w:pPr>
      <w:r>
        <w:rPr>
          <w:rFonts w:ascii="黑体" w:hAnsi="黑体" w:eastAsia="黑体" w:cs="宋体"/>
          <w:b/>
          <w:bCs/>
          <w:sz w:val="36"/>
          <w:szCs w:val="36"/>
        </w:rPr>
        <w:t>承诺函</w:t>
      </w:r>
    </w:p>
    <w:p>
      <w:pPr>
        <w:adjustRightInd w:val="0"/>
        <w:snapToGrid w:val="0"/>
        <w:spacing w:line="360" w:lineRule="auto"/>
        <w:ind w:firstLine="0" w:firstLineChars="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深圳证券交易所：</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（以下简称转让方）</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受让方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（以下简称受让方）</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转让双方已于</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（日期）就协议转让</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（公司名称）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（股份数）股份事宜签署转让协议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现转让双方承诺如下：</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一、转让方承诺本次转让行为符合法律、行政法规、规章、规范性文件（以下简称法律法规）以及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证券交易所自律监管规则的规定，不存在《深圳证券交易所上市公司自律监管指引第18号——股东及董事、高级管理人员减持股份》第五条、第六条、第九条规定的限制情形，不存在违反转让方前期承诺的情况。</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二、受让方承诺本次受让行为符合法律法规以及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证券交易所自律监管规则的规定，不存在违反转让方前期承诺的情况，受让后遵守法律法规以及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w:t>
      </w:r>
      <w:r>
        <w:rPr>
          <w:rFonts w:hint="eastAsia" w:ascii="仿宋" w:hAnsi="仿宋" w:eastAsia="仿宋" w:cs="仿宋"/>
          <w:sz w:val="32"/>
          <w:szCs w:val="32"/>
        </w:rPr>
        <w:t>。</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三、转让双方承诺本次协议转让不存在</w:t>
      </w:r>
      <w:r>
        <w:rPr>
          <w:rFonts w:hint="eastAsia" w:ascii="仿宋" w:hAnsi="仿宋" w:eastAsia="仿宋"/>
          <w:b w:val="0"/>
          <w:bCs/>
          <w:sz w:val="32"/>
          <w:szCs w:val="32"/>
          <w:lang w:val="en-US" w:eastAsia="zh-CN"/>
        </w:rPr>
        <w:t>股价对赌、股份代持、保底保收益、超额收益分成、附回购条款以及其他利益分割安排或者补充协议</w:t>
      </w:r>
      <w:r>
        <w:rPr>
          <w:rFonts w:hint="eastAsia" w:ascii="仿宋" w:hAnsi="仿宋" w:eastAsia="仿宋" w:cs="仿宋"/>
          <w:color w:val="000000"/>
          <w:sz w:val="32"/>
          <w:szCs w:val="32"/>
        </w:rPr>
        <w:t>，不存在出让方及其关联人或其指定的第三方为受让方提供资金支持、融资担保或其他类似安排。</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四、若上述承诺与事实不符或未能遵守上述承诺的，转让双方自愿承担由此引起的一切法律后果，并自愿接受</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证券交易所对其采取的监管措施或者纪律处分。</w:t>
      </w:r>
    </w:p>
    <w:p>
      <w:pPr>
        <w:adjustRightInd w:val="0"/>
        <w:snapToGrid w:val="0"/>
        <w:spacing w:line="360" w:lineRule="auto"/>
        <w:ind w:firstLine="640" w:firstLineChars="200"/>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adjustRightInd w:val="0"/>
        <w:snapToGrid w:val="0"/>
        <w:rPr>
          <w:rFonts w:hint="eastAsia" w:ascii="仿宋" w:hAnsi="仿宋" w:eastAsia="仿宋" w:cs="仿宋"/>
          <w:color w:val="000000"/>
          <w:sz w:val="32"/>
          <w:szCs w:val="32"/>
        </w:rPr>
      </w:pPr>
      <w:r>
        <w:rPr>
          <w:rFonts w:hint="eastAsia" w:ascii="仿宋" w:hAnsi="仿宋" w:eastAsia="仿宋" w:cs="仿宋"/>
          <w:color w:val="000000"/>
          <w:sz w:val="32"/>
          <w:szCs w:val="32"/>
        </w:rPr>
        <w:t>出让方：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      受让方：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w:t>
      </w:r>
    </w:p>
    <w:p>
      <w:pPr>
        <w:pStyle w:val="25"/>
        <w:spacing w:line="360" w:lineRule="auto"/>
        <w:jc w:val="right"/>
        <w:rPr>
          <w:rFonts w:hint="eastAsia" w:ascii="仿宋" w:hAnsi="仿宋" w:eastAsia="仿宋" w:cs="仿宋"/>
          <w:sz w:val="32"/>
          <w:szCs w:val="32"/>
        </w:rPr>
      </w:pPr>
      <w:r>
        <w:rPr>
          <w:rFonts w:hint="eastAsia" w:ascii="仿宋" w:hAnsi="仿宋" w:eastAsia="仿宋" w:cs="仿宋"/>
          <w:color w:val="000000"/>
          <w:sz w:val="32"/>
          <w:szCs w:val="32"/>
        </w:rPr>
        <w:t>日期：       年      月      日</w:t>
      </w:r>
    </w:p>
    <w:p>
      <w:pPr>
        <w:pStyle w:val="7"/>
        <w:ind w:left="0" w:leftChars="0" w:firstLine="0" w:firstLineChars="0"/>
        <w:jc w:val="both"/>
        <w:rPr>
          <w:rFonts w:hint="eastAsia" w:ascii="仿宋" w:hAnsi="仿宋" w:eastAsia="仿宋"/>
          <w:sz w:val="32"/>
          <w:szCs w:val="32"/>
        </w:rPr>
      </w:pPr>
    </w:p>
    <w:sectPr>
      <w:pgSz w:w="11906" w:h="16838"/>
      <w:pgMar w:top="1440" w:right="1797" w:bottom="1440" w:left="1797" w:header="851" w:footer="992" w:gutter="0"/>
      <w:cols w:space="720" w:num="1"/>
      <w:formProt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1"/>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宋体,Bold">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622935" cy="2305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pPr>
                            <w:pStyle w:val="17"/>
                            <w:jc w:val="left"/>
                          </w:pPr>
                        </w:p>
                        <w:p>
                          <w:pPr>
                            <w:pStyle w:val="17"/>
                            <w:jc w:val="left"/>
                          </w:pPr>
                        </w:p>
                        <w:p>
                          <w:pPr>
                            <w:pStyle w:val="17"/>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848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DdZpDQ3AgAAYwQAAA4AAAAAAAAAAQAgAAAAIQEAAGRycy9lMm9Eb2Mu&#10;eG1sUEsFBgAAAAAGAAYAWQEAAMoFAAAAAA==&#10;">
              <v:fill on="f" focussize="0,0"/>
              <v:stroke on="f" weight="0.5pt"/>
              <v:imagedata o:title=""/>
              <o:lock v:ext="edit" aspectratio="f"/>
              <v:textbox inset="0mm,0mm,0mm,0mm" style="mso-fit-shape-to-text:t;">
                <w:txbxContent>
                  <w:p>
                    <w:pPr>
                      <w:pStyle w:val="17"/>
                      <w:jc w:val="left"/>
                    </w:pPr>
                  </w:p>
                  <w:p>
                    <w:pPr>
                      <w:pStyle w:val="17"/>
                      <w:jc w:val="left"/>
                    </w:pPr>
                  </w:p>
                  <w:p>
                    <w:pPr>
                      <w:pStyle w:val="17"/>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622935" cy="23050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85888;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P9cj9M3AgAAYwQAAA4AAAAAAAAAAQAgAAAAIQEAAGRycy9lMm9Eb2Mu&#10;eG1sUEsFBgAAAAAGAAYAWQEAAMoFA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pPr>
      <w:r>
        <w:rPr>
          <w:rStyle w:val="35"/>
        </w:rPr>
        <w:footnoteRef/>
      </w:r>
      <w:r>
        <w:t xml:space="preserve"> </w:t>
      </w:r>
      <w:r>
        <w:rPr>
          <w:rFonts w:hint="eastAsia"/>
        </w:rPr>
        <w:t>按照证监会行业分类，下同。</w:t>
      </w:r>
    </w:p>
  </w:footnote>
  <w:footnote w:id="1">
    <w:p>
      <w:pPr>
        <w:pStyle w:val="2"/>
      </w:pPr>
      <w:r>
        <w:rPr>
          <w:rStyle w:val="35"/>
        </w:rPr>
        <w:footnoteRef/>
      </w:r>
      <w:r>
        <w:t xml:space="preserve"> </w:t>
      </w:r>
      <w:r>
        <w:rPr>
          <w:rFonts w:hint="eastAsia"/>
        </w:rPr>
        <w:t>最近三个完整自然年度及当年，下同。</w:t>
      </w:r>
    </w:p>
  </w:footnote>
  <w:footnote w:id="2">
    <w:p>
      <w:pPr>
        <w:widowControl w:val="0"/>
        <w:snapToGrid w:val="0"/>
        <w:jc w:val="both"/>
        <w:rPr>
          <w:rFonts w:hint="default"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注：上市公司应当在每个季度最后一个交易日，评估是否属于长期破净公司。以2024年12月31日为例。如某公司2024年4月30日披露2023年年度报告，该公司2024年1月1日至4月30日前每个交易日股票收盘价均低于2022年年度经审计的每股净资产，2024年4月30日至12月31日期间每个交易日股票收盘价均低于2023年年度经审计的每股净资产，则属于长期破净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B073"/>
    <w:multiLevelType w:val="singleLevel"/>
    <w:tmpl w:val="C238B073"/>
    <w:lvl w:ilvl="0" w:tentative="0">
      <w:start w:val="4"/>
      <w:numFmt w:val="chineseCounting"/>
      <w:suff w:val="nothing"/>
      <w:lvlText w:val="%1、"/>
      <w:lvlJc w:val="left"/>
      <w:rPr>
        <w:rFonts w:hint="eastAsia"/>
      </w:rPr>
    </w:lvl>
  </w:abstractNum>
  <w:abstractNum w:abstractNumId="1">
    <w:nsid w:val="E54669F8"/>
    <w:multiLevelType w:val="singleLevel"/>
    <w:tmpl w:val="E54669F8"/>
    <w:lvl w:ilvl="0" w:tentative="0">
      <w:start w:val="2"/>
      <w:numFmt w:val="decimal"/>
      <w:suff w:val="nothing"/>
      <w:lvlText w:val="%1．"/>
      <w:lvlJc w:val="left"/>
    </w:lvl>
  </w:abstractNum>
  <w:abstractNum w:abstractNumId="2">
    <w:nsid w:val="0C68A149"/>
    <w:multiLevelType w:val="singleLevel"/>
    <w:tmpl w:val="0C68A149"/>
    <w:lvl w:ilvl="0" w:tentative="0">
      <w:start w:val="2"/>
      <w:numFmt w:val="chineseCounting"/>
      <w:suff w:val="nothing"/>
      <w:lvlText w:val="（%1）"/>
      <w:lvlJc w:val="left"/>
      <w:rPr>
        <w:rFonts w:hint="eastAsia"/>
      </w:rPr>
    </w:lvl>
  </w:abstractNum>
  <w:abstractNum w:abstractNumId="3">
    <w:nsid w:val="41BC19D0"/>
    <w:multiLevelType w:val="multilevel"/>
    <w:tmpl w:val="41BC19D0"/>
    <w:lvl w:ilvl="0" w:tentative="0">
      <w:start w:val="2"/>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47CC2158"/>
    <w:multiLevelType w:val="multilevel"/>
    <w:tmpl w:val="47CC215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95DDC5F"/>
    <w:multiLevelType w:val="singleLevel"/>
    <w:tmpl w:val="495DDC5F"/>
    <w:lvl w:ilvl="0" w:tentative="0">
      <w:start w:val="2"/>
      <w:numFmt w:val="decimal"/>
      <w:suff w:val="space"/>
      <w:lvlText w:val="%1."/>
      <w:lvlJc w:val="left"/>
    </w:lvl>
  </w:abstractNum>
  <w:abstractNum w:abstractNumId="6">
    <w:nsid w:val="55E87B0B"/>
    <w:multiLevelType w:val="multilevel"/>
    <w:tmpl w:val="55E87B0B"/>
    <w:lvl w:ilvl="0" w:tentative="0">
      <w:start w:val="1"/>
      <w:numFmt w:val="decimal"/>
      <w:lvlText w:val="%1."/>
      <w:lvlJc w:val="left"/>
      <w:pPr>
        <w:ind w:left="1020" w:hanging="420"/>
      </w:pPr>
      <w:rPr>
        <w:rFonts w:ascii="仿宋" w:hAnsi="仿宋" w:eastAsia="仿宋"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lvlOverride w:ilvl="0">
      <w:startOverride w:val="1"/>
    </w:lvlOverride>
  </w:num>
  <w:num w:numId="5">
    <w:abstractNumId w:val="1"/>
  </w:num>
  <w:num w:numId="6">
    <w:abstractNumId w:val="2"/>
    <w:lvlOverride w:ilvl="0">
      <w:startOverride w:val="2"/>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HorizontalSpacing w:val="105"/>
  <w:drawingGridVerticalSpacing w:val="258"/>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F9"/>
    <w:rsid w:val="000001DA"/>
    <w:rsid w:val="000007C2"/>
    <w:rsid w:val="00000C30"/>
    <w:rsid w:val="00000E37"/>
    <w:rsid w:val="00000FB2"/>
    <w:rsid w:val="00001806"/>
    <w:rsid w:val="0000195E"/>
    <w:rsid w:val="00002E7E"/>
    <w:rsid w:val="00003E13"/>
    <w:rsid w:val="00005889"/>
    <w:rsid w:val="00005E10"/>
    <w:rsid w:val="0000666F"/>
    <w:rsid w:val="000068A7"/>
    <w:rsid w:val="00012134"/>
    <w:rsid w:val="00012D92"/>
    <w:rsid w:val="0001512F"/>
    <w:rsid w:val="00015394"/>
    <w:rsid w:val="00015A5D"/>
    <w:rsid w:val="00015F28"/>
    <w:rsid w:val="00016539"/>
    <w:rsid w:val="00016F65"/>
    <w:rsid w:val="000171BA"/>
    <w:rsid w:val="000177B5"/>
    <w:rsid w:val="000179AA"/>
    <w:rsid w:val="00020450"/>
    <w:rsid w:val="000211CE"/>
    <w:rsid w:val="000214B3"/>
    <w:rsid w:val="00021945"/>
    <w:rsid w:val="000224F4"/>
    <w:rsid w:val="0002371E"/>
    <w:rsid w:val="0002776B"/>
    <w:rsid w:val="00027FF0"/>
    <w:rsid w:val="00030639"/>
    <w:rsid w:val="000319C3"/>
    <w:rsid w:val="000319CF"/>
    <w:rsid w:val="00031BF5"/>
    <w:rsid w:val="00031CA3"/>
    <w:rsid w:val="00032996"/>
    <w:rsid w:val="00032D24"/>
    <w:rsid w:val="0003395F"/>
    <w:rsid w:val="00033ED1"/>
    <w:rsid w:val="00034B72"/>
    <w:rsid w:val="000352B5"/>
    <w:rsid w:val="0003653B"/>
    <w:rsid w:val="000368A6"/>
    <w:rsid w:val="00036F8D"/>
    <w:rsid w:val="00037561"/>
    <w:rsid w:val="00037829"/>
    <w:rsid w:val="0004049B"/>
    <w:rsid w:val="000406C5"/>
    <w:rsid w:val="00040821"/>
    <w:rsid w:val="00040B42"/>
    <w:rsid w:val="00041696"/>
    <w:rsid w:val="00042220"/>
    <w:rsid w:val="00042B8E"/>
    <w:rsid w:val="00042F24"/>
    <w:rsid w:val="00044DCE"/>
    <w:rsid w:val="00046F64"/>
    <w:rsid w:val="00047B80"/>
    <w:rsid w:val="0005007C"/>
    <w:rsid w:val="00050927"/>
    <w:rsid w:val="00051693"/>
    <w:rsid w:val="000518CC"/>
    <w:rsid w:val="00051B8F"/>
    <w:rsid w:val="00051E35"/>
    <w:rsid w:val="00052303"/>
    <w:rsid w:val="000532B2"/>
    <w:rsid w:val="000532BA"/>
    <w:rsid w:val="00053DBB"/>
    <w:rsid w:val="00053ED6"/>
    <w:rsid w:val="00054F51"/>
    <w:rsid w:val="00055675"/>
    <w:rsid w:val="0005574D"/>
    <w:rsid w:val="0005576E"/>
    <w:rsid w:val="000564B7"/>
    <w:rsid w:val="000572B4"/>
    <w:rsid w:val="00057619"/>
    <w:rsid w:val="00060C33"/>
    <w:rsid w:val="00060D47"/>
    <w:rsid w:val="0006114B"/>
    <w:rsid w:val="000616FA"/>
    <w:rsid w:val="00061E2A"/>
    <w:rsid w:val="00061E44"/>
    <w:rsid w:val="0006250D"/>
    <w:rsid w:val="000627C2"/>
    <w:rsid w:val="000639A1"/>
    <w:rsid w:val="00064D72"/>
    <w:rsid w:val="0006558F"/>
    <w:rsid w:val="00065CA9"/>
    <w:rsid w:val="000703DD"/>
    <w:rsid w:val="0007068F"/>
    <w:rsid w:val="00070BB3"/>
    <w:rsid w:val="0007334C"/>
    <w:rsid w:val="000744CB"/>
    <w:rsid w:val="00075AC6"/>
    <w:rsid w:val="00075CE0"/>
    <w:rsid w:val="00076163"/>
    <w:rsid w:val="000772E6"/>
    <w:rsid w:val="00080792"/>
    <w:rsid w:val="00080C30"/>
    <w:rsid w:val="00080EFF"/>
    <w:rsid w:val="000830EA"/>
    <w:rsid w:val="000833A2"/>
    <w:rsid w:val="00083AD5"/>
    <w:rsid w:val="00084A7B"/>
    <w:rsid w:val="00085AF2"/>
    <w:rsid w:val="00086020"/>
    <w:rsid w:val="000900D3"/>
    <w:rsid w:val="000902D9"/>
    <w:rsid w:val="000926D1"/>
    <w:rsid w:val="000929BD"/>
    <w:rsid w:val="000939F5"/>
    <w:rsid w:val="00095455"/>
    <w:rsid w:val="00096539"/>
    <w:rsid w:val="00096F84"/>
    <w:rsid w:val="000A44F8"/>
    <w:rsid w:val="000A6292"/>
    <w:rsid w:val="000A6B9F"/>
    <w:rsid w:val="000B039A"/>
    <w:rsid w:val="000B0891"/>
    <w:rsid w:val="000B0956"/>
    <w:rsid w:val="000B0A04"/>
    <w:rsid w:val="000B1341"/>
    <w:rsid w:val="000B1E66"/>
    <w:rsid w:val="000B415C"/>
    <w:rsid w:val="000B4B3D"/>
    <w:rsid w:val="000B5CDC"/>
    <w:rsid w:val="000B7670"/>
    <w:rsid w:val="000C014F"/>
    <w:rsid w:val="000C03DA"/>
    <w:rsid w:val="000C060A"/>
    <w:rsid w:val="000C0630"/>
    <w:rsid w:val="000C0EB5"/>
    <w:rsid w:val="000C1686"/>
    <w:rsid w:val="000C3740"/>
    <w:rsid w:val="000C4965"/>
    <w:rsid w:val="000C4EF1"/>
    <w:rsid w:val="000C53DD"/>
    <w:rsid w:val="000C6334"/>
    <w:rsid w:val="000C6E9B"/>
    <w:rsid w:val="000C7AA9"/>
    <w:rsid w:val="000C7E98"/>
    <w:rsid w:val="000D0EA0"/>
    <w:rsid w:val="000D24FB"/>
    <w:rsid w:val="000D283B"/>
    <w:rsid w:val="000D2B97"/>
    <w:rsid w:val="000D33E3"/>
    <w:rsid w:val="000D3658"/>
    <w:rsid w:val="000D6344"/>
    <w:rsid w:val="000D666A"/>
    <w:rsid w:val="000D66A4"/>
    <w:rsid w:val="000E1827"/>
    <w:rsid w:val="000E1C99"/>
    <w:rsid w:val="000E28EA"/>
    <w:rsid w:val="000E3528"/>
    <w:rsid w:val="000E4A03"/>
    <w:rsid w:val="000E4C30"/>
    <w:rsid w:val="000E5640"/>
    <w:rsid w:val="000E6712"/>
    <w:rsid w:val="000E7058"/>
    <w:rsid w:val="000E75D3"/>
    <w:rsid w:val="000E7715"/>
    <w:rsid w:val="000F07B9"/>
    <w:rsid w:val="000F0FFF"/>
    <w:rsid w:val="000F1587"/>
    <w:rsid w:val="000F18D5"/>
    <w:rsid w:val="000F2852"/>
    <w:rsid w:val="000F3453"/>
    <w:rsid w:val="000F3AE9"/>
    <w:rsid w:val="000F4723"/>
    <w:rsid w:val="000F4D99"/>
    <w:rsid w:val="000F517D"/>
    <w:rsid w:val="000F5393"/>
    <w:rsid w:val="000F5D7D"/>
    <w:rsid w:val="000F614E"/>
    <w:rsid w:val="000F7664"/>
    <w:rsid w:val="000F7C47"/>
    <w:rsid w:val="000F7FF5"/>
    <w:rsid w:val="00100456"/>
    <w:rsid w:val="00101207"/>
    <w:rsid w:val="00101449"/>
    <w:rsid w:val="00101564"/>
    <w:rsid w:val="00101872"/>
    <w:rsid w:val="00104ACB"/>
    <w:rsid w:val="00105015"/>
    <w:rsid w:val="00105304"/>
    <w:rsid w:val="001053EF"/>
    <w:rsid w:val="0010584E"/>
    <w:rsid w:val="00105CE4"/>
    <w:rsid w:val="001070FC"/>
    <w:rsid w:val="001079BC"/>
    <w:rsid w:val="001101A6"/>
    <w:rsid w:val="00110C03"/>
    <w:rsid w:val="00111AE1"/>
    <w:rsid w:val="00112A4A"/>
    <w:rsid w:val="00113510"/>
    <w:rsid w:val="001135EB"/>
    <w:rsid w:val="00115114"/>
    <w:rsid w:val="00115435"/>
    <w:rsid w:val="00120171"/>
    <w:rsid w:val="00120EB4"/>
    <w:rsid w:val="00121367"/>
    <w:rsid w:val="0012192B"/>
    <w:rsid w:val="00123294"/>
    <w:rsid w:val="001257A3"/>
    <w:rsid w:val="001260F1"/>
    <w:rsid w:val="00126126"/>
    <w:rsid w:val="00126150"/>
    <w:rsid w:val="001261D7"/>
    <w:rsid w:val="00126E77"/>
    <w:rsid w:val="00127723"/>
    <w:rsid w:val="00127A78"/>
    <w:rsid w:val="00130A5B"/>
    <w:rsid w:val="00130F09"/>
    <w:rsid w:val="00131149"/>
    <w:rsid w:val="00131578"/>
    <w:rsid w:val="001318F6"/>
    <w:rsid w:val="00131AAC"/>
    <w:rsid w:val="00131D7E"/>
    <w:rsid w:val="00132921"/>
    <w:rsid w:val="00133104"/>
    <w:rsid w:val="00133117"/>
    <w:rsid w:val="00134326"/>
    <w:rsid w:val="00134349"/>
    <w:rsid w:val="00136C6C"/>
    <w:rsid w:val="00140913"/>
    <w:rsid w:val="00140991"/>
    <w:rsid w:val="001414CA"/>
    <w:rsid w:val="001418D2"/>
    <w:rsid w:val="0014241E"/>
    <w:rsid w:val="00142802"/>
    <w:rsid w:val="00144072"/>
    <w:rsid w:val="00145346"/>
    <w:rsid w:val="0014623F"/>
    <w:rsid w:val="001466E2"/>
    <w:rsid w:val="001467B1"/>
    <w:rsid w:val="001473BC"/>
    <w:rsid w:val="00150539"/>
    <w:rsid w:val="0015071C"/>
    <w:rsid w:val="00150B9E"/>
    <w:rsid w:val="00150E88"/>
    <w:rsid w:val="0015104F"/>
    <w:rsid w:val="001524A8"/>
    <w:rsid w:val="0015312C"/>
    <w:rsid w:val="00153B85"/>
    <w:rsid w:val="00155043"/>
    <w:rsid w:val="00161886"/>
    <w:rsid w:val="00161B78"/>
    <w:rsid w:val="00163D27"/>
    <w:rsid w:val="001643CF"/>
    <w:rsid w:val="00165723"/>
    <w:rsid w:val="00165CB7"/>
    <w:rsid w:val="001675D7"/>
    <w:rsid w:val="00171323"/>
    <w:rsid w:val="0017222E"/>
    <w:rsid w:val="00172B5C"/>
    <w:rsid w:val="00173EC3"/>
    <w:rsid w:val="001741A3"/>
    <w:rsid w:val="00176880"/>
    <w:rsid w:val="00177E29"/>
    <w:rsid w:val="001825BA"/>
    <w:rsid w:val="00184258"/>
    <w:rsid w:val="00184B55"/>
    <w:rsid w:val="0018617D"/>
    <w:rsid w:val="0018643A"/>
    <w:rsid w:val="00186B24"/>
    <w:rsid w:val="00186BBF"/>
    <w:rsid w:val="001875B9"/>
    <w:rsid w:val="00187D2C"/>
    <w:rsid w:val="00187E89"/>
    <w:rsid w:val="0019073C"/>
    <w:rsid w:val="0019077C"/>
    <w:rsid w:val="00192E9F"/>
    <w:rsid w:val="00192FC0"/>
    <w:rsid w:val="0019330C"/>
    <w:rsid w:val="001935D5"/>
    <w:rsid w:val="00194986"/>
    <w:rsid w:val="00194B3D"/>
    <w:rsid w:val="00194E22"/>
    <w:rsid w:val="00196D2F"/>
    <w:rsid w:val="00197283"/>
    <w:rsid w:val="0019760D"/>
    <w:rsid w:val="00197C81"/>
    <w:rsid w:val="00197D71"/>
    <w:rsid w:val="001A082E"/>
    <w:rsid w:val="001A0D5C"/>
    <w:rsid w:val="001A1FD5"/>
    <w:rsid w:val="001A2C22"/>
    <w:rsid w:val="001A3CE5"/>
    <w:rsid w:val="001A483A"/>
    <w:rsid w:val="001A708B"/>
    <w:rsid w:val="001A786A"/>
    <w:rsid w:val="001B0521"/>
    <w:rsid w:val="001B0B14"/>
    <w:rsid w:val="001B1503"/>
    <w:rsid w:val="001B242D"/>
    <w:rsid w:val="001B3E8A"/>
    <w:rsid w:val="001B6A22"/>
    <w:rsid w:val="001B6BA1"/>
    <w:rsid w:val="001C03F3"/>
    <w:rsid w:val="001C19E9"/>
    <w:rsid w:val="001C1A21"/>
    <w:rsid w:val="001C23AE"/>
    <w:rsid w:val="001C2FCD"/>
    <w:rsid w:val="001C3051"/>
    <w:rsid w:val="001C31D9"/>
    <w:rsid w:val="001C54D9"/>
    <w:rsid w:val="001C7D32"/>
    <w:rsid w:val="001D1469"/>
    <w:rsid w:val="001D1632"/>
    <w:rsid w:val="001D252A"/>
    <w:rsid w:val="001D27E7"/>
    <w:rsid w:val="001D486D"/>
    <w:rsid w:val="001D5550"/>
    <w:rsid w:val="001D5ABC"/>
    <w:rsid w:val="001D7ADE"/>
    <w:rsid w:val="001E1132"/>
    <w:rsid w:val="001E2361"/>
    <w:rsid w:val="001E2A7D"/>
    <w:rsid w:val="001E31E0"/>
    <w:rsid w:val="001E36DE"/>
    <w:rsid w:val="001E413D"/>
    <w:rsid w:val="001E711F"/>
    <w:rsid w:val="001E7191"/>
    <w:rsid w:val="001E7E07"/>
    <w:rsid w:val="001F08CD"/>
    <w:rsid w:val="001F09C5"/>
    <w:rsid w:val="001F1EB7"/>
    <w:rsid w:val="001F2F33"/>
    <w:rsid w:val="001F38A3"/>
    <w:rsid w:val="001F4020"/>
    <w:rsid w:val="001F4379"/>
    <w:rsid w:val="001F487A"/>
    <w:rsid w:val="001F4A85"/>
    <w:rsid w:val="001F4C72"/>
    <w:rsid w:val="001F4DBD"/>
    <w:rsid w:val="001F4FC1"/>
    <w:rsid w:val="001F6CAF"/>
    <w:rsid w:val="001F7108"/>
    <w:rsid w:val="001F7E87"/>
    <w:rsid w:val="002000CB"/>
    <w:rsid w:val="002007E3"/>
    <w:rsid w:val="002028E2"/>
    <w:rsid w:val="00204E3D"/>
    <w:rsid w:val="0020536A"/>
    <w:rsid w:val="0020579F"/>
    <w:rsid w:val="00206815"/>
    <w:rsid w:val="00206E36"/>
    <w:rsid w:val="00207D9A"/>
    <w:rsid w:val="00210386"/>
    <w:rsid w:val="002106B4"/>
    <w:rsid w:val="002109F2"/>
    <w:rsid w:val="0021183B"/>
    <w:rsid w:val="00212EF7"/>
    <w:rsid w:val="00213247"/>
    <w:rsid w:val="002132F1"/>
    <w:rsid w:val="00213D42"/>
    <w:rsid w:val="00214D3C"/>
    <w:rsid w:val="0021513C"/>
    <w:rsid w:val="00215F08"/>
    <w:rsid w:val="00215F5E"/>
    <w:rsid w:val="002161B7"/>
    <w:rsid w:val="00216460"/>
    <w:rsid w:val="00216A1C"/>
    <w:rsid w:val="00216B67"/>
    <w:rsid w:val="00217144"/>
    <w:rsid w:val="002176B0"/>
    <w:rsid w:val="0021798C"/>
    <w:rsid w:val="002200C5"/>
    <w:rsid w:val="00221810"/>
    <w:rsid w:val="002222F0"/>
    <w:rsid w:val="00222A37"/>
    <w:rsid w:val="00222FD0"/>
    <w:rsid w:val="00223E10"/>
    <w:rsid w:val="00225004"/>
    <w:rsid w:val="00225739"/>
    <w:rsid w:val="00225F80"/>
    <w:rsid w:val="00226175"/>
    <w:rsid w:val="002276DB"/>
    <w:rsid w:val="00227C33"/>
    <w:rsid w:val="00227D61"/>
    <w:rsid w:val="00230242"/>
    <w:rsid w:val="00230337"/>
    <w:rsid w:val="002305C7"/>
    <w:rsid w:val="0023066D"/>
    <w:rsid w:val="002316F8"/>
    <w:rsid w:val="0023256B"/>
    <w:rsid w:val="002325A2"/>
    <w:rsid w:val="00233914"/>
    <w:rsid w:val="00233C31"/>
    <w:rsid w:val="00234D37"/>
    <w:rsid w:val="00234DB6"/>
    <w:rsid w:val="00234DD1"/>
    <w:rsid w:val="00234E91"/>
    <w:rsid w:val="0023544A"/>
    <w:rsid w:val="0023557D"/>
    <w:rsid w:val="00235AFA"/>
    <w:rsid w:val="002375C2"/>
    <w:rsid w:val="00237D9F"/>
    <w:rsid w:val="00237F4C"/>
    <w:rsid w:val="002419B1"/>
    <w:rsid w:val="00241EF2"/>
    <w:rsid w:val="002422E9"/>
    <w:rsid w:val="002424DD"/>
    <w:rsid w:val="002430CD"/>
    <w:rsid w:val="00244250"/>
    <w:rsid w:val="0024527F"/>
    <w:rsid w:val="00245303"/>
    <w:rsid w:val="00245EC4"/>
    <w:rsid w:val="00247071"/>
    <w:rsid w:val="002472BF"/>
    <w:rsid w:val="00247D6A"/>
    <w:rsid w:val="0025082E"/>
    <w:rsid w:val="0025162F"/>
    <w:rsid w:val="00253607"/>
    <w:rsid w:val="00253DFE"/>
    <w:rsid w:val="002551AA"/>
    <w:rsid w:val="00256FAB"/>
    <w:rsid w:val="00257761"/>
    <w:rsid w:val="00257EB4"/>
    <w:rsid w:val="002615AF"/>
    <w:rsid w:val="00262245"/>
    <w:rsid w:val="00262992"/>
    <w:rsid w:val="00263B60"/>
    <w:rsid w:val="002660A4"/>
    <w:rsid w:val="0026613B"/>
    <w:rsid w:val="0027020C"/>
    <w:rsid w:val="00270BE7"/>
    <w:rsid w:val="00270BF3"/>
    <w:rsid w:val="0027298C"/>
    <w:rsid w:val="00273398"/>
    <w:rsid w:val="0027389B"/>
    <w:rsid w:val="00273B69"/>
    <w:rsid w:val="002741B2"/>
    <w:rsid w:val="00274479"/>
    <w:rsid w:val="0027504D"/>
    <w:rsid w:val="00275A87"/>
    <w:rsid w:val="00280F49"/>
    <w:rsid w:val="00284F7C"/>
    <w:rsid w:val="0028539E"/>
    <w:rsid w:val="00285B50"/>
    <w:rsid w:val="00285D48"/>
    <w:rsid w:val="002862D8"/>
    <w:rsid w:val="00286F75"/>
    <w:rsid w:val="00287F26"/>
    <w:rsid w:val="00290571"/>
    <w:rsid w:val="002908EA"/>
    <w:rsid w:val="00290DE3"/>
    <w:rsid w:val="0029113F"/>
    <w:rsid w:val="0029269A"/>
    <w:rsid w:val="002933F1"/>
    <w:rsid w:val="00293B4C"/>
    <w:rsid w:val="0029402F"/>
    <w:rsid w:val="00295601"/>
    <w:rsid w:val="00295633"/>
    <w:rsid w:val="00295CF1"/>
    <w:rsid w:val="002966B1"/>
    <w:rsid w:val="00297C8F"/>
    <w:rsid w:val="00297F88"/>
    <w:rsid w:val="002A0B6C"/>
    <w:rsid w:val="002A1B3E"/>
    <w:rsid w:val="002A222F"/>
    <w:rsid w:val="002A22ED"/>
    <w:rsid w:val="002A2ABE"/>
    <w:rsid w:val="002A2E3A"/>
    <w:rsid w:val="002A347E"/>
    <w:rsid w:val="002A7271"/>
    <w:rsid w:val="002B0051"/>
    <w:rsid w:val="002B10B9"/>
    <w:rsid w:val="002B18AD"/>
    <w:rsid w:val="002B1E32"/>
    <w:rsid w:val="002B1ED5"/>
    <w:rsid w:val="002B2496"/>
    <w:rsid w:val="002B2513"/>
    <w:rsid w:val="002B287B"/>
    <w:rsid w:val="002B2D2D"/>
    <w:rsid w:val="002B3176"/>
    <w:rsid w:val="002B5812"/>
    <w:rsid w:val="002B5D72"/>
    <w:rsid w:val="002B5F40"/>
    <w:rsid w:val="002B5FFE"/>
    <w:rsid w:val="002B610C"/>
    <w:rsid w:val="002B6E3E"/>
    <w:rsid w:val="002B6ED9"/>
    <w:rsid w:val="002B7FC2"/>
    <w:rsid w:val="002C0F93"/>
    <w:rsid w:val="002C195B"/>
    <w:rsid w:val="002C2A14"/>
    <w:rsid w:val="002C3003"/>
    <w:rsid w:val="002C3831"/>
    <w:rsid w:val="002C3F50"/>
    <w:rsid w:val="002C5472"/>
    <w:rsid w:val="002C5C83"/>
    <w:rsid w:val="002C5FE7"/>
    <w:rsid w:val="002C60F2"/>
    <w:rsid w:val="002C7531"/>
    <w:rsid w:val="002D036A"/>
    <w:rsid w:val="002D060C"/>
    <w:rsid w:val="002D0C12"/>
    <w:rsid w:val="002D1361"/>
    <w:rsid w:val="002D29C3"/>
    <w:rsid w:val="002D3D6B"/>
    <w:rsid w:val="002D46DF"/>
    <w:rsid w:val="002D4720"/>
    <w:rsid w:val="002D6394"/>
    <w:rsid w:val="002D7A00"/>
    <w:rsid w:val="002E22C8"/>
    <w:rsid w:val="002E292D"/>
    <w:rsid w:val="002E4609"/>
    <w:rsid w:val="002E4D54"/>
    <w:rsid w:val="002E5343"/>
    <w:rsid w:val="002E56C7"/>
    <w:rsid w:val="002E599B"/>
    <w:rsid w:val="002E71DB"/>
    <w:rsid w:val="002E737A"/>
    <w:rsid w:val="002E7C02"/>
    <w:rsid w:val="002F077D"/>
    <w:rsid w:val="002F16C0"/>
    <w:rsid w:val="002F3B29"/>
    <w:rsid w:val="002F3F59"/>
    <w:rsid w:val="002F5648"/>
    <w:rsid w:val="002F576B"/>
    <w:rsid w:val="002F5BB2"/>
    <w:rsid w:val="002F6D33"/>
    <w:rsid w:val="002F7161"/>
    <w:rsid w:val="002F7304"/>
    <w:rsid w:val="002F7FAD"/>
    <w:rsid w:val="0030028F"/>
    <w:rsid w:val="00303B06"/>
    <w:rsid w:val="00305207"/>
    <w:rsid w:val="00305342"/>
    <w:rsid w:val="00306FCB"/>
    <w:rsid w:val="00310090"/>
    <w:rsid w:val="003101B3"/>
    <w:rsid w:val="0031037C"/>
    <w:rsid w:val="003126F7"/>
    <w:rsid w:val="00312D8B"/>
    <w:rsid w:val="00312E7B"/>
    <w:rsid w:val="00314E25"/>
    <w:rsid w:val="003159E1"/>
    <w:rsid w:val="003205C0"/>
    <w:rsid w:val="00320E40"/>
    <w:rsid w:val="00322E3D"/>
    <w:rsid w:val="00323091"/>
    <w:rsid w:val="003239F0"/>
    <w:rsid w:val="00323A05"/>
    <w:rsid w:val="00324843"/>
    <w:rsid w:val="00324C9B"/>
    <w:rsid w:val="00325905"/>
    <w:rsid w:val="003261B1"/>
    <w:rsid w:val="003263FC"/>
    <w:rsid w:val="003263FE"/>
    <w:rsid w:val="00327EFA"/>
    <w:rsid w:val="00330937"/>
    <w:rsid w:val="00330F8B"/>
    <w:rsid w:val="0033118E"/>
    <w:rsid w:val="00331F46"/>
    <w:rsid w:val="00332C1B"/>
    <w:rsid w:val="00333312"/>
    <w:rsid w:val="003338A3"/>
    <w:rsid w:val="00334AA6"/>
    <w:rsid w:val="003374D5"/>
    <w:rsid w:val="00337E4F"/>
    <w:rsid w:val="00340F53"/>
    <w:rsid w:val="0034112B"/>
    <w:rsid w:val="003411A9"/>
    <w:rsid w:val="0034166D"/>
    <w:rsid w:val="00342C43"/>
    <w:rsid w:val="00343277"/>
    <w:rsid w:val="00343E9F"/>
    <w:rsid w:val="00344D80"/>
    <w:rsid w:val="00345A90"/>
    <w:rsid w:val="0034765D"/>
    <w:rsid w:val="00350FC6"/>
    <w:rsid w:val="00352D86"/>
    <w:rsid w:val="00352FDF"/>
    <w:rsid w:val="00354798"/>
    <w:rsid w:val="003547D8"/>
    <w:rsid w:val="00354D1B"/>
    <w:rsid w:val="00355347"/>
    <w:rsid w:val="0035543E"/>
    <w:rsid w:val="00356FE9"/>
    <w:rsid w:val="0035722D"/>
    <w:rsid w:val="00360ADB"/>
    <w:rsid w:val="003618C2"/>
    <w:rsid w:val="00362722"/>
    <w:rsid w:val="00362C4B"/>
    <w:rsid w:val="00363E5B"/>
    <w:rsid w:val="00364076"/>
    <w:rsid w:val="00364F8D"/>
    <w:rsid w:val="003660A2"/>
    <w:rsid w:val="00367DE2"/>
    <w:rsid w:val="00367F41"/>
    <w:rsid w:val="0037033D"/>
    <w:rsid w:val="0037081E"/>
    <w:rsid w:val="00370AAB"/>
    <w:rsid w:val="00370E59"/>
    <w:rsid w:val="0037127B"/>
    <w:rsid w:val="003717D4"/>
    <w:rsid w:val="0037188A"/>
    <w:rsid w:val="00376801"/>
    <w:rsid w:val="003768DC"/>
    <w:rsid w:val="003769B8"/>
    <w:rsid w:val="003774D8"/>
    <w:rsid w:val="0037799E"/>
    <w:rsid w:val="003807A7"/>
    <w:rsid w:val="00380911"/>
    <w:rsid w:val="0038223D"/>
    <w:rsid w:val="00382C2C"/>
    <w:rsid w:val="00382F75"/>
    <w:rsid w:val="00384F4B"/>
    <w:rsid w:val="00386446"/>
    <w:rsid w:val="00387CD4"/>
    <w:rsid w:val="003907A7"/>
    <w:rsid w:val="00390A7D"/>
    <w:rsid w:val="0039181D"/>
    <w:rsid w:val="00392222"/>
    <w:rsid w:val="003922EF"/>
    <w:rsid w:val="00393DD9"/>
    <w:rsid w:val="0039587D"/>
    <w:rsid w:val="003A13C3"/>
    <w:rsid w:val="003A338B"/>
    <w:rsid w:val="003A3D9A"/>
    <w:rsid w:val="003A4098"/>
    <w:rsid w:val="003A4F5F"/>
    <w:rsid w:val="003A50F4"/>
    <w:rsid w:val="003A6179"/>
    <w:rsid w:val="003A6F9B"/>
    <w:rsid w:val="003B03B6"/>
    <w:rsid w:val="003B0DC4"/>
    <w:rsid w:val="003B4392"/>
    <w:rsid w:val="003B4FA4"/>
    <w:rsid w:val="003B53BD"/>
    <w:rsid w:val="003B5BE1"/>
    <w:rsid w:val="003B7B1E"/>
    <w:rsid w:val="003C0D1C"/>
    <w:rsid w:val="003C1198"/>
    <w:rsid w:val="003C160D"/>
    <w:rsid w:val="003C1C70"/>
    <w:rsid w:val="003C1ED2"/>
    <w:rsid w:val="003C1F22"/>
    <w:rsid w:val="003C4F4D"/>
    <w:rsid w:val="003C5D9E"/>
    <w:rsid w:val="003C6E7B"/>
    <w:rsid w:val="003C7441"/>
    <w:rsid w:val="003C7B34"/>
    <w:rsid w:val="003D05A5"/>
    <w:rsid w:val="003D1A56"/>
    <w:rsid w:val="003D222D"/>
    <w:rsid w:val="003D25B8"/>
    <w:rsid w:val="003D2AAD"/>
    <w:rsid w:val="003D343E"/>
    <w:rsid w:val="003D4A67"/>
    <w:rsid w:val="003D5858"/>
    <w:rsid w:val="003D5B5C"/>
    <w:rsid w:val="003D60BF"/>
    <w:rsid w:val="003D6B45"/>
    <w:rsid w:val="003E0365"/>
    <w:rsid w:val="003E06E5"/>
    <w:rsid w:val="003E0ACD"/>
    <w:rsid w:val="003E1CBA"/>
    <w:rsid w:val="003E2278"/>
    <w:rsid w:val="003E315B"/>
    <w:rsid w:val="003E3611"/>
    <w:rsid w:val="003E3E44"/>
    <w:rsid w:val="003E512A"/>
    <w:rsid w:val="003E726C"/>
    <w:rsid w:val="003E7971"/>
    <w:rsid w:val="003E79EC"/>
    <w:rsid w:val="003F0F04"/>
    <w:rsid w:val="003F18A7"/>
    <w:rsid w:val="003F1DA0"/>
    <w:rsid w:val="003F30F8"/>
    <w:rsid w:val="003F4D28"/>
    <w:rsid w:val="003F4FDC"/>
    <w:rsid w:val="003F538C"/>
    <w:rsid w:val="003F6330"/>
    <w:rsid w:val="003F6AC7"/>
    <w:rsid w:val="003F6E51"/>
    <w:rsid w:val="003F77CF"/>
    <w:rsid w:val="004007A7"/>
    <w:rsid w:val="0040268E"/>
    <w:rsid w:val="004026AF"/>
    <w:rsid w:val="00402D6D"/>
    <w:rsid w:val="004037C2"/>
    <w:rsid w:val="004074E9"/>
    <w:rsid w:val="00407B7F"/>
    <w:rsid w:val="00407C83"/>
    <w:rsid w:val="00410CE0"/>
    <w:rsid w:val="0041119A"/>
    <w:rsid w:val="00412C3E"/>
    <w:rsid w:val="00413EF2"/>
    <w:rsid w:val="00414547"/>
    <w:rsid w:val="004146CD"/>
    <w:rsid w:val="0041509F"/>
    <w:rsid w:val="0041527F"/>
    <w:rsid w:val="00415C35"/>
    <w:rsid w:val="0042014F"/>
    <w:rsid w:val="00423D91"/>
    <w:rsid w:val="0042687F"/>
    <w:rsid w:val="00426F7A"/>
    <w:rsid w:val="00430989"/>
    <w:rsid w:val="00430CD2"/>
    <w:rsid w:val="00431B8B"/>
    <w:rsid w:val="004321C6"/>
    <w:rsid w:val="00433DAB"/>
    <w:rsid w:val="00434154"/>
    <w:rsid w:val="004346C0"/>
    <w:rsid w:val="00434E90"/>
    <w:rsid w:val="00435036"/>
    <w:rsid w:val="00436AF0"/>
    <w:rsid w:val="00437337"/>
    <w:rsid w:val="0043734D"/>
    <w:rsid w:val="00437DF9"/>
    <w:rsid w:val="004405E7"/>
    <w:rsid w:val="00440F6E"/>
    <w:rsid w:val="00441103"/>
    <w:rsid w:val="00441AED"/>
    <w:rsid w:val="00443D46"/>
    <w:rsid w:val="00444E80"/>
    <w:rsid w:val="004450BF"/>
    <w:rsid w:val="00445DFF"/>
    <w:rsid w:val="00447CC4"/>
    <w:rsid w:val="00450692"/>
    <w:rsid w:val="004506B6"/>
    <w:rsid w:val="0045091F"/>
    <w:rsid w:val="00451DB7"/>
    <w:rsid w:val="00452061"/>
    <w:rsid w:val="004531F1"/>
    <w:rsid w:val="004537D8"/>
    <w:rsid w:val="00453FD4"/>
    <w:rsid w:val="00454364"/>
    <w:rsid w:val="00455726"/>
    <w:rsid w:val="00457916"/>
    <w:rsid w:val="00457BE6"/>
    <w:rsid w:val="00457D67"/>
    <w:rsid w:val="00460246"/>
    <w:rsid w:val="00461415"/>
    <w:rsid w:val="0046206A"/>
    <w:rsid w:val="004624A6"/>
    <w:rsid w:val="00462578"/>
    <w:rsid w:val="00462A25"/>
    <w:rsid w:val="00462FE9"/>
    <w:rsid w:val="0046319B"/>
    <w:rsid w:val="004633D2"/>
    <w:rsid w:val="00463F82"/>
    <w:rsid w:val="00465C57"/>
    <w:rsid w:val="004677EB"/>
    <w:rsid w:val="0046784D"/>
    <w:rsid w:val="00471185"/>
    <w:rsid w:val="004715A7"/>
    <w:rsid w:val="00471B66"/>
    <w:rsid w:val="004728B4"/>
    <w:rsid w:val="00473AE2"/>
    <w:rsid w:val="00473F73"/>
    <w:rsid w:val="00476E50"/>
    <w:rsid w:val="004770E8"/>
    <w:rsid w:val="0048000D"/>
    <w:rsid w:val="00481CE1"/>
    <w:rsid w:val="00482036"/>
    <w:rsid w:val="0048285E"/>
    <w:rsid w:val="00483314"/>
    <w:rsid w:val="00483371"/>
    <w:rsid w:val="004838D1"/>
    <w:rsid w:val="00483BCC"/>
    <w:rsid w:val="00484A83"/>
    <w:rsid w:val="004853ED"/>
    <w:rsid w:val="00485554"/>
    <w:rsid w:val="004857F5"/>
    <w:rsid w:val="00486129"/>
    <w:rsid w:val="0049123D"/>
    <w:rsid w:val="004922BF"/>
    <w:rsid w:val="004952FD"/>
    <w:rsid w:val="00495849"/>
    <w:rsid w:val="00496548"/>
    <w:rsid w:val="004967E2"/>
    <w:rsid w:val="00497035"/>
    <w:rsid w:val="004A0E2D"/>
    <w:rsid w:val="004A230D"/>
    <w:rsid w:val="004A3674"/>
    <w:rsid w:val="004A49DA"/>
    <w:rsid w:val="004A5316"/>
    <w:rsid w:val="004A68D8"/>
    <w:rsid w:val="004A6A74"/>
    <w:rsid w:val="004A75C2"/>
    <w:rsid w:val="004B0D85"/>
    <w:rsid w:val="004B1565"/>
    <w:rsid w:val="004B1CD1"/>
    <w:rsid w:val="004B21B5"/>
    <w:rsid w:val="004B2664"/>
    <w:rsid w:val="004B330C"/>
    <w:rsid w:val="004B3678"/>
    <w:rsid w:val="004B3823"/>
    <w:rsid w:val="004B3D2E"/>
    <w:rsid w:val="004B3F15"/>
    <w:rsid w:val="004B4D42"/>
    <w:rsid w:val="004B4ECA"/>
    <w:rsid w:val="004B5EDA"/>
    <w:rsid w:val="004B6A9E"/>
    <w:rsid w:val="004B7985"/>
    <w:rsid w:val="004B7D55"/>
    <w:rsid w:val="004C0CEE"/>
    <w:rsid w:val="004C1435"/>
    <w:rsid w:val="004C19AC"/>
    <w:rsid w:val="004C1E8B"/>
    <w:rsid w:val="004C2809"/>
    <w:rsid w:val="004C2881"/>
    <w:rsid w:val="004C2FCF"/>
    <w:rsid w:val="004C3324"/>
    <w:rsid w:val="004C34BB"/>
    <w:rsid w:val="004C4134"/>
    <w:rsid w:val="004C47D2"/>
    <w:rsid w:val="004C47E2"/>
    <w:rsid w:val="004C4F17"/>
    <w:rsid w:val="004C5653"/>
    <w:rsid w:val="004C6790"/>
    <w:rsid w:val="004C70A9"/>
    <w:rsid w:val="004C7171"/>
    <w:rsid w:val="004D3D0D"/>
    <w:rsid w:val="004D4217"/>
    <w:rsid w:val="004D4C11"/>
    <w:rsid w:val="004D4FE1"/>
    <w:rsid w:val="004D55FA"/>
    <w:rsid w:val="004D5900"/>
    <w:rsid w:val="004D730C"/>
    <w:rsid w:val="004D736A"/>
    <w:rsid w:val="004D79D5"/>
    <w:rsid w:val="004D7AF1"/>
    <w:rsid w:val="004E1236"/>
    <w:rsid w:val="004E1384"/>
    <w:rsid w:val="004E230D"/>
    <w:rsid w:val="004E40B8"/>
    <w:rsid w:val="004E47EA"/>
    <w:rsid w:val="004E4E71"/>
    <w:rsid w:val="004E55D3"/>
    <w:rsid w:val="004F0805"/>
    <w:rsid w:val="004F1ECC"/>
    <w:rsid w:val="004F24AD"/>
    <w:rsid w:val="004F4033"/>
    <w:rsid w:val="004F4CC4"/>
    <w:rsid w:val="004F5F97"/>
    <w:rsid w:val="004F64D1"/>
    <w:rsid w:val="004F6759"/>
    <w:rsid w:val="004F6B55"/>
    <w:rsid w:val="004F6E72"/>
    <w:rsid w:val="00500C90"/>
    <w:rsid w:val="00503888"/>
    <w:rsid w:val="005077C1"/>
    <w:rsid w:val="00510C68"/>
    <w:rsid w:val="00511802"/>
    <w:rsid w:val="005118A3"/>
    <w:rsid w:val="00512D7B"/>
    <w:rsid w:val="00512DF2"/>
    <w:rsid w:val="0051509B"/>
    <w:rsid w:val="0051772B"/>
    <w:rsid w:val="00517C80"/>
    <w:rsid w:val="00520A94"/>
    <w:rsid w:val="00521FF3"/>
    <w:rsid w:val="0052234E"/>
    <w:rsid w:val="00522979"/>
    <w:rsid w:val="00523573"/>
    <w:rsid w:val="005237E7"/>
    <w:rsid w:val="0052401B"/>
    <w:rsid w:val="00524966"/>
    <w:rsid w:val="00524D67"/>
    <w:rsid w:val="00524F80"/>
    <w:rsid w:val="00525325"/>
    <w:rsid w:val="00525C83"/>
    <w:rsid w:val="00526B3A"/>
    <w:rsid w:val="00530692"/>
    <w:rsid w:val="0053130A"/>
    <w:rsid w:val="005340F5"/>
    <w:rsid w:val="00534CA1"/>
    <w:rsid w:val="00534EEE"/>
    <w:rsid w:val="00534FAE"/>
    <w:rsid w:val="00535538"/>
    <w:rsid w:val="00536597"/>
    <w:rsid w:val="00536A50"/>
    <w:rsid w:val="00536B17"/>
    <w:rsid w:val="00537A8F"/>
    <w:rsid w:val="00537E19"/>
    <w:rsid w:val="00540A48"/>
    <w:rsid w:val="005417D5"/>
    <w:rsid w:val="005424C1"/>
    <w:rsid w:val="00542B53"/>
    <w:rsid w:val="005431F8"/>
    <w:rsid w:val="0054330C"/>
    <w:rsid w:val="0054524F"/>
    <w:rsid w:val="0054595F"/>
    <w:rsid w:val="00545EB8"/>
    <w:rsid w:val="00545EFD"/>
    <w:rsid w:val="005462D9"/>
    <w:rsid w:val="005468BF"/>
    <w:rsid w:val="00546B0A"/>
    <w:rsid w:val="00546B2B"/>
    <w:rsid w:val="00547BD1"/>
    <w:rsid w:val="00550294"/>
    <w:rsid w:val="00550591"/>
    <w:rsid w:val="00550B46"/>
    <w:rsid w:val="00550BA4"/>
    <w:rsid w:val="005516EA"/>
    <w:rsid w:val="005517B2"/>
    <w:rsid w:val="00551CB1"/>
    <w:rsid w:val="00553D14"/>
    <w:rsid w:val="00554BF8"/>
    <w:rsid w:val="00554C5F"/>
    <w:rsid w:val="00555649"/>
    <w:rsid w:val="00557201"/>
    <w:rsid w:val="00557347"/>
    <w:rsid w:val="0055739B"/>
    <w:rsid w:val="0056018B"/>
    <w:rsid w:val="005601B1"/>
    <w:rsid w:val="00560A1A"/>
    <w:rsid w:val="00560B52"/>
    <w:rsid w:val="00561F21"/>
    <w:rsid w:val="0056276D"/>
    <w:rsid w:val="0056366F"/>
    <w:rsid w:val="005638FB"/>
    <w:rsid w:val="00564CEE"/>
    <w:rsid w:val="00565030"/>
    <w:rsid w:val="00566D77"/>
    <w:rsid w:val="0057054B"/>
    <w:rsid w:val="00570C2C"/>
    <w:rsid w:val="00572727"/>
    <w:rsid w:val="00573638"/>
    <w:rsid w:val="00573D20"/>
    <w:rsid w:val="00573F87"/>
    <w:rsid w:val="0057474D"/>
    <w:rsid w:val="00574D44"/>
    <w:rsid w:val="00575D09"/>
    <w:rsid w:val="00580073"/>
    <w:rsid w:val="005800CB"/>
    <w:rsid w:val="00581D5C"/>
    <w:rsid w:val="005829B1"/>
    <w:rsid w:val="00583E44"/>
    <w:rsid w:val="00584BA9"/>
    <w:rsid w:val="00584F7F"/>
    <w:rsid w:val="005851D8"/>
    <w:rsid w:val="00586F53"/>
    <w:rsid w:val="00587953"/>
    <w:rsid w:val="00587D54"/>
    <w:rsid w:val="005900D7"/>
    <w:rsid w:val="005903AC"/>
    <w:rsid w:val="005917BB"/>
    <w:rsid w:val="00592D3A"/>
    <w:rsid w:val="00592D57"/>
    <w:rsid w:val="00593FC1"/>
    <w:rsid w:val="0059494A"/>
    <w:rsid w:val="00595041"/>
    <w:rsid w:val="0059595D"/>
    <w:rsid w:val="00595F48"/>
    <w:rsid w:val="0059694A"/>
    <w:rsid w:val="00596C08"/>
    <w:rsid w:val="005A0BE9"/>
    <w:rsid w:val="005A2A86"/>
    <w:rsid w:val="005A2B99"/>
    <w:rsid w:val="005A2BCA"/>
    <w:rsid w:val="005A445D"/>
    <w:rsid w:val="005A5474"/>
    <w:rsid w:val="005A5848"/>
    <w:rsid w:val="005A6CB8"/>
    <w:rsid w:val="005A7FB9"/>
    <w:rsid w:val="005B004B"/>
    <w:rsid w:val="005B1319"/>
    <w:rsid w:val="005B1FCD"/>
    <w:rsid w:val="005B2E55"/>
    <w:rsid w:val="005B318A"/>
    <w:rsid w:val="005B6592"/>
    <w:rsid w:val="005B735B"/>
    <w:rsid w:val="005B7D7D"/>
    <w:rsid w:val="005C0892"/>
    <w:rsid w:val="005C0FBA"/>
    <w:rsid w:val="005C1E78"/>
    <w:rsid w:val="005C303A"/>
    <w:rsid w:val="005C3099"/>
    <w:rsid w:val="005C3A2B"/>
    <w:rsid w:val="005C3BF7"/>
    <w:rsid w:val="005C3C36"/>
    <w:rsid w:val="005C442D"/>
    <w:rsid w:val="005C4639"/>
    <w:rsid w:val="005C5698"/>
    <w:rsid w:val="005C5829"/>
    <w:rsid w:val="005C590C"/>
    <w:rsid w:val="005C5CA5"/>
    <w:rsid w:val="005D0C43"/>
    <w:rsid w:val="005D0EBC"/>
    <w:rsid w:val="005D0F11"/>
    <w:rsid w:val="005D10D5"/>
    <w:rsid w:val="005D5762"/>
    <w:rsid w:val="005D65A6"/>
    <w:rsid w:val="005D68E7"/>
    <w:rsid w:val="005D6CF5"/>
    <w:rsid w:val="005D789F"/>
    <w:rsid w:val="005D78AF"/>
    <w:rsid w:val="005D7972"/>
    <w:rsid w:val="005E01CF"/>
    <w:rsid w:val="005E08F4"/>
    <w:rsid w:val="005E0A5A"/>
    <w:rsid w:val="005E0A97"/>
    <w:rsid w:val="005E1337"/>
    <w:rsid w:val="005E1434"/>
    <w:rsid w:val="005E2459"/>
    <w:rsid w:val="005E2EAF"/>
    <w:rsid w:val="005E416B"/>
    <w:rsid w:val="005E4C7F"/>
    <w:rsid w:val="005E60CF"/>
    <w:rsid w:val="005F0D75"/>
    <w:rsid w:val="005F3809"/>
    <w:rsid w:val="005F42CF"/>
    <w:rsid w:val="005F67E4"/>
    <w:rsid w:val="005F6953"/>
    <w:rsid w:val="005F74CF"/>
    <w:rsid w:val="006009D1"/>
    <w:rsid w:val="006016D8"/>
    <w:rsid w:val="00601D18"/>
    <w:rsid w:val="00603878"/>
    <w:rsid w:val="006052DC"/>
    <w:rsid w:val="006067A1"/>
    <w:rsid w:val="00610B98"/>
    <w:rsid w:val="0061260F"/>
    <w:rsid w:val="00612709"/>
    <w:rsid w:val="00612824"/>
    <w:rsid w:val="006136A7"/>
    <w:rsid w:val="006136CF"/>
    <w:rsid w:val="00614949"/>
    <w:rsid w:val="00614E0A"/>
    <w:rsid w:val="00614FDE"/>
    <w:rsid w:val="00615633"/>
    <w:rsid w:val="00617940"/>
    <w:rsid w:val="006216F7"/>
    <w:rsid w:val="006233D8"/>
    <w:rsid w:val="006241B7"/>
    <w:rsid w:val="00624974"/>
    <w:rsid w:val="00625917"/>
    <w:rsid w:val="00626B36"/>
    <w:rsid w:val="006276C3"/>
    <w:rsid w:val="00630005"/>
    <w:rsid w:val="006313B7"/>
    <w:rsid w:val="00631436"/>
    <w:rsid w:val="00632FE7"/>
    <w:rsid w:val="00634AA5"/>
    <w:rsid w:val="00635FA1"/>
    <w:rsid w:val="00635FE3"/>
    <w:rsid w:val="006375E4"/>
    <w:rsid w:val="0064193C"/>
    <w:rsid w:val="006435C7"/>
    <w:rsid w:val="00643750"/>
    <w:rsid w:val="0064599B"/>
    <w:rsid w:val="00646294"/>
    <w:rsid w:val="006474D1"/>
    <w:rsid w:val="00647502"/>
    <w:rsid w:val="0065068A"/>
    <w:rsid w:val="006510C3"/>
    <w:rsid w:val="00651493"/>
    <w:rsid w:val="00652C1F"/>
    <w:rsid w:val="00653EC1"/>
    <w:rsid w:val="00655F88"/>
    <w:rsid w:val="00656211"/>
    <w:rsid w:val="00660CDC"/>
    <w:rsid w:val="006614E9"/>
    <w:rsid w:val="006635BB"/>
    <w:rsid w:val="00663A01"/>
    <w:rsid w:val="00666B7C"/>
    <w:rsid w:val="006675F9"/>
    <w:rsid w:val="0067084D"/>
    <w:rsid w:val="0067085A"/>
    <w:rsid w:val="00671CF0"/>
    <w:rsid w:val="00672825"/>
    <w:rsid w:val="00672BAC"/>
    <w:rsid w:val="00674D6D"/>
    <w:rsid w:val="006757A7"/>
    <w:rsid w:val="006775FF"/>
    <w:rsid w:val="00677A4D"/>
    <w:rsid w:val="006803DE"/>
    <w:rsid w:val="0068041F"/>
    <w:rsid w:val="00680C83"/>
    <w:rsid w:val="00680E85"/>
    <w:rsid w:val="00681AA6"/>
    <w:rsid w:val="00681ACC"/>
    <w:rsid w:val="00682A3D"/>
    <w:rsid w:val="00682BD1"/>
    <w:rsid w:val="00682DBF"/>
    <w:rsid w:val="00683215"/>
    <w:rsid w:val="00683336"/>
    <w:rsid w:val="00683591"/>
    <w:rsid w:val="00684B29"/>
    <w:rsid w:val="006850F1"/>
    <w:rsid w:val="00685497"/>
    <w:rsid w:val="006866C1"/>
    <w:rsid w:val="00687E1A"/>
    <w:rsid w:val="00687F80"/>
    <w:rsid w:val="006900BD"/>
    <w:rsid w:val="00691394"/>
    <w:rsid w:val="00691DD1"/>
    <w:rsid w:val="0069221D"/>
    <w:rsid w:val="00693D0C"/>
    <w:rsid w:val="00693DD0"/>
    <w:rsid w:val="00694595"/>
    <w:rsid w:val="00696650"/>
    <w:rsid w:val="0069792E"/>
    <w:rsid w:val="006A003C"/>
    <w:rsid w:val="006A02B0"/>
    <w:rsid w:val="006A0DF3"/>
    <w:rsid w:val="006A2786"/>
    <w:rsid w:val="006A3575"/>
    <w:rsid w:val="006A4660"/>
    <w:rsid w:val="006A46BA"/>
    <w:rsid w:val="006A6354"/>
    <w:rsid w:val="006A7866"/>
    <w:rsid w:val="006B1F9E"/>
    <w:rsid w:val="006B34FF"/>
    <w:rsid w:val="006B4865"/>
    <w:rsid w:val="006B5A98"/>
    <w:rsid w:val="006B63B1"/>
    <w:rsid w:val="006B6ECF"/>
    <w:rsid w:val="006B6F21"/>
    <w:rsid w:val="006B7120"/>
    <w:rsid w:val="006B7594"/>
    <w:rsid w:val="006C07CA"/>
    <w:rsid w:val="006C0D34"/>
    <w:rsid w:val="006C1321"/>
    <w:rsid w:val="006C1F9A"/>
    <w:rsid w:val="006C202E"/>
    <w:rsid w:val="006C2260"/>
    <w:rsid w:val="006C4979"/>
    <w:rsid w:val="006C4E63"/>
    <w:rsid w:val="006C5AAD"/>
    <w:rsid w:val="006C6127"/>
    <w:rsid w:val="006C7905"/>
    <w:rsid w:val="006C7ACF"/>
    <w:rsid w:val="006C7DDD"/>
    <w:rsid w:val="006D0424"/>
    <w:rsid w:val="006D1680"/>
    <w:rsid w:val="006D2559"/>
    <w:rsid w:val="006D2F2A"/>
    <w:rsid w:val="006D2F45"/>
    <w:rsid w:val="006D3030"/>
    <w:rsid w:val="006D4072"/>
    <w:rsid w:val="006D5FB8"/>
    <w:rsid w:val="006D65BF"/>
    <w:rsid w:val="006D73C5"/>
    <w:rsid w:val="006D7B3B"/>
    <w:rsid w:val="006E0383"/>
    <w:rsid w:val="006E2253"/>
    <w:rsid w:val="006E4B2A"/>
    <w:rsid w:val="006E4E09"/>
    <w:rsid w:val="006E5373"/>
    <w:rsid w:val="006E5E16"/>
    <w:rsid w:val="006E6C2F"/>
    <w:rsid w:val="006E7A13"/>
    <w:rsid w:val="006F0FDD"/>
    <w:rsid w:val="006F1F62"/>
    <w:rsid w:val="006F2D77"/>
    <w:rsid w:val="006F364F"/>
    <w:rsid w:val="006F566C"/>
    <w:rsid w:val="006F6A81"/>
    <w:rsid w:val="006F6C5F"/>
    <w:rsid w:val="006F721C"/>
    <w:rsid w:val="00700A41"/>
    <w:rsid w:val="00701CA1"/>
    <w:rsid w:val="00701F29"/>
    <w:rsid w:val="00702111"/>
    <w:rsid w:val="00703A36"/>
    <w:rsid w:val="00704647"/>
    <w:rsid w:val="007050EA"/>
    <w:rsid w:val="00705F53"/>
    <w:rsid w:val="0070620E"/>
    <w:rsid w:val="00706D9E"/>
    <w:rsid w:val="007073F6"/>
    <w:rsid w:val="007076F0"/>
    <w:rsid w:val="00707896"/>
    <w:rsid w:val="00707AF8"/>
    <w:rsid w:val="007107E5"/>
    <w:rsid w:val="00711311"/>
    <w:rsid w:val="00711D32"/>
    <w:rsid w:val="007142FD"/>
    <w:rsid w:val="00715711"/>
    <w:rsid w:val="00720511"/>
    <w:rsid w:val="0072098A"/>
    <w:rsid w:val="007230CA"/>
    <w:rsid w:val="007243B6"/>
    <w:rsid w:val="00724817"/>
    <w:rsid w:val="00724CEA"/>
    <w:rsid w:val="007272B0"/>
    <w:rsid w:val="0072741B"/>
    <w:rsid w:val="00727A90"/>
    <w:rsid w:val="00727C37"/>
    <w:rsid w:val="00727EAD"/>
    <w:rsid w:val="00727F6B"/>
    <w:rsid w:val="0073067F"/>
    <w:rsid w:val="00730A07"/>
    <w:rsid w:val="00730ED3"/>
    <w:rsid w:val="00730F01"/>
    <w:rsid w:val="0073120F"/>
    <w:rsid w:val="007341F0"/>
    <w:rsid w:val="0073458D"/>
    <w:rsid w:val="00736A77"/>
    <w:rsid w:val="00737A39"/>
    <w:rsid w:val="00737F7C"/>
    <w:rsid w:val="007416D6"/>
    <w:rsid w:val="00741F2B"/>
    <w:rsid w:val="00742537"/>
    <w:rsid w:val="007435AE"/>
    <w:rsid w:val="00743734"/>
    <w:rsid w:val="00744ADE"/>
    <w:rsid w:val="00745488"/>
    <w:rsid w:val="00746B83"/>
    <w:rsid w:val="00746E86"/>
    <w:rsid w:val="00750852"/>
    <w:rsid w:val="007508BE"/>
    <w:rsid w:val="007537D9"/>
    <w:rsid w:val="00754106"/>
    <w:rsid w:val="007570CF"/>
    <w:rsid w:val="00757588"/>
    <w:rsid w:val="00757F8D"/>
    <w:rsid w:val="007615EF"/>
    <w:rsid w:val="00761B97"/>
    <w:rsid w:val="00762516"/>
    <w:rsid w:val="007638DE"/>
    <w:rsid w:val="00764260"/>
    <w:rsid w:val="0076551A"/>
    <w:rsid w:val="007662C2"/>
    <w:rsid w:val="0076740A"/>
    <w:rsid w:val="00767466"/>
    <w:rsid w:val="007679E0"/>
    <w:rsid w:val="00767ECD"/>
    <w:rsid w:val="00773274"/>
    <w:rsid w:val="00773FAB"/>
    <w:rsid w:val="00775C70"/>
    <w:rsid w:val="0077658A"/>
    <w:rsid w:val="00776D6E"/>
    <w:rsid w:val="00777529"/>
    <w:rsid w:val="007778E4"/>
    <w:rsid w:val="0078014C"/>
    <w:rsid w:val="007811E7"/>
    <w:rsid w:val="00781CCC"/>
    <w:rsid w:val="00783187"/>
    <w:rsid w:val="007831C7"/>
    <w:rsid w:val="00783B56"/>
    <w:rsid w:val="00783D79"/>
    <w:rsid w:val="00785BB5"/>
    <w:rsid w:val="0078774E"/>
    <w:rsid w:val="00787B66"/>
    <w:rsid w:val="007904C5"/>
    <w:rsid w:val="00790812"/>
    <w:rsid w:val="00793A8D"/>
    <w:rsid w:val="00793D7F"/>
    <w:rsid w:val="00795830"/>
    <w:rsid w:val="007A04B9"/>
    <w:rsid w:val="007A1135"/>
    <w:rsid w:val="007A1AF3"/>
    <w:rsid w:val="007A240E"/>
    <w:rsid w:val="007A2EAA"/>
    <w:rsid w:val="007A3069"/>
    <w:rsid w:val="007A430F"/>
    <w:rsid w:val="007A447E"/>
    <w:rsid w:val="007A468C"/>
    <w:rsid w:val="007A6664"/>
    <w:rsid w:val="007A7D90"/>
    <w:rsid w:val="007B0508"/>
    <w:rsid w:val="007B0BA4"/>
    <w:rsid w:val="007B2531"/>
    <w:rsid w:val="007B41B9"/>
    <w:rsid w:val="007B7CBE"/>
    <w:rsid w:val="007C0CB2"/>
    <w:rsid w:val="007C0D45"/>
    <w:rsid w:val="007C10AA"/>
    <w:rsid w:val="007C133F"/>
    <w:rsid w:val="007C26EC"/>
    <w:rsid w:val="007C3305"/>
    <w:rsid w:val="007C3815"/>
    <w:rsid w:val="007C6E19"/>
    <w:rsid w:val="007C7986"/>
    <w:rsid w:val="007C7F8E"/>
    <w:rsid w:val="007D0836"/>
    <w:rsid w:val="007D092F"/>
    <w:rsid w:val="007D21AF"/>
    <w:rsid w:val="007D2B4E"/>
    <w:rsid w:val="007D427D"/>
    <w:rsid w:val="007D50DD"/>
    <w:rsid w:val="007D7003"/>
    <w:rsid w:val="007D70B0"/>
    <w:rsid w:val="007E14CD"/>
    <w:rsid w:val="007E151A"/>
    <w:rsid w:val="007E1638"/>
    <w:rsid w:val="007E1B4F"/>
    <w:rsid w:val="007E22A0"/>
    <w:rsid w:val="007E34BB"/>
    <w:rsid w:val="007E404A"/>
    <w:rsid w:val="007E44A4"/>
    <w:rsid w:val="007E56E7"/>
    <w:rsid w:val="007E59EA"/>
    <w:rsid w:val="007E772D"/>
    <w:rsid w:val="007F0034"/>
    <w:rsid w:val="007F0100"/>
    <w:rsid w:val="007F05EF"/>
    <w:rsid w:val="007F079E"/>
    <w:rsid w:val="007F0E79"/>
    <w:rsid w:val="007F1189"/>
    <w:rsid w:val="007F18D6"/>
    <w:rsid w:val="007F1D8A"/>
    <w:rsid w:val="007F24AA"/>
    <w:rsid w:val="007F273A"/>
    <w:rsid w:val="007F2914"/>
    <w:rsid w:val="007F2B61"/>
    <w:rsid w:val="007F33CE"/>
    <w:rsid w:val="007F3E69"/>
    <w:rsid w:val="007F4E56"/>
    <w:rsid w:val="007F5568"/>
    <w:rsid w:val="007F7104"/>
    <w:rsid w:val="007F7444"/>
    <w:rsid w:val="007F796C"/>
    <w:rsid w:val="007F7D40"/>
    <w:rsid w:val="00800B71"/>
    <w:rsid w:val="00800C27"/>
    <w:rsid w:val="00801088"/>
    <w:rsid w:val="00801156"/>
    <w:rsid w:val="0080234F"/>
    <w:rsid w:val="00802EB4"/>
    <w:rsid w:val="008031D1"/>
    <w:rsid w:val="00803258"/>
    <w:rsid w:val="00803A65"/>
    <w:rsid w:val="00804C5D"/>
    <w:rsid w:val="00804E88"/>
    <w:rsid w:val="00805106"/>
    <w:rsid w:val="00805EAE"/>
    <w:rsid w:val="00806B54"/>
    <w:rsid w:val="00806D4A"/>
    <w:rsid w:val="008073BE"/>
    <w:rsid w:val="008100B1"/>
    <w:rsid w:val="00810CCB"/>
    <w:rsid w:val="00811EAE"/>
    <w:rsid w:val="00811FE0"/>
    <w:rsid w:val="008133ED"/>
    <w:rsid w:val="0081375C"/>
    <w:rsid w:val="00814421"/>
    <w:rsid w:val="00814595"/>
    <w:rsid w:val="00815805"/>
    <w:rsid w:val="00815FD4"/>
    <w:rsid w:val="008164B3"/>
    <w:rsid w:val="008166FB"/>
    <w:rsid w:val="00817131"/>
    <w:rsid w:val="008200CC"/>
    <w:rsid w:val="00820B00"/>
    <w:rsid w:val="00820C24"/>
    <w:rsid w:val="00820EBC"/>
    <w:rsid w:val="008217AE"/>
    <w:rsid w:val="00821F44"/>
    <w:rsid w:val="00822FF3"/>
    <w:rsid w:val="00823BEF"/>
    <w:rsid w:val="008240A6"/>
    <w:rsid w:val="0082475E"/>
    <w:rsid w:val="008249BF"/>
    <w:rsid w:val="00826097"/>
    <w:rsid w:val="0082663D"/>
    <w:rsid w:val="00826A82"/>
    <w:rsid w:val="0082700B"/>
    <w:rsid w:val="00827A26"/>
    <w:rsid w:val="008302B4"/>
    <w:rsid w:val="008304B3"/>
    <w:rsid w:val="00830882"/>
    <w:rsid w:val="00831C3C"/>
    <w:rsid w:val="0083511C"/>
    <w:rsid w:val="008413C2"/>
    <w:rsid w:val="0084171C"/>
    <w:rsid w:val="008417A4"/>
    <w:rsid w:val="008420FA"/>
    <w:rsid w:val="00842F17"/>
    <w:rsid w:val="008447BE"/>
    <w:rsid w:val="00845109"/>
    <w:rsid w:val="0084607D"/>
    <w:rsid w:val="008468C2"/>
    <w:rsid w:val="00847675"/>
    <w:rsid w:val="00850D9C"/>
    <w:rsid w:val="00850DCF"/>
    <w:rsid w:val="008535C7"/>
    <w:rsid w:val="0085385F"/>
    <w:rsid w:val="00854649"/>
    <w:rsid w:val="00856B50"/>
    <w:rsid w:val="00856C42"/>
    <w:rsid w:val="00857586"/>
    <w:rsid w:val="0085779C"/>
    <w:rsid w:val="008616F1"/>
    <w:rsid w:val="00861F06"/>
    <w:rsid w:val="008622ED"/>
    <w:rsid w:val="00863739"/>
    <w:rsid w:val="0086388E"/>
    <w:rsid w:val="00864CD7"/>
    <w:rsid w:val="00865588"/>
    <w:rsid w:val="00865680"/>
    <w:rsid w:val="0086621C"/>
    <w:rsid w:val="008662DF"/>
    <w:rsid w:val="0086630A"/>
    <w:rsid w:val="008668A8"/>
    <w:rsid w:val="00867A0B"/>
    <w:rsid w:val="00867C9A"/>
    <w:rsid w:val="008722C5"/>
    <w:rsid w:val="00872EC5"/>
    <w:rsid w:val="00875A71"/>
    <w:rsid w:val="00875EAB"/>
    <w:rsid w:val="00876B52"/>
    <w:rsid w:val="00876C7A"/>
    <w:rsid w:val="00876D60"/>
    <w:rsid w:val="00877B08"/>
    <w:rsid w:val="008800C8"/>
    <w:rsid w:val="00881F89"/>
    <w:rsid w:val="00882A64"/>
    <w:rsid w:val="0088330B"/>
    <w:rsid w:val="00883459"/>
    <w:rsid w:val="008834EF"/>
    <w:rsid w:val="00883C4C"/>
    <w:rsid w:val="0088494B"/>
    <w:rsid w:val="0088625C"/>
    <w:rsid w:val="008900A6"/>
    <w:rsid w:val="0089026A"/>
    <w:rsid w:val="00891898"/>
    <w:rsid w:val="00891927"/>
    <w:rsid w:val="008928FF"/>
    <w:rsid w:val="00892DA0"/>
    <w:rsid w:val="00893350"/>
    <w:rsid w:val="00893823"/>
    <w:rsid w:val="008939BF"/>
    <w:rsid w:val="0089414A"/>
    <w:rsid w:val="0089454C"/>
    <w:rsid w:val="008947E8"/>
    <w:rsid w:val="00895988"/>
    <w:rsid w:val="008964E5"/>
    <w:rsid w:val="008A012B"/>
    <w:rsid w:val="008A2CAD"/>
    <w:rsid w:val="008A2E4B"/>
    <w:rsid w:val="008A336D"/>
    <w:rsid w:val="008A4191"/>
    <w:rsid w:val="008A4DE8"/>
    <w:rsid w:val="008A700D"/>
    <w:rsid w:val="008A73B1"/>
    <w:rsid w:val="008A7933"/>
    <w:rsid w:val="008B0877"/>
    <w:rsid w:val="008B0B42"/>
    <w:rsid w:val="008B4DA8"/>
    <w:rsid w:val="008B5463"/>
    <w:rsid w:val="008B62AF"/>
    <w:rsid w:val="008B64A2"/>
    <w:rsid w:val="008B694A"/>
    <w:rsid w:val="008B7035"/>
    <w:rsid w:val="008B70B0"/>
    <w:rsid w:val="008B7442"/>
    <w:rsid w:val="008C0777"/>
    <w:rsid w:val="008C1DE4"/>
    <w:rsid w:val="008C2396"/>
    <w:rsid w:val="008C24F5"/>
    <w:rsid w:val="008C2C61"/>
    <w:rsid w:val="008C4564"/>
    <w:rsid w:val="008C4941"/>
    <w:rsid w:val="008C597C"/>
    <w:rsid w:val="008C5D7C"/>
    <w:rsid w:val="008D0504"/>
    <w:rsid w:val="008D0B68"/>
    <w:rsid w:val="008D16E5"/>
    <w:rsid w:val="008D1A9C"/>
    <w:rsid w:val="008D24D6"/>
    <w:rsid w:val="008D2E27"/>
    <w:rsid w:val="008D2E36"/>
    <w:rsid w:val="008D310E"/>
    <w:rsid w:val="008D4336"/>
    <w:rsid w:val="008D574F"/>
    <w:rsid w:val="008D621B"/>
    <w:rsid w:val="008D69FE"/>
    <w:rsid w:val="008D6D10"/>
    <w:rsid w:val="008D7903"/>
    <w:rsid w:val="008E147C"/>
    <w:rsid w:val="008E2018"/>
    <w:rsid w:val="008E2572"/>
    <w:rsid w:val="008E25C3"/>
    <w:rsid w:val="008E2603"/>
    <w:rsid w:val="008E39A7"/>
    <w:rsid w:val="008E3A35"/>
    <w:rsid w:val="008E3A85"/>
    <w:rsid w:val="008E3EAD"/>
    <w:rsid w:val="008E4415"/>
    <w:rsid w:val="008E4AA7"/>
    <w:rsid w:val="008E61F8"/>
    <w:rsid w:val="008E64B2"/>
    <w:rsid w:val="008E7986"/>
    <w:rsid w:val="008E7B47"/>
    <w:rsid w:val="008F022C"/>
    <w:rsid w:val="008F0318"/>
    <w:rsid w:val="008F1711"/>
    <w:rsid w:val="008F1839"/>
    <w:rsid w:val="008F2E25"/>
    <w:rsid w:val="008F34E9"/>
    <w:rsid w:val="008F3871"/>
    <w:rsid w:val="008F4F78"/>
    <w:rsid w:val="008F6074"/>
    <w:rsid w:val="008F6C3D"/>
    <w:rsid w:val="008F6F4E"/>
    <w:rsid w:val="008F702C"/>
    <w:rsid w:val="0090274E"/>
    <w:rsid w:val="00902A38"/>
    <w:rsid w:val="00903E4F"/>
    <w:rsid w:val="009043F8"/>
    <w:rsid w:val="009045BD"/>
    <w:rsid w:val="00905567"/>
    <w:rsid w:val="00906005"/>
    <w:rsid w:val="009066CE"/>
    <w:rsid w:val="00910C7F"/>
    <w:rsid w:val="009131FD"/>
    <w:rsid w:val="009172F1"/>
    <w:rsid w:val="009217C4"/>
    <w:rsid w:val="0092186F"/>
    <w:rsid w:val="00921EA6"/>
    <w:rsid w:val="009235BB"/>
    <w:rsid w:val="00923A38"/>
    <w:rsid w:val="009251A1"/>
    <w:rsid w:val="00925CAC"/>
    <w:rsid w:val="0092604F"/>
    <w:rsid w:val="00927AF2"/>
    <w:rsid w:val="00927D6E"/>
    <w:rsid w:val="00927F17"/>
    <w:rsid w:val="00930A4B"/>
    <w:rsid w:val="00932CAE"/>
    <w:rsid w:val="00933403"/>
    <w:rsid w:val="00933CAC"/>
    <w:rsid w:val="00934332"/>
    <w:rsid w:val="00934F3C"/>
    <w:rsid w:val="00934F54"/>
    <w:rsid w:val="009350D2"/>
    <w:rsid w:val="0093558E"/>
    <w:rsid w:val="009365DC"/>
    <w:rsid w:val="0093723C"/>
    <w:rsid w:val="00937498"/>
    <w:rsid w:val="009413F3"/>
    <w:rsid w:val="0094297A"/>
    <w:rsid w:val="009436D7"/>
    <w:rsid w:val="00943D51"/>
    <w:rsid w:val="00944C2C"/>
    <w:rsid w:val="009452F0"/>
    <w:rsid w:val="00945DE3"/>
    <w:rsid w:val="00946A4F"/>
    <w:rsid w:val="00950410"/>
    <w:rsid w:val="00951B19"/>
    <w:rsid w:val="00951C6A"/>
    <w:rsid w:val="009536BA"/>
    <w:rsid w:val="00953B3C"/>
    <w:rsid w:val="00954885"/>
    <w:rsid w:val="009555E3"/>
    <w:rsid w:val="00956794"/>
    <w:rsid w:val="0095686D"/>
    <w:rsid w:val="00956BB6"/>
    <w:rsid w:val="009575F6"/>
    <w:rsid w:val="00957A01"/>
    <w:rsid w:val="00960F5F"/>
    <w:rsid w:val="0096125C"/>
    <w:rsid w:val="00962AC7"/>
    <w:rsid w:val="00962BC6"/>
    <w:rsid w:val="00962BD6"/>
    <w:rsid w:val="0096365D"/>
    <w:rsid w:val="009648E1"/>
    <w:rsid w:val="00964964"/>
    <w:rsid w:val="00964B93"/>
    <w:rsid w:val="00965B35"/>
    <w:rsid w:val="009660DF"/>
    <w:rsid w:val="0096645D"/>
    <w:rsid w:val="00966897"/>
    <w:rsid w:val="00966F06"/>
    <w:rsid w:val="00967291"/>
    <w:rsid w:val="0096768E"/>
    <w:rsid w:val="00967D96"/>
    <w:rsid w:val="0097037D"/>
    <w:rsid w:val="00971090"/>
    <w:rsid w:val="00971320"/>
    <w:rsid w:val="009733DA"/>
    <w:rsid w:val="00974C9E"/>
    <w:rsid w:val="00974F76"/>
    <w:rsid w:val="00975396"/>
    <w:rsid w:val="00977D23"/>
    <w:rsid w:val="00977D8C"/>
    <w:rsid w:val="0098260B"/>
    <w:rsid w:val="00982CA6"/>
    <w:rsid w:val="009839A7"/>
    <w:rsid w:val="00983A06"/>
    <w:rsid w:val="00983A7A"/>
    <w:rsid w:val="0098409F"/>
    <w:rsid w:val="00984171"/>
    <w:rsid w:val="00985489"/>
    <w:rsid w:val="00985DE4"/>
    <w:rsid w:val="009860BF"/>
    <w:rsid w:val="00987520"/>
    <w:rsid w:val="00987969"/>
    <w:rsid w:val="00990BC8"/>
    <w:rsid w:val="00990C9A"/>
    <w:rsid w:val="00991082"/>
    <w:rsid w:val="00992218"/>
    <w:rsid w:val="00992DB9"/>
    <w:rsid w:val="009933E0"/>
    <w:rsid w:val="00993437"/>
    <w:rsid w:val="00993C60"/>
    <w:rsid w:val="0099489A"/>
    <w:rsid w:val="009948CB"/>
    <w:rsid w:val="009955DF"/>
    <w:rsid w:val="00995EA4"/>
    <w:rsid w:val="00996D85"/>
    <w:rsid w:val="00996F51"/>
    <w:rsid w:val="0099753F"/>
    <w:rsid w:val="009A1625"/>
    <w:rsid w:val="009A1CDF"/>
    <w:rsid w:val="009A1D05"/>
    <w:rsid w:val="009A365E"/>
    <w:rsid w:val="009A379D"/>
    <w:rsid w:val="009A4131"/>
    <w:rsid w:val="009A5426"/>
    <w:rsid w:val="009A60FE"/>
    <w:rsid w:val="009A6779"/>
    <w:rsid w:val="009B14D4"/>
    <w:rsid w:val="009B1748"/>
    <w:rsid w:val="009B33E5"/>
    <w:rsid w:val="009B3696"/>
    <w:rsid w:val="009B37D2"/>
    <w:rsid w:val="009B4491"/>
    <w:rsid w:val="009B476E"/>
    <w:rsid w:val="009B4E6F"/>
    <w:rsid w:val="009B5665"/>
    <w:rsid w:val="009B56B8"/>
    <w:rsid w:val="009B57E4"/>
    <w:rsid w:val="009C0E89"/>
    <w:rsid w:val="009C15D6"/>
    <w:rsid w:val="009C28D0"/>
    <w:rsid w:val="009C4366"/>
    <w:rsid w:val="009C5404"/>
    <w:rsid w:val="009C5621"/>
    <w:rsid w:val="009C628C"/>
    <w:rsid w:val="009C658E"/>
    <w:rsid w:val="009C6981"/>
    <w:rsid w:val="009C6C75"/>
    <w:rsid w:val="009C6D65"/>
    <w:rsid w:val="009C71D3"/>
    <w:rsid w:val="009C73C2"/>
    <w:rsid w:val="009C75E2"/>
    <w:rsid w:val="009C77A1"/>
    <w:rsid w:val="009C7921"/>
    <w:rsid w:val="009D0C11"/>
    <w:rsid w:val="009D50B6"/>
    <w:rsid w:val="009D5564"/>
    <w:rsid w:val="009D7774"/>
    <w:rsid w:val="009D7AF2"/>
    <w:rsid w:val="009E0A61"/>
    <w:rsid w:val="009E1070"/>
    <w:rsid w:val="009E111D"/>
    <w:rsid w:val="009E1A8C"/>
    <w:rsid w:val="009E1DC4"/>
    <w:rsid w:val="009E2045"/>
    <w:rsid w:val="009E25AF"/>
    <w:rsid w:val="009E47E0"/>
    <w:rsid w:val="009E533C"/>
    <w:rsid w:val="009E5481"/>
    <w:rsid w:val="009E5AE1"/>
    <w:rsid w:val="009E673D"/>
    <w:rsid w:val="009F096D"/>
    <w:rsid w:val="009F09DD"/>
    <w:rsid w:val="009F2625"/>
    <w:rsid w:val="009F3961"/>
    <w:rsid w:val="009F3BB2"/>
    <w:rsid w:val="009F3FCD"/>
    <w:rsid w:val="009F4CF0"/>
    <w:rsid w:val="009F5309"/>
    <w:rsid w:val="009F5489"/>
    <w:rsid w:val="009F5897"/>
    <w:rsid w:val="009F7A17"/>
    <w:rsid w:val="009F7CAB"/>
    <w:rsid w:val="00A00725"/>
    <w:rsid w:val="00A007D0"/>
    <w:rsid w:val="00A00FE9"/>
    <w:rsid w:val="00A014FF"/>
    <w:rsid w:val="00A03150"/>
    <w:rsid w:val="00A04012"/>
    <w:rsid w:val="00A05E29"/>
    <w:rsid w:val="00A06E28"/>
    <w:rsid w:val="00A06F88"/>
    <w:rsid w:val="00A07870"/>
    <w:rsid w:val="00A10B1B"/>
    <w:rsid w:val="00A11377"/>
    <w:rsid w:val="00A11BC8"/>
    <w:rsid w:val="00A11CC2"/>
    <w:rsid w:val="00A121F4"/>
    <w:rsid w:val="00A12F1B"/>
    <w:rsid w:val="00A13CFA"/>
    <w:rsid w:val="00A14422"/>
    <w:rsid w:val="00A15A70"/>
    <w:rsid w:val="00A16907"/>
    <w:rsid w:val="00A175BE"/>
    <w:rsid w:val="00A20862"/>
    <w:rsid w:val="00A20865"/>
    <w:rsid w:val="00A2175B"/>
    <w:rsid w:val="00A22427"/>
    <w:rsid w:val="00A22C9A"/>
    <w:rsid w:val="00A22F3B"/>
    <w:rsid w:val="00A2333F"/>
    <w:rsid w:val="00A23634"/>
    <w:rsid w:val="00A23979"/>
    <w:rsid w:val="00A23D7E"/>
    <w:rsid w:val="00A24691"/>
    <w:rsid w:val="00A24869"/>
    <w:rsid w:val="00A24928"/>
    <w:rsid w:val="00A24E7E"/>
    <w:rsid w:val="00A250C1"/>
    <w:rsid w:val="00A259A2"/>
    <w:rsid w:val="00A25F0C"/>
    <w:rsid w:val="00A268A7"/>
    <w:rsid w:val="00A3054F"/>
    <w:rsid w:val="00A305B4"/>
    <w:rsid w:val="00A30A28"/>
    <w:rsid w:val="00A30FE0"/>
    <w:rsid w:val="00A31879"/>
    <w:rsid w:val="00A32087"/>
    <w:rsid w:val="00A33671"/>
    <w:rsid w:val="00A34458"/>
    <w:rsid w:val="00A345F7"/>
    <w:rsid w:val="00A35C5D"/>
    <w:rsid w:val="00A35FF2"/>
    <w:rsid w:val="00A374B7"/>
    <w:rsid w:val="00A40333"/>
    <w:rsid w:val="00A405DA"/>
    <w:rsid w:val="00A40D5A"/>
    <w:rsid w:val="00A410D6"/>
    <w:rsid w:val="00A41EF8"/>
    <w:rsid w:val="00A43BF3"/>
    <w:rsid w:val="00A4450C"/>
    <w:rsid w:val="00A44C95"/>
    <w:rsid w:val="00A477BE"/>
    <w:rsid w:val="00A47F56"/>
    <w:rsid w:val="00A5231C"/>
    <w:rsid w:val="00A52DC6"/>
    <w:rsid w:val="00A53061"/>
    <w:rsid w:val="00A53C92"/>
    <w:rsid w:val="00A53CC2"/>
    <w:rsid w:val="00A53FEC"/>
    <w:rsid w:val="00A542E3"/>
    <w:rsid w:val="00A5453B"/>
    <w:rsid w:val="00A54578"/>
    <w:rsid w:val="00A54FC1"/>
    <w:rsid w:val="00A5570B"/>
    <w:rsid w:val="00A60C2B"/>
    <w:rsid w:val="00A61ED4"/>
    <w:rsid w:val="00A62B13"/>
    <w:rsid w:val="00A637FD"/>
    <w:rsid w:val="00A638DD"/>
    <w:rsid w:val="00A63FD3"/>
    <w:rsid w:val="00A63FF8"/>
    <w:rsid w:val="00A64B3F"/>
    <w:rsid w:val="00A64BE1"/>
    <w:rsid w:val="00A65E62"/>
    <w:rsid w:val="00A67F25"/>
    <w:rsid w:val="00A734EE"/>
    <w:rsid w:val="00A73B8D"/>
    <w:rsid w:val="00A73D63"/>
    <w:rsid w:val="00A75574"/>
    <w:rsid w:val="00A758CE"/>
    <w:rsid w:val="00A75BD7"/>
    <w:rsid w:val="00A75D82"/>
    <w:rsid w:val="00A80AC8"/>
    <w:rsid w:val="00A8138F"/>
    <w:rsid w:val="00A81543"/>
    <w:rsid w:val="00A81DE9"/>
    <w:rsid w:val="00A8209F"/>
    <w:rsid w:val="00A82476"/>
    <w:rsid w:val="00A82A84"/>
    <w:rsid w:val="00A84403"/>
    <w:rsid w:val="00A85995"/>
    <w:rsid w:val="00A85A64"/>
    <w:rsid w:val="00A86BF8"/>
    <w:rsid w:val="00A87040"/>
    <w:rsid w:val="00A90628"/>
    <w:rsid w:val="00A907CF"/>
    <w:rsid w:val="00A908EB"/>
    <w:rsid w:val="00A91056"/>
    <w:rsid w:val="00A92D47"/>
    <w:rsid w:val="00A94B26"/>
    <w:rsid w:val="00A9585D"/>
    <w:rsid w:val="00A958DD"/>
    <w:rsid w:val="00A96787"/>
    <w:rsid w:val="00AA00D9"/>
    <w:rsid w:val="00AA0613"/>
    <w:rsid w:val="00AA07B7"/>
    <w:rsid w:val="00AA0ABC"/>
    <w:rsid w:val="00AA15E8"/>
    <w:rsid w:val="00AA2E82"/>
    <w:rsid w:val="00AA3DF0"/>
    <w:rsid w:val="00AA43D1"/>
    <w:rsid w:val="00AA4E07"/>
    <w:rsid w:val="00AA4E2E"/>
    <w:rsid w:val="00AA5BD5"/>
    <w:rsid w:val="00AA5FC6"/>
    <w:rsid w:val="00AA5FE8"/>
    <w:rsid w:val="00AA6CBD"/>
    <w:rsid w:val="00AA7D87"/>
    <w:rsid w:val="00AB04AA"/>
    <w:rsid w:val="00AB119E"/>
    <w:rsid w:val="00AB1971"/>
    <w:rsid w:val="00AB2B36"/>
    <w:rsid w:val="00AB4B6C"/>
    <w:rsid w:val="00AB5018"/>
    <w:rsid w:val="00AB51D0"/>
    <w:rsid w:val="00AB5AE8"/>
    <w:rsid w:val="00AB5F41"/>
    <w:rsid w:val="00AC0C63"/>
    <w:rsid w:val="00AC215B"/>
    <w:rsid w:val="00AC22CA"/>
    <w:rsid w:val="00AC2CEF"/>
    <w:rsid w:val="00AC330D"/>
    <w:rsid w:val="00AC408D"/>
    <w:rsid w:val="00AC4AA3"/>
    <w:rsid w:val="00AC5154"/>
    <w:rsid w:val="00AC5600"/>
    <w:rsid w:val="00AC5D22"/>
    <w:rsid w:val="00AC63B2"/>
    <w:rsid w:val="00AD03D7"/>
    <w:rsid w:val="00AD0420"/>
    <w:rsid w:val="00AD1FDD"/>
    <w:rsid w:val="00AD2247"/>
    <w:rsid w:val="00AD3D36"/>
    <w:rsid w:val="00AD3EF1"/>
    <w:rsid w:val="00AD43F9"/>
    <w:rsid w:val="00AD512C"/>
    <w:rsid w:val="00AD6507"/>
    <w:rsid w:val="00AD6DE6"/>
    <w:rsid w:val="00AE01C9"/>
    <w:rsid w:val="00AE1CA1"/>
    <w:rsid w:val="00AE36F1"/>
    <w:rsid w:val="00AE4194"/>
    <w:rsid w:val="00AE4625"/>
    <w:rsid w:val="00AE4715"/>
    <w:rsid w:val="00AE5717"/>
    <w:rsid w:val="00AE5898"/>
    <w:rsid w:val="00AE6D5C"/>
    <w:rsid w:val="00AE72D1"/>
    <w:rsid w:val="00AF08A0"/>
    <w:rsid w:val="00AF1B36"/>
    <w:rsid w:val="00AF26AA"/>
    <w:rsid w:val="00AF3D2A"/>
    <w:rsid w:val="00AF6E38"/>
    <w:rsid w:val="00AF6F2B"/>
    <w:rsid w:val="00AF6F4D"/>
    <w:rsid w:val="00AF7B1D"/>
    <w:rsid w:val="00AF7C52"/>
    <w:rsid w:val="00AF7E9D"/>
    <w:rsid w:val="00B00E28"/>
    <w:rsid w:val="00B01BD0"/>
    <w:rsid w:val="00B029D8"/>
    <w:rsid w:val="00B03903"/>
    <w:rsid w:val="00B0454B"/>
    <w:rsid w:val="00B04C16"/>
    <w:rsid w:val="00B04C17"/>
    <w:rsid w:val="00B0536D"/>
    <w:rsid w:val="00B05941"/>
    <w:rsid w:val="00B10401"/>
    <w:rsid w:val="00B10A72"/>
    <w:rsid w:val="00B11F2F"/>
    <w:rsid w:val="00B1298C"/>
    <w:rsid w:val="00B14315"/>
    <w:rsid w:val="00B14409"/>
    <w:rsid w:val="00B152B1"/>
    <w:rsid w:val="00B16154"/>
    <w:rsid w:val="00B1640F"/>
    <w:rsid w:val="00B16A66"/>
    <w:rsid w:val="00B16E83"/>
    <w:rsid w:val="00B20585"/>
    <w:rsid w:val="00B20B3B"/>
    <w:rsid w:val="00B20D07"/>
    <w:rsid w:val="00B21B5B"/>
    <w:rsid w:val="00B21F43"/>
    <w:rsid w:val="00B25DCA"/>
    <w:rsid w:val="00B25F96"/>
    <w:rsid w:val="00B26677"/>
    <w:rsid w:val="00B268EF"/>
    <w:rsid w:val="00B26B27"/>
    <w:rsid w:val="00B27F74"/>
    <w:rsid w:val="00B32C03"/>
    <w:rsid w:val="00B33426"/>
    <w:rsid w:val="00B340D7"/>
    <w:rsid w:val="00B34AFD"/>
    <w:rsid w:val="00B34FDF"/>
    <w:rsid w:val="00B35589"/>
    <w:rsid w:val="00B35B25"/>
    <w:rsid w:val="00B41E49"/>
    <w:rsid w:val="00B435F9"/>
    <w:rsid w:val="00B440B2"/>
    <w:rsid w:val="00B445D9"/>
    <w:rsid w:val="00B44CBD"/>
    <w:rsid w:val="00B460A2"/>
    <w:rsid w:val="00B46680"/>
    <w:rsid w:val="00B46C37"/>
    <w:rsid w:val="00B46F1F"/>
    <w:rsid w:val="00B478BE"/>
    <w:rsid w:val="00B50783"/>
    <w:rsid w:val="00B50C8B"/>
    <w:rsid w:val="00B53184"/>
    <w:rsid w:val="00B54014"/>
    <w:rsid w:val="00B557AC"/>
    <w:rsid w:val="00B5695A"/>
    <w:rsid w:val="00B57584"/>
    <w:rsid w:val="00B57D22"/>
    <w:rsid w:val="00B57E27"/>
    <w:rsid w:val="00B57F4D"/>
    <w:rsid w:val="00B62753"/>
    <w:rsid w:val="00B631A7"/>
    <w:rsid w:val="00B6340A"/>
    <w:rsid w:val="00B63AE2"/>
    <w:rsid w:val="00B63B6E"/>
    <w:rsid w:val="00B63E57"/>
    <w:rsid w:val="00B652E7"/>
    <w:rsid w:val="00B66181"/>
    <w:rsid w:val="00B661E5"/>
    <w:rsid w:val="00B66264"/>
    <w:rsid w:val="00B703F9"/>
    <w:rsid w:val="00B708E8"/>
    <w:rsid w:val="00B7091B"/>
    <w:rsid w:val="00B710A8"/>
    <w:rsid w:val="00B715A2"/>
    <w:rsid w:val="00B71B3D"/>
    <w:rsid w:val="00B72239"/>
    <w:rsid w:val="00B73235"/>
    <w:rsid w:val="00B75854"/>
    <w:rsid w:val="00B75A67"/>
    <w:rsid w:val="00B761E4"/>
    <w:rsid w:val="00B76D58"/>
    <w:rsid w:val="00B76E30"/>
    <w:rsid w:val="00B814E5"/>
    <w:rsid w:val="00B81B1A"/>
    <w:rsid w:val="00B81C71"/>
    <w:rsid w:val="00B825AF"/>
    <w:rsid w:val="00B828DD"/>
    <w:rsid w:val="00B834DF"/>
    <w:rsid w:val="00B83930"/>
    <w:rsid w:val="00B83AD0"/>
    <w:rsid w:val="00B84B30"/>
    <w:rsid w:val="00B8523F"/>
    <w:rsid w:val="00B856EC"/>
    <w:rsid w:val="00B86D47"/>
    <w:rsid w:val="00B87FD9"/>
    <w:rsid w:val="00B907A0"/>
    <w:rsid w:val="00B942EA"/>
    <w:rsid w:val="00B94E83"/>
    <w:rsid w:val="00B9637C"/>
    <w:rsid w:val="00B97011"/>
    <w:rsid w:val="00B977A5"/>
    <w:rsid w:val="00BA05F3"/>
    <w:rsid w:val="00BA26C9"/>
    <w:rsid w:val="00BA3A99"/>
    <w:rsid w:val="00BA5CAD"/>
    <w:rsid w:val="00BA609E"/>
    <w:rsid w:val="00BA64AA"/>
    <w:rsid w:val="00BA7107"/>
    <w:rsid w:val="00BA778F"/>
    <w:rsid w:val="00BB1BE6"/>
    <w:rsid w:val="00BB2136"/>
    <w:rsid w:val="00BB2346"/>
    <w:rsid w:val="00BB2FA5"/>
    <w:rsid w:val="00BB5313"/>
    <w:rsid w:val="00BB5FB2"/>
    <w:rsid w:val="00BC06F7"/>
    <w:rsid w:val="00BC07D1"/>
    <w:rsid w:val="00BC1923"/>
    <w:rsid w:val="00BC1DB6"/>
    <w:rsid w:val="00BC23D6"/>
    <w:rsid w:val="00BC2C85"/>
    <w:rsid w:val="00BC2F5F"/>
    <w:rsid w:val="00BC4733"/>
    <w:rsid w:val="00BC6BED"/>
    <w:rsid w:val="00BC6C80"/>
    <w:rsid w:val="00BC766D"/>
    <w:rsid w:val="00BD05E1"/>
    <w:rsid w:val="00BD0857"/>
    <w:rsid w:val="00BD1200"/>
    <w:rsid w:val="00BD1844"/>
    <w:rsid w:val="00BD1A9E"/>
    <w:rsid w:val="00BD2198"/>
    <w:rsid w:val="00BD21B9"/>
    <w:rsid w:val="00BD2665"/>
    <w:rsid w:val="00BD2BEE"/>
    <w:rsid w:val="00BD430C"/>
    <w:rsid w:val="00BD4B84"/>
    <w:rsid w:val="00BD6C4D"/>
    <w:rsid w:val="00BD746E"/>
    <w:rsid w:val="00BE18D8"/>
    <w:rsid w:val="00BE1BF6"/>
    <w:rsid w:val="00BE1D64"/>
    <w:rsid w:val="00BE200E"/>
    <w:rsid w:val="00BE2142"/>
    <w:rsid w:val="00BE27EA"/>
    <w:rsid w:val="00BE3D06"/>
    <w:rsid w:val="00BE3F2F"/>
    <w:rsid w:val="00BE4A00"/>
    <w:rsid w:val="00BE5581"/>
    <w:rsid w:val="00BE5E99"/>
    <w:rsid w:val="00BE6206"/>
    <w:rsid w:val="00BE6F2B"/>
    <w:rsid w:val="00BE734C"/>
    <w:rsid w:val="00BF0B9E"/>
    <w:rsid w:val="00BF0CA3"/>
    <w:rsid w:val="00BF13EF"/>
    <w:rsid w:val="00BF24D4"/>
    <w:rsid w:val="00BF2A07"/>
    <w:rsid w:val="00BF371E"/>
    <w:rsid w:val="00BF424B"/>
    <w:rsid w:val="00BF49A8"/>
    <w:rsid w:val="00BF550E"/>
    <w:rsid w:val="00BF59AB"/>
    <w:rsid w:val="00BF6618"/>
    <w:rsid w:val="00BF685F"/>
    <w:rsid w:val="00BF6ECD"/>
    <w:rsid w:val="00BF6FFD"/>
    <w:rsid w:val="00BF71DE"/>
    <w:rsid w:val="00C01A2D"/>
    <w:rsid w:val="00C0266A"/>
    <w:rsid w:val="00C02BF4"/>
    <w:rsid w:val="00C032CB"/>
    <w:rsid w:val="00C0559D"/>
    <w:rsid w:val="00C06DCD"/>
    <w:rsid w:val="00C06F54"/>
    <w:rsid w:val="00C07817"/>
    <w:rsid w:val="00C10B81"/>
    <w:rsid w:val="00C10CD4"/>
    <w:rsid w:val="00C113A0"/>
    <w:rsid w:val="00C14FC7"/>
    <w:rsid w:val="00C15C83"/>
    <w:rsid w:val="00C15E88"/>
    <w:rsid w:val="00C162EE"/>
    <w:rsid w:val="00C1643D"/>
    <w:rsid w:val="00C1673A"/>
    <w:rsid w:val="00C174E3"/>
    <w:rsid w:val="00C17DCF"/>
    <w:rsid w:val="00C17EE2"/>
    <w:rsid w:val="00C2054E"/>
    <w:rsid w:val="00C211BC"/>
    <w:rsid w:val="00C21C1B"/>
    <w:rsid w:val="00C21DF5"/>
    <w:rsid w:val="00C22F2A"/>
    <w:rsid w:val="00C231EC"/>
    <w:rsid w:val="00C23735"/>
    <w:rsid w:val="00C241F3"/>
    <w:rsid w:val="00C247FB"/>
    <w:rsid w:val="00C24DE6"/>
    <w:rsid w:val="00C24E0E"/>
    <w:rsid w:val="00C252A7"/>
    <w:rsid w:val="00C25C37"/>
    <w:rsid w:val="00C309A7"/>
    <w:rsid w:val="00C30F96"/>
    <w:rsid w:val="00C31760"/>
    <w:rsid w:val="00C31ACF"/>
    <w:rsid w:val="00C32455"/>
    <w:rsid w:val="00C324DB"/>
    <w:rsid w:val="00C32558"/>
    <w:rsid w:val="00C3293E"/>
    <w:rsid w:val="00C3308D"/>
    <w:rsid w:val="00C33FC1"/>
    <w:rsid w:val="00C369CF"/>
    <w:rsid w:val="00C36EB3"/>
    <w:rsid w:val="00C37523"/>
    <w:rsid w:val="00C37C6D"/>
    <w:rsid w:val="00C37CF8"/>
    <w:rsid w:val="00C401F9"/>
    <w:rsid w:val="00C40416"/>
    <w:rsid w:val="00C406FB"/>
    <w:rsid w:val="00C40701"/>
    <w:rsid w:val="00C40EBB"/>
    <w:rsid w:val="00C4341C"/>
    <w:rsid w:val="00C43455"/>
    <w:rsid w:val="00C43BA4"/>
    <w:rsid w:val="00C444B4"/>
    <w:rsid w:val="00C445E2"/>
    <w:rsid w:val="00C457B9"/>
    <w:rsid w:val="00C467A1"/>
    <w:rsid w:val="00C467BA"/>
    <w:rsid w:val="00C47046"/>
    <w:rsid w:val="00C47F9A"/>
    <w:rsid w:val="00C47FDD"/>
    <w:rsid w:val="00C50BC2"/>
    <w:rsid w:val="00C50FFF"/>
    <w:rsid w:val="00C51201"/>
    <w:rsid w:val="00C51C0F"/>
    <w:rsid w:val="00C51D3E"/>
    <w:rsid w:val="00C5512D"/>
    <w:rsid w:val="00C56124"/>
    <w:rsid w:val="00C56930"/>
    <w:rsid w:val="00C57411"/>
    <w:rsid w:val="00C60395"/>
    <w:rsid w:val="00C6067E"/>
    <w:rsid w:val="00C609F9"/>
    <w:rsid w:val="00C622AC"/>
    <w:rsid w:val="00C62650"/>
    <w:rsid w:val="00C62D8D"/>
    <w:rsid w:val="00C63D68"/>
    <w:rsid w:val="00C63FE3"/>
    <w:rsid w:val="00C671C9"/>
    <w:rsid w:val="00C70A0D"/>
    <w:rsid w:val="00C71A02"/>
    <w:rsid w:val="00C71E8A"/>
    <w:rsid w:val="00C71E8C"/>
    <w:rsid w:val="00C74780"/>
    <w:rsid w:val="00C74A61"/>
    <w:rsid w:val="00C7538F"/>
    <w:rsid w:val="00C7613C"/>
    <w:rsid w:val="00C76695"/>
    <w:rsid w:val="00C76C30"/>
    <w:rsid w:val="00C76D0A"/>
    <w:rsid w:val="00C777F6"/>
    <w:rsid w:val="00C8041C"/>
    <w:rsid w:val="00C81901"/>
    <w:rsid w:val="00C829D0"/>
    <w:rsid w:val="00C8317C"/>
    <w:rsid w:val="00C834CD"/>
    <w:rsid w:val="00C838A9"/>
    <w:rsid w:val="00C83C26"/>
    <w:rsid w:val="00C859BA"/>
    <w:rsid w:val="00C85AAF"/>
    <w:rsid w:val="00C85C56"/>
    <w:rsid w:val="00C9067D"/>
    <w:rsid w:val="00C9093A"/>
    <w:rsid w:val="00C911B3"/>
    <w:rsid w:val="00C92568"/>
    <w:rsid w:val="00C92D9F"/>
    <w:rsid w:val="00C93C5B"/>
    <w:rsid w:val="00C947D7"/>
    <w:rsid w:val="00C961F0"/>
    <w:rsid w:val="00C96E44"/>
    <w:rsid w:val="00CA00EA"/>
    <w:rsid w:val="00CA1DCA"/>
    <w:rsid w:val="00CA3072"/>
    <w:rsid w:val="00CA31D7"/>
    <w:rsid w:val="00CA35DC"/>
    <w:rsid w:val="00CA4F86"/>
    <w:rsid w:val="00CA5EFE"/>
    <w:rsid w:val="00CA6CAB"/>
    <w:rsid w:val="00CA6E42"/>
    <w:rsid w:val="00CA78A1"/>
    <w:rsid w:val="00CB0223"/>
    <w:rsid w:val="00CB1C90"/>
    <w:rsid w:val="00CB1E88"/>
    <w:rsid w:val="00CB3ED5"/>
    <w:rsid w:val="00CB4665"/>
    <w:rsid w:val="00CB5172"/>
    <w:rsid w:val="00CB52C9"/>
    <w:rsid w:val="00CB59BD"/>
    <w:rsid w:val="00CB6242"/>
    <w:rsid w:val="00CB62E4"/>
    <w:rsid w:val="00CB78E6"/>
    <w:rsid w:val="00CB7C4F"/>
    <w:rsid w:val="00CC0010"/>
    <w:rsid w:val="00CC1A36"/>
    <w:rsid w:val="00CC23A0"/>
    <w:rsid w:val="00CC27C5"/>
    <w:rsid w:val="00CC2A7C"/>
    <w:rsid w:val="00CC32AC"/>
    <w:rsid w:val="00CC5C6F"/>
    <w:rsid w:val="00CD0635"/>
    <w:rsid w:val="00CD14C7"/>
    <w:rsid w:val="00CD2126"/>
    <w:rsid w:val="00CD258A"/>
    <w:rsid w:val="00CD2E34"/>
    <w:rsid w:val="00CD3327"/>
    <w:rsid w:val="00CD3DBA"/>
    <w:rsid w:val="00CD4CD9"/>
    <w:rsid w:val="00CD51F2"/>
    <w:rsid w:val="00CD5A39"/>
    <w:rsid w:val="00CD789B"/>
    <w:rsid w:val="00CD7E2E"/>
    <w:rsid w:val="00CE03A7"/>
    <w:rsid w:val="00CE073F"/>
    <w:rsid w:val="00CE118E"/>
    <w:rsid w:val="00CE4DB4"/>
    <w:rsid w:val="00CE4FA2"/>
    <w:rsid w:val="00CE5969"/>
    <w:rsid w:val="00CE5D09"/>
    <w:rsid w:val="00CE5FC5"/>
    <w:rsid w:val="00CE61AA"/>
    <w:rsid w:val="00CE6437"/>
    <w:rsid w:val="00CE6530"/>
    <w:rsid w:val="00CE655D"/>
    <w:rsid w:val="00CE6BA4"/>
    <w:rsid w:val="00CE7320"/>
    <w:rsid w:val="00CF033E"/>
    <w:rsid w:val="00CF077F"/>
    <w:rsid w:val="00CF0D6E"/>
    <w:rsid w:val="00CF0D70"/>
    <w:rsid w:val="00CF0F86"/>
    <w:rsid w:val="00CF1B0D"/>
    <w:rsid w:val="00CF1B7C"/>
    <w:rsid w:val="00CF2762"/>
    <w:rsid w:val="00CF3BCE"/>
    <w:rsid w:val="00CF48C5"/>
    <w:rsid w:val="00CF5169"/>
    <w:rsid w:val="00CF52E5"/>
    <w:rsid w:val="00CF5347"/>
    <w:rsid w:val="00CF6BD3"/>
    <w:rsid w:val="00CF75D5"/>
    <w:rsid w:val="00CF79F8"/>
    <w:rsid w:val="00CF7E68"/>
    <w:rsid w:val="00D01641"/>
    <w:rsid w:val="00D01CD6"/>
    <w:rsid w:val="00D02B9E"/>
    <w:rsid w:val="00D03537"/>
    <w:rsid w:val="00D04389"/>
    <w:rsid w:val="00D04C25"/>
    <w:rsid w:val="00D052AC"/>
    <w:rsid w:val="00D068F1"/>
    <w:rsid w:val="00D06B0D"/>
    <w:rsid w:val="00D0770D"/>
    <w:rsid w:val="00D07CED"/>
    <w:rsid w:val="00D07E3E"/>
    <w:rsid w:val="00D10AB2"/>
    <w:rsid w:val="00D124A3"/>
    <w:rsid w:val="00D12E1E"/>
    <w:rsid w:val="00D12F41"/>
    <w:rsid w:val="00D13A72"/>
    <w:rsid w:val="00D15EBC"/>
    <w:rsid w:val="00D15F7A"/>
    <w:rsid w:val="00D16711"/>
    <w:rsid w:val="00D1791E"/>
    <w:rsid w:val="00D202F4"/>
    <w:rsid w:val="00D20ECE"/>
    <w:rsid w:val="00D21164"/>
    <w:rsid w:val="00D2154B"/>
    <w:rsid w:val="00D22024"/>
    <w:rsid w:val="00D2280A"/>
    <w:rsid w:val="00D2429D"/>
    <w:rsid w:val="00D24B9E"/>
    <w:rsid w:val="00D24DF4"/>
    <w:rsid w:val="00D24FAE"/>
    <w:rsid w:val="00D25183"/>
    <w:rsid w:val="00D25756"/>
    <w:rsid w:val="00D26078"/>
    <w:rsid w:val="00D264F1"/>
    <w:rsid w:val="00D26945"/>
    <w:rsid w:val="00D275E1"/>
    <w:rsid w:val="00D27A0C"/>
    <w:rsid w:val="00D31723"/>
    <w:rsid w:val="00D31ABF"/>
    <w:rsid w:val="00D32CC1"/>
    <w:rsid w:val="00D34DBF"/>
    <w:rsid w:val="00D3566E"/>
    <w:rsid w:val="00D3567D"/>
    <w:rsid w:val="00D35ACC"/>
    <w:rsid w:val="00D3667E"/>
    <w:rsid w:val="00D37A41"/>
    <w:rsid w:val="00D404C0"/>
    <w:rsid w:val="00D41492"/>
    <w:rsid w:val="00D4197B"/>
    <w:rsid w:val="00D42752"/>
    <w:rsid w:val="00D43F9C"/>
    <w:rsid w:val="00D45460"/>
    <w:rsid w:val="00D458BC"/>
    <w:rsid w:val="00D45ACD"/>
    <w:rsid w:val="00D46C81"/>
    <w:rsid w:val="00D471E5"/>
    <w:rsid w:val="00D50C1C"/>
    <w:rsid w:val="00D50D8A"/>
    <w:rsid w:val="00D51495"/>
    <w:rsid w:val="00D514CB"/>
    <w:rsid w:val="00D51EA4"/>
    <w:rsid w:val="00D52243"/>
    <w:rsid w:val="00D522D0"/>
    <w:rsid w:val="00D56094"/>
    <w:rsid w:val="00D56DA6"/>
    <w:rsid w:val="00D6173E"/>
    <w:rsid w:val="00D62772"/>
    <w:rsid w:val="00D63271"/>
    <w:rsid w:val="00D632F5"/>
    <w:rsid w:val="00D63789"/>
    <w:rsid w:val="00D63F2B"/>
    <w:rsid w:val="00D63F55"/>
    <w:rsid w:val="00D6544C"/>
    <w:rsid w:val="00D6680A"/>
    <w:rsid w:val="00D66E81"/>
    <w:rsid w:val="00D67F3A"/>
    <w:rsid w:val="00D71990"/>
    <w:rsid w:val="00D74943"/>
    <w:rsid w:val="00D74B59"/>
    <w:rsid w:val="00D75E74"/>
    <w:rsid w:val="00D76EC9"/>
    <w:rsid w:val="00D77594"/>
    <w:rsid w:val="00D77926"/>
    <w:rsid w:val="00D77FD7"/>
    <w:rsid w:val="00D80A91"/>
    <w:rsid w:val="00D80E73"/>
    <w:rsid w:val="00D81163"/>
    <w:rsid w:val="00D812A8"/>
    <w:rsid w:val="00D8160B"/>
    <w:rsid w:val="00D81BC7"/>
    <w:rsid w:val="00D8276C"/>
    <w:rsid w:val="00D82916"/>
    <w:rsid w:val="00D85A56"/>
    <w:rsid w:val="00D85E0D"/>
    <w:rsid w:val="00D86519"/>
    <w:rsid w:val="00D87007"/>
    <w:rsid w:val="00D87F19"/>
    <w:rsid w:val="00D90EE3"/>
    <w:rsid w:val="00D90F52"/>
    <w:rsid w:val="00D9177E"/>
    <w:rsid w:val="00D92272"/>
    <w:rsid w:val="00D92724"/>
    <w:rsid w:val="00D92AD3"/>
    <w:rsid w:val="00D92FE2"/>
    <w:rsid w:val="00D93DEB"/>
    <w:rsid w:val="00D95E32"/>
    <w:rsid w:val="00D9658B"/>
    <w:rsid w:val="00D96A01"/>
    <w:rsid w:val="00D96C57"/>
    <w:rsid w:val="00D96E20"/>
    <w:rsid w:val="00D97095"/>
    <w:rsid w:val="00D97E21"/>
    <w:rsid w:val="00DA04FF"/>
    <w:rsid w:val="00DA06CD"/>
    <w:rsid w:val="00DA06FE"/>
    <w:rsid w:val="00DA1011"/>
    <w:rsid w:val="00DA1377"/>
    <w:rsid w:val="00DA2CBB"/>
    <w:rsid w:val="00DA2F85"/>
    <w:rsid w:val="00DA5479"/>
    <w:rsid w:val="00DA5DF4"/>
    <w:rsid w:val="00DA6EA3"/>
    <w:rsid w:val="00DA764A"/>
    <w:rsid w:val="00DA7EA4"/>
    <w:rsid w:val="00DA7F4F"/>
    <w:rsid w:val="00DB0774"/>
    <w:rsid w:val="00DB1EF9"/>
    <w:rsid w:val="00DB27FD"/>
    <w:rsid w:val="00DB395E"/>
    <w:rsid w:val="00DB46D4"/>
    <w:rsid w:val="00DB668A"/>
    <w:rsid w:val="00DB724B"/>
    <w:rsid w:val="00DB75B1"/>
    <w:rsid w:val="00DC05A0"/>
    <w:rsid w:val="00DC1CA3"/>
    <w:rsid w:val="00DC3491"/>
    <w:rsid w:val="00DC369C"/>
    <w:rsid w:val="00DC461B"/>
    <w:rsid w:val="00DC63CF"/>
    <w:rsid w:val="00DC6555"/>
    <w:rsid w:val="00DD2751"/>
    <w:rsid w:val="00DD30F8"/>
    <w:rsid w:val="00DD3B2C"/>
    <w:rsid w:val="00DD453D"/>
    <w:rsid w:val="00DD5AE9"/>
    <w:rsid w:val="00DE0439"/>
    <w:rsid w:val="00DE1DF3"/>
    <w:rsid w:val="00DE2033"/>
    <w:rsid w:val="00DE3F57"/>
    <w:rsid w:val="00DE3F6F"/>
    <w:rsid w:val="00DE558D"/>
    <w:rsid w:val="00DE56C6"/>
    <w:rsid w:val="00DE6D36"/>
    <w:rsid w:val="00DF02C1"/>
    <w:rsid w:val="00DF1599"/>
    <w:rsid w:val="00DF458C"/>
    <w:rsid w:val="00DF4831"/>
    <w:rsid w:val="00DF4D4F"/>
    <w:rsid w:val="00DF4EC2"/>
    <w:rsid w:val="00DF50D5"/>
    <w:rsid w:val="00DF583B"/>
    <w:rsid w:val="00DF62E6"/>
    <w:rsid w:val="00DF6CED"/>
    <w:rsid w:val="00DF6FBB"/>
    <w:rsid w:val="00DF7310"/>
    <w:rsid w:val="00DF7551"/>
    <w:rsid w:val="00DF7FEE"/>
    <w:rsid w:val="00E004D9"/>
    <w:rsid w:val="00E01500"/>
    <w:rsid w:val="00E01D00"/>
    <w:rsid w:val="00E02A2E"/>
    <w:rsid w:val="00E02B56"/>
    <w:rsid w:val="00E02E24"/>
    <w:rsid w:val="00E0303B"/>
    <w:rsid w:val="00E04B5F"/>
    <w:rsid w:val="00E04E56"/>
    <w:rsid w:val="00E0562A"/>
    <w:rsid w:val="00E06939"/>
    <w:rsid w:val="00E06B57"/>
    <w:rsid w:val="00E06C73"/>
    <w:rsid w:val="00E0712A"/>
    <w:rsid w:val="00E07B22"/>
    <w:rsid w:val="00E07F2C"/>
    <w:rsid w:val="00E107D5"/>
    <w:rsid w:val="00E11402"/>
    <w:rsid w:val="00E140E2"/>
    <w:rsid w:val="00E141E5"/>
    <w:rsid w:val="00E145C9"/>
    <w:rsid w:val="00E1531B"/>
    <w:rsid w:val="00E15FAE"/>
    <w:rsid w:val="00E16361"/>
    <w:rsid w:val="00E17AD3"/>
    <w:rsid w:val="00E17F4B"/>
    <w:rsid w:val="00E205D6"/>
    <w:rsid w:val="00E20AB7"/>
    <w:rsid w:val="00E211E5"/>
    <w:rsid w:val="00E211F8"/>
    <w:rsid w:val="00E216D6"/>
    <w:rsid w:val="00E21D85"/>
    <w:rsid w:val="00E21F9C"/>
    <w:rsid w:val="00E22804"/>
    <w:rsid w:val="00E23CEF"/>
    <w:rsid w:val="00E23E71"/>
    <w:rsid w:val="00E24566"/>
    <w:rsid w:val="00E24C00"/>
    <w:rsid w:val="00E252E7"/>
    <w:rsid w:val="00E25D94"/>
    <w:rsid w:val="00E264BE"/>
    <w:rsid w:val="00E26771"/>
    <w:rsid w:val="00E275FD"/>
    <w:rsid w:val="00E27BCC"/>
    <w:rsid w:val="00E27D1D"/>
    <w:rsid w:val="00E30077"/>
    <w:rsid w:val="00E3219C"/>
    <w:rsid w:val="00E33D79"/>
    <w:rsid w:val="00E34765"/>
    <w:rsid w:val="00E34FAA"/>
    <w:rsid w:val="00E350C1"/>
    <w:rsid w:val="00E35584"/>
    <w:rsid w:val="00E35B9C"/>
    <w:rsid w:val="00E40C43"/>
    <w:rsid w:val="00E44F26"/>
    <w:rsid w:val="00E465A7"/>
    <w:rsid w:val="00E46649"/>
    <w:rsid w:val="00E5108D"/>
    <w:rsid w:val="00E51702"/>
    <w:rsid w:val="00E5338E"/>
    <w:rsid w:val="00E55660"/>
    <w:rsid w:val="00E55BF8"/>
    <w:rsid w:val="00E55C23"/>
    <w:rsid w:val="00E568E1"/>
    <w:rsid w:val="00E6124D"/>
    <w:rsid w:val="00E613DD"/>
    <w:rsid w:val="00E61EA0"/>
    <w:rsid w:val="00E62439"/>
    <w:rsid w:val="00E62942"/>
    <w:rsid w:val="00E62BD5"/>
    <w:rsid w:val="00E62E05"/>
    <w:rsid w:val="00E63520"/>
    <w:rsid w:val="00E64F4E"/>
    <w:rsid w:val="00E65374"/>
    <w:rsid w:val="00E65C26"/>
    <w:rsid w:val="00E67798"/>
    <w:rsid w:val="00E67DA9"/>
    <w:rsid w:val="00E70269"/>
    <w:rsid w:val="00E70635"/>
    <w:rsid w:val="00E7145B"/>
    <w:rsid w:val="00E72ECD"/>
    <w:rsid w:val="00E7343E"/>
    <w:rsid w:val="00E74A24"/>
    <w:rsid w:val="00E74F23"/>
    <w:rsid w:val="00E77A46"/>
    <w:rsid w:val="00E77B21"/>
    <w:rsid w:val="00E80230"/>
    <w:rsid w:val="00E809AD"/>
    <w:rsid w:val="00E8138C"/>
    <w:rsid w:val="00E835B4"/>
    <w:rsid w:val="00E84DDE"/>
    <w:rsid w:val="00E85652"/>
    <w:rsid w:val="00E85991"/>
    <w:rsid w:val="00E85FB3"/>
    <w:rsid w:val="00E90C5A"/>
    <w:rsid w:val="00E90DD7"/>
    <w:rsid w:val="00E9176B"/>
    <w:rsid w:val="00E934FA"/>
    <w:rsid w:val="00E93B20"/>
    <w:rsid w:val="00E94827"/>
    <w:rsid w:val="00E952E2"/>
    <w:rsid w:val="00E95A10"/>
    <w:rsid w:val="00E96DDD"/>
    <w:rsid w:val="00E9780A"/>
    <w:rsid w:val="00E97AEF"/>
    <w:rsid w:val="00EA04E8"/>
    <w:rsid w:val="00EA1A3E"/>
    <w:rsid w:val="00EA1FDB"/>
    <w:rsid w:val="00EA43BB"/>
    <w:rsid w:val="00EA48DB"/>
    <w:rsid w:val="00EA4916"/>
    <w:rsid w:val="00EA4DA8"/>
    <w:rsid w:val="00EA5244"/>
    <w:rsid w:val="00EA7C2F"/>
    <w:rsid w:val="00EB12E3"/>
    <w:rsid w:val="00EB197A"/>
    <w:rsid w:val="00EB2B53"/>
    <w:rsid w:val="00EB2F9D"/>
    <w:rsid w:val="00EB34A4"/>
    <w:rsid w:val="00EB4ABB"/>
    <w:rsid w:val="00EB55D6"/>
    <w:rsid w:val="00EB5C8B"/>
    <w:rsid w:val="00EB6815"/>
    <w:rsid w:val="00EB6A3D"/>
    <w:rsid w:val="00EB6CED"/>
    <w:rsid w:val="00EB7109"/>
    <w:rsid w:val="00EB725C"/>
    <w:rsid w:val="00EB76E8"/>
    <w:rsid w:val="00EC1836"/>
    <w:rsid w:val="00EC19FA"/>
    <w:rsid w:val="00EC1CC6"/>
    <w:rsid w:val="00EC20D3"/>
    <w:rsid w:val="00EC3BFB"/>
    <w:rsid w:val="00EC42D1"/>
    <w:rsid w:val="00EC49EF"/>
    <w:rsid w:val="00EC68F5"/>
    <w:rsid w:val="00EC72C7"/>
    <w:rsid w:val="00ED2C48"/>
    <w:rsid w:val="00ED3492"/>
    <w:rsid w:val="00ED47DC"/>
    <w:rsid w:val="00ED6024"/>
    <w:rsid w:val="00EE057C"/>
    <w:rsid w:val="00EE0C12"/>
    <w:rsid w:val="00EE136B"/>
    <w:rsid w:val="00EE23A7"/>
    <w:rsid w:val="00EE36F9"/>
    <w:rsid w:val="00EE3756"/>
    <w:rsid w:val="00EE498C"/>
    <w:rsid w:val="00EE5126"/>
    <w:rsid w:val="00EE5323"/>
    <w:rsid w:val="00EE656F"/>
    <w:rsid w:val="00EE6FFD"/>
    <w:rsid w:val="00EE7746"/>
    <w:rsid w:val="00EE79DE"/>
    <w:rsid w:val="00EF02E7"/>
    <w:rsid w:val="00EF0A2E"/>
    <w:rsid w:val="00EF0F1F"/>
    <w:rsid w:val="00EF1ABE"/>
    <w:rsid w:val="00EF2CD1"/>
    <w:rsid w:val="00EF35EE"/>
    <w:rsid w:val="00EF4DEF"/>
    <w:rsid w:val="00EF4FBC"/>
    <w:rsid w:val="00EF527F"/>
    <w:rsid w:val="00EF54E9"/>
    <w:rsid w:val="00EF5775"/>
    <w:rsid w:val="00EF610A"/>
    <w:rsid w:val="00EF68E8"/>
    <w:rsid w:val="00EF6A93"/>
    <w:rsid w:val="00EF78DC"/>
    <w:rsid w:val="00EF7F64"/>
    <w:rsid w:val="00F0047B"/>
    <w:rsid w:val="00F01FA1"/>
    <w:rsid w:val="00F02731"/>
    <w:rsid w:val="00F02A4D"/>
    <w:rsid w:val="00F02E80"/>
    <w:rsid w:val="00F03174"/>
    <w:rsid w:val="00F03B9D"/>
    <w:rsid w:val="00F04E75"/>
    <w:rsid w:val="00F04E99"/>
    <w:rsid w:val="00F05EA6"/>
    <w:rsid w:val="00F0674C"/>
    <w:rsid w:val="00F07999"/>
    <w:rsid w:val="00F07FB4"/>
    <w:rsid w:val="00F10751"/>
    <w:rsid w:val="00F10B1C"/>
    <w:rsid w:val="00F10B23"/>
    <w:rsid w:val="00F1214A"/>
    <w:rsid w:val="00F12636"/>
    <w:rsid w:val="00F126C2"/>
    <w:rsid w:val="00F12A65"/>
    <w:rsid w:val="00F136B3"/>
    <w:rsid w:val="00F13D93"/>
    <w:rsid w:val="00F15FD3"/>
    <w:rsid w:val="00F16104"/>
    <w:rsid w:val="00F21B7A"/>
    <w:rsid w:val="00F22865"/>
    <w:rsid w:val="00F22D45"/>
    <w:rsid w:val="00F24EBA"/>
    <w:rsid w:val="00F252C1"/>
    <w:rsid w:val="00F25470"/>
    <w:rsid w:val="00F27599"/>
    <w:rsid w:val="00F277D9"/>
    <w:rsid w:val="00F3023A"/>
    <w:rsid w:val="00F303AC"/>
    <w:rsid w:val="00F30955"/>
    <w:rsid w:val="00F32253"/>
    <w:rsid w:val="00F34DB7"/>
    <w:rsid w:val="00F354EA"/>
    <w:rsid w:val="00F37437"/>
    <w:rsid w:val="00F40559"/>
    <w:rsid w:val="00F40E54"/>
    <w:rsid w:val="00F41256"/>
    <w:rsid w:val="00F429B9"/>
    <w:rsid w:val="00F43268"/>
    <w:rsid w:val="00F433C0"/>
    <w:rsid w:val="00F43B97"/>
    <w:rsid w:val="00F452CC"/>
    <w:rsid w:val="00F452F8"/>
    <w:rsid w:val="00F453E8"/>
    <w:rsid w:val="00F453F6"/>
    <w:rsid w:val="00F47483"/>
    <w:rsid w:val="00F50019"/>
    <w:rsid w:val="00F505ED"/>
    <w:rsid w:val="00F50AF9"/>
    <w:rsid w:val="00F52F75"/>
    <w:rsid w:val="00F53D1E"/>
    <w:rsid w:val="00F548BB"/>
    <w:rsid w:val="00F55214"/>
    <w:rsid w:val="00F553A0"/>
    <w:rsid w:val="00F56C6C"/>
    <w:rsid w:val="00F57352"/>
    <w:rsid w:val="00F576D5"/>
    <w:rsid w:val="00F60EE9"/>
    <w:rsid w:val="00F611EA"/>
    <w:rsid w:val="00F61351"/>
    <w:rsid w:val="00F614A0"/>
    <w:rsid w:val="00F62837"/>
    <w:rsid w:val="00F62CBA"/>
    <w:rsid w:val="00F63402"/>
    <w:rsid w:val="00F67248"/>
    <w:rsid w:val="00F6796E"/>
    <w:rsid w:val="00F70B1D"/>
    <w:rsid w:val="00F70C0E"/>
    <w:rsid w:val="00F70E45"/>
    <w:rsid w:val="00F71135"/>
    <w:rsid w:val="00F71137"/>
    <w:rsid w:val="00F72A03"/>
    <w:rsid w:val="00F72A4F"/>
    <w:rsid w:val="00F7331D"/>
    <w:rsid w:val="00F74E71"/>
    <w:rsid w:val="00F75BA2"/>
    <w:rsid w:val="00F76EB2"/>
    <w:rsid w:val="00F80DDB"/>
    <w:rsid w:val="00F81316"/>
    <w:rsid w:val="00F81C8C"/>
    <w:rsid w:val="00F8388A"/>
    <w:rsid w:val="00F850B2"/>
    <w:rsid w:val="00F85EB1"/>
    <w:rsid w:val="00F8614A"/>
    <w:rsid w:val="00F871D5"/>
    <w:rsid w:val="00F874E6"/>
    <w:rsid w:val="00F916E5"/>
    <w:rsid w:val="00F91894"/>
    <w:rsid w:val="00F956D6"/>
    <w:rsid w:val="00F95C66"/>
    <w:rsid w:val="00F96707"/>
    <w:rsid w:val="00FA21C0"/>
    <w:rsid w:val="00FA267F"/>
    <w:rsid w:val="00FA315C"/>
    <w:rsid w:val="00FA3D56"/>
    <w:rsid w:val="00FA5AA1"/>
    <w:rsid w:val="00FA61BF"/>
    <w:rsid w:val="00FA72B9"/>
    <w:rsid w:val="00FA76B4"/>
    <w:rsid w:val="00FB0371"/>
    <w:rsid w:val="00FB06B7"/>
    <w:rsid w:val="00FB07BD"/>
    <w:rsid w:val="00FB1894"/>
    <w:rsid w:val="00FB34D7"/>
    <w:rsid w:val="00FB379B"/>
    <w:rsid w:val="00FB5CEB"/>
    <w:rsid w:val="00FB6D0F"/>
    <w:rsid w:val="00FB7B5F"/>
    <w:rsid w:val="00FB7FBE"/>
    <w:rsid w:val="00FC0A56"/>
    <w:rsid w:val="00FC1E86"/>
    <w:rsid w:val="00FC25D0"/>
    <w:rsid w:val="00FC2C69"/>
    <w:rsid w:val="00FC3325"/>
    <w:rsid w:val="00FC3C27"/>
    <w:rsid w:val="00FC42FC"/>
    <w:rsid w:val="00FC5695"/>
    <w:rsid w:val="00FC5E05"/>
    <w:rsid w:val="00FC7A51"/>
    <w:rsid w:val="00FC7C41"/>
    <w:rsid w:val="00FC7CE3"/>
    <w:rsid w:val="00FD1C66"/>
    <w:rsid w:val="00FD290C"/>
    <w:rsid w:val="00FD401C"/>
    <w:rsid w:val="00FD4DBE"/>
    <w:rsid w:val="00FD567F"/>
    <w:rsid w:val="00FD5977"/>
    <w:rsid w:val="00FD5B69"/>
    <w:rsid w:val="00FD6B06"/>
    <w:rsid w:val="00FD7850"/>
    <w:rsid w:val="00FD7982"/>
    <w:rsid w:val="00FE07F9"/>
    <w:rsid w:val="00FE0ED7"/>
    <w:rsid w:val="00FE1040"/>
    <w:rsid w:val="00FE25EF"/>
    <w:rsid w:val="00FE3CC2"/>
    <w:rsid w:val="00FE4153"/>
    <w:rsid w:val="00FE7012"/>
    <w:rsid w:val="00FE733A"/>
    <w:rsid w:val="00FE7F98"/>
    <w:rsid w:val="00FF0FC7"/>
    <w:rsid w:val="00FF1418"/>
    <w:rsid w:val="00FF2ED9"/>
    <w:rsid w:val="00FF387C"/>
    <w:rsid w:val="00FF42A9"/>
    <w:rsid w:val="00FF45DD"/>
    <w:rsid w:val="00FF6E7E"/>
    <w:rsid w:val="011E4692"/>
    <w:rsid w:val="017A0ACC"/>
    <w:rsid w:val="01C10D37"/>
    <w:rsid w:val="01C355BD"/>
    <w:rsid w:val="027E5E44"/>
    <w:rsid w:val="02A47351"/>
    <w:rsid w:val="03A93613"/>
    <w:rsid w:val="03FC5D26"/>
    <w:rsid w:val="043B4498"/>
    <w:rsid w:val="04417679"/>
    <w:rsid w:val="05886E41"/>
    <w:rsid w:val="05CF3301"/>
    <w:rsid w:val="06A905A2"/>
    <w:rsid w:val="06DC3CE5"/>
    <w:rsid w:val="07944BFB"/>
    <w:rsid w:val="07983E97"/>
    <w:rsid w:val="079E00E1"/>
    <w:rsid w:val="088E2F50"/>
    <w:rsid w:val="08CC5453"/>
    <w:rsid w:val="091A3AFD"/>
    <w:rsid w:val="091E469D"/>
    <w:rsid w:val="092D1499"/>
    <w:rsid w:val="09777AFA"/>
    <w:rsid w:val="0A02641B"/>
    <w:rsid w:val="0A2A0E89"/>
    <w:rsid w:val="0BAA089B"/>
    <w:rsid w:val="0BF72332"/>
    <w:rsid w:val="0C6B342A"/>
    <w:rsid w:val="0C6E7620"/>
    <w:rsid w:val="0C9C75E1"/>
    <w:rsid w:val="0DA93E40"/>
    <w:rsid w:val="0DC56FA1"/>
    <w:rsid w:val="0DD42AE1"/>
    <w:rsid w:val="0E1764AF"/>
    <w:rsid w:val="0E184C02"/>
    <w:rsid w:val="0E310177"/>
    <w:rsid w:val="0F871B88"/>
    <w:rsid w:val="10297193"/>
    <w:rsid w:val="10537F76"/>
    <w:rsid w:val="10537FD8"/>
    <w:rsid w:val="10C02B8A"/>
    <w:rsid w:val="11EB3323"/>
    <w:rsid w:val="12116CD4"/>
    <w:rsid w:val="127D1BE6"/>
    <w:rsid w:val="1283026C"/>
    <w:rsid w:val="1285376F"/>
    <w:rsid w:val="12B40A3B"/>
    <w:rsid w:val="13A568D7"/>
    <w:rsid w:val="14170683"/>
    <w:rsid w:val="142F6B4B"/>
    <w:rsid w:val="14AB6978"/>
    <w:rsid w:val="14E53058"/>
    <w:rsid w:val="15E667EF"/>
    <w:rsid w:val="15FC749E"/>
    <w:rsid w:val="160D041C"/>
    <w:rsid w:val="1685441E"/>
    <w:rsid w:val="16AB657B"/>
    <w:rsid w:val="176C3651"/>
    <w:rsid w:val="179610EA"/>
    <w:rsid w:val="17E30220"/>
    <w:rsid w:val="18035E37"/>
    <w:rsid w:val="1825592A"/>
    <w:rsid w:val="18D944D4"/>
    <w:rsid w:val="19AD181D"/>
    <w:rsid w:val="19EB084F"/>
    <w:rsid w:val="19F1171D"/>
    <w:rsid w:val="1A747785"/>
    <w:rsid w:val="1AD62C95"/>
    <w:rsid w:val="1B524E33"/>
    <w:rsid w:val="1B5C578B"/>
    <w:rsid w:val="1B7349E9"/>
    <w:rsid w:val="1C673348"/>
    <w:rsid w:val="1C894FA3"/>
    <w:rsid w:val="1D0816FB"/>
    <w:rsid w:val="1D321938"/>
    <w:rsid w:val="1D551DAF"/>
    <w:rsid w:val="1D585496"/>
    <w:rsid w:val="1D9A6301"/>
    <w:rsid w:val="1D9F1981"/>
    <w:rsid w:val="1EAF0D37"/>
    <w:rsid w:val="1EEC5348"/>
    <w:rsid w:val="1EFD41DA"/>
    <w:rsid w:val="1F3551A4"/>
    <w:rsid w:val="1FD73EEB"/>
    <w:rsid w:val="1FFFF701"/>
    <w:rsid w:val="20104D96"/>
    <w:rsid w:val="21690F5F"/>
    <w:rsid w:val="21801B77"/>
    <w:rsid w:val="21A76846"/>
    <w:rsid w:val="21D85F18"/>
    <w:rsid w:val="224D7C5E"/>
    <w:rsid w:val="226B7889"/>
    <w:rsid w:val="227972F9"/>
    <w:rsid w:val="22BF31CF"/>
    <w:rsid w:val="23490973"/>
    <w:rsid w:val="237544B8"/>
    <w:rsid w:val="23BF2760"/>
    <w:rsid w:val="23D0215E"/>
    <w:rsid w:val="23F82F83"/>
    <w:rsid w:val="24A53B3F"/>
    <w:rsid w:val="24E14A0E"/>
    <w:rsid w:val="24FC303A"/>
    <w:rsid w:val="25764F02"/>
    <w:rsid w:val="259941BD"/>
    <w:rsid w:val="26731922"/>
    <w:rsid w:val="269E01E7"/>
    <w:rsid w:val="26E044D4"/>
    <w:rsid w:val="278A5628"/>
    <w:rsid w:val="2837270F"/>
    <w:rsid w:val="28385EE2"/>
    <w:rsid w:val="288E13CB"/>
    <w:rsid w:val="29346F27"/>
    <w:rsid w:val="296222D0"/>
    <w:rsid w:val="2997348C"/>
    <w:rsid w:val="29E80D5B"/>
    <w:rsid w:val="2AED3CFA"/>
    <w:rsid w:val="2AF76522"/>
    <w:rsid w:val="2B01372C"/>
    <w:rsid w:val="2B7B212C"/>
    <w:rsid w:val="2BA8384F"/>
    <w:rsid w:val="2BC2080B"/>
    <w:rsid w:val="2BDA267D"/>
    <w:rsid w:val="2C0F576D"/>
    <w:rsid w:val="2C1A3A42"/>
    <w:rsid w:val="2C542A04"/>
    <w:rsid w:val="2CF83FAB"/>
    <w:rsid w:val="2D0B3CA8"/>
    <w:rsid w:val="2D38186F"/>
    <w:rsid w:val="2D9F536B"/>
    <w:rsid w:val="2DD048D2"/>
    <w:rsid w:val="2DFA8BD4"/>
    <w:rsid w:val="2E494814"/>
    <w:rsid w:val="2EF9389F"/>
    <w:rsid w:val="2EFB5E18"/>
    <w:rsid w:val="2EFD61D6"/>
    <w:rsid w:val="2F4B6FD9"/>
    <w:rsid w:val="2FF513AB"/>
    <w:rsid w:val="2FFA74D7"/>
    <w:rsid w:val="300914DE"/>
    <w:rsid w:val="30757758"/>
    <w:rsid w:val="30C57693"/>
    <w:rsid w:val="30CA5B74"/>
    <w:rsid w:val="31015D3E"/>
    <w:rsid w:val="31560277"/>
    <w:rsid w:val="31575970"/>
    <w:rsid w:val="31661BA6"/>
    <w:rsid w:val="323F4B4D"/>
    <w:rsid w:val="32966E23"/>
    <w:rsid w:val="32BC625D"/>
    <w:rsid w:val="32DB47FF"/>
    <w:rsid w:val="32FD4850"/>
    <w:rsid w:val="333C359F"/>
    <w:rsid w:val="334419F3"/>
    <w:rsid w:val="339C35B9"/>
    <w:rsid w:val="34EE6052"/>
    <w:rsid w:val="35D629F5"/>
    <w:rsid w:val="36166F95"/>
    <w:rsid w:val="36372A1E"/>
    <w:rsid w:val="36422592"/>
    <w:rsid w:val="367B6EA5"/>
    <w:rsid w:val="36E47B9D"/>
    <w:rsid w:val="36E5086E"/>
    <w:rsid w:val="36F17F7A"/>
    <w:rsid w:val="37685E38"/>
    <w:rsid w:val="37B67B1A"/>
    <w:rsid w:val="38655543"/>
    <w:rsid w:val="3A1F369E"/>
    <w:rsid w:val="3A274697"/>
    <w:rsid w:val="3A2B2E7D"/>
    <w:rsid w:val="3A3B5BEB"/>
    <w:rsid w:val="3AB40EB0"/>
    <w:rsid w:val="3ADC741E"/>
    <w:rsid w:val="3B3C75A2"/>
    <w:rsid w:val="3BB9138A"/>
    <w:rsid w:val="3BF7DAB4"/>
    <w:rsid w:val="3C62051E"/>
    <w:rsid w:val="3C7023A5"/>
    <w:rsid w:val="3C7523A0"/>
    <w:rsid w:val="3CDB2766"/>
    <w:rsid w:val="3D504924"/>
    <w:rsid w:val="3D580FD9"/>
    <w:rsid w:val="3D5FE3A4"/>
    <w:rsid w:val="3DE9BF37"/>
    <w:rsid w:val="3E1E3B65"/>
    <w:rsid w:val="3E4568E3"/>
    <w:rsid w:val="3E76B332"/>
    <w:rsid w:val="3E790F0E"/>
    <w:rsid w:val="3EB3C559"/>
    <w:rsid w:val="3ED218D4"/>
    <w:rsid w:val="3EF7B52D"/>
    <w:rsid w:val="3F0E3DA3"/>
    <w:rsid w:val="3F1CF2AA"/>
    <w:rsid w:val="3FBC2F4A"/>
    <w:rsid w:val="3FC0071E"/>
    <w:rsid w:val="3FEE2B8A"/>
    <w:rsid w:val="40160FD4"/>
    <w:rsid w:val="40182CC4"/>
    <w:rsid w:val="40767156"/>
    <w:rsid w:val="407A79F5"/>
    <w:rsid w:val="40843C78"/>
    <w:rsid w:val="40A85D59"/>
    <w:rsid w:val="40C02170"/>
    <w:rsid w:val="42471DB5"/>
    <w:rsid w:val="446E0159"/>
    <w:rsid w:val="44741B6E"/>
    <w:rsid w:val="449D14E7"/>
    <w:rsid w:val="44E4267F"/>
    <w:rsid w:val="451B0F90"/>
    <w:rsid w:val="45487F37"/>
    <w:rsid w:val="45796508"/>
    <w:rsid w:val="45A602D1"/>
    <w:rsid w:val="45C65FB4"/>
    <w:rsid w:val="45C75D73"/>
    <w:rsid w:val="462D14AE"/>
    <w:rsid w:val="466E359D"/>
    <w:rsid w:val="46C57405"/>
    <w:rsid w:val="46D377D8"/>
    <w:rsid w:val="46F17B25"/>
    <w:rsid w:val="47257961"/>
    <w:rsid w:val="47FB5573"/>
    <w:rsid w:val="480126AE"/>
    <w:rsid w:val="482E4477"/>
    <w:rsid w:val="484D2EFE"/>
    <w:rsid w:val="488D257C"/>
    <w:rsid w:val="48B815ED"/>
    <w:rsid w:val="491418E0"/>
    <w:rsid w:val="49247038"/>
    <w:rsid w:val="49890317"/>
    <w:rsid w:val="49C86E61"/>
    <w:rsid w:val="4A370D4D"/>
    <w:rsid w:val="4AB07C9C"/>
    <w:rsid w:val="4B466C11"/>
    <w:rsid w:val="4B655478"/>
    <w:rsid w:val="4BFD1863"/>
    <w:rsid w:val="4C2619A2"/>
    <w:rsid w:val="4C7A24F0"/>
    <w:rsid w:val="4CA84651"/>
    <w:rsid w:val="4CDC7F02"/>
    <w:rsid w:val="4CEA151E"/>
    <w:rsid w:val="4CED7F85"/>
    <w:rsid w:val="4D32484B"/>
    <w:rsid w:val="4D9A6EC4"/>
    <w:rsid w:val="4DD3279B"/>
    <w:rsid w:val="4E0E1319"/>
    <w:rsid w:val="4EC26432"/>
    <w:rsid w:val="4EFE7E54"/>
    <w:rsid w:val="4F203DBB"/>
    <w:rsid w:val="4F8668D8"/>
    <w:rsid w:val="4FBF2665"/>
    <w:rsid w:val="4FDF2A1A"/>
    <w:rsid w:val="4FF260E2"/>
    <w:rsid w:val="507A7515"/>
    <w:rsid w:val="50CF2168"/>
    <w:rsid w:val="50DE21C3"/>
    <w:rsid w:val="50F018B1"/>
    <w:rsid w:val="51085492"/>
    <w:rsid w:val="511C4B20"/>
    <w:rsid w:val="51A553AB"/>
    <w:rsid w:val="51AE17F2"/>
    <w:rsid w:val="51AF46E0"/>
    <w:rsid w:val="51C47726"/>
    <w:rsid w:val="52796FDA"/>
    <w:rsid w:val="52B42B12"/>
    <w:rsid w:val="52DE294E"/>
    <w:rsid w:val="536D711A"/>
    <w:rsid w:val="53E667B9"/>
    <w:rsid w:val="54434426"/>
    <w:rsid w:val="54700D64"/>
    <w:rsid w:val="548510FA"/>
    <w:rsid w:val="54AF16D2"/>
    <w:rsid w:val="551B5316"/>
    <w:rsid w:val="55723134"/>
    <w:rsid w:val="55D70CEF"/>
    <w:rsid w:val="55E46FF7"/>
    <w:rsid w:val="561C29D4"/>
    <w:rsid w:val="569D72DF"/>
    <w:rsid w:val="571D7A52"/>
    <w:rsid w:val="5725067A"/>
    <w:rsid w:val="57437223"/>
    <w:rsid w:val="57805D55"/>
    <w:rsid w:val="57AC37E4"/>
    <w:rsid w:val="57AE4524"/>
    <w:rsid w:val="57BB3E36"/>
    <w:rsid w:val="57F92A5E"/>
    <w:rsid w:val="584A53A9"/>
    <w:rsid w:val="58A27BD0"/>
    <w:rsid w:val="58ED0274"/>
    <w:rsid w:val="592E6ADF"/>
    <w:rsid w:val="593715D0"/>
    <w:rsid w:val="59630608"/>
    <w:rsid w:val="59751F12"/>
    <w:rsid w:val="5999137D"/>
    <w:rsid w:val="5A082FC7"/>
    <w:rsid w:val="5AA26A9A"/>
    <w:rsid w:val="5ACB161A"/>
    <w:rsid w:val="5B0D527D"/>
    <w:rsid w:val="5B6F3FE4"/>
    <w:rsid w:val="5BEB600B"/>
    <w:rsid w:val="5C9709FB"/>
    <w:rsid w:val="5CA5038F"/>
    <w:rsid w:val="5CB256BE"/>
    <w:rsid w:val="5CF42365"/>
    <w:rsid w:val="5D0F0629"/>
    <w:rsid w:val="5D55380D"/>
    <w:rsid w:val="5DF3FCA9"/>
    <w:rsid w:val="5DFFECE1"/>
    <w:rsid w:val="5E007347"/>
    <w:rsid w:val="5E3D4525"/>
    <w:rsid w:val="5E7E0913"/>
    <w:rsid w:val="5F34091C"/>
    <w:rsid w:val="5F4E11E7"/>
    <w:rsid w:val="5FFE1EB4"/>
    <w:rsid w:val="60BC5EE4"/>
    <w:rsid w:val="60DB687C"/>
    <w:rsid w:val="60DE0679"/>
    <w:rsid w:val="60FC40EE"/>
    <w:rsid w:val="614A19E2"/>
    <w:rsid w:val="618458F3"/>
    <w:rsid w:val="61D765B1"/>
    <w:rsid w:val="620732CE"/>
    <w:rsid w:val="62375AA1"/>
    <w:rsid w:val="629FC6A6"/>
    <w:rsid w:val="630C687B"/>
    <w:rsid w:val="63D772DD"/>
    <w:rsid w:val="63F476B7"/>
    <w:rsid w:val="640F6E0B"/>
    <w:rsid w:val="643D487E"/>
    <w:rsid w:val="645A604B"/>
    <w:rsid w:val="649456C9"/>
    <w:rsid w:val="64F36CAE"/>
    <w:rsid w:val="65210001"/>
    <w:rsid w:val="65362175"/>
    <w:rsid w:val="65414AD8"/>
    <w:rsid w:val="6564026A"/>
    <w:rsid w:val="65A550CF"/>
    <w:rsid w:val="65BF0C06"/>
    <w:rsid w:val="6642674B"/>
    <w:rsid w:val="664E096C"/>
    <w:rsid w:val="6688431D"/>
    <w:rsid w:val="66C767F7"/>
    <w:rsid w:val="67053966"/>
    <w:rsid w:val="674D5DB9"/>
    <w:rsid w:val="678E0472"/>
    <w:rsid w:val="68184F86"/>
    <w:rsid w:val="685030B8"/>
    <w:rsid w:val="688E3F21"/>
    <w:rsid w:val="68E0239E"/>
    <w:rsid w:val="6910096E"/>
    <w:rsid w:val="691D1E69"/>
    <w:rsid w:val="69CA1291"/>
    <w:rsid w:val="6A1D3339"/>
    <w:rsid w:val="6A385700"/>
    <w:rsid w:val="6A3E7D5B"/>
    <w:rsid w:val="6A613793"/>
    <w:rsid w:val="6A7F27CE"/>
    <w:rsid w:val="6A9F176B"/>
    <w:rsid w:val="6AC91504"/>
    <w:rsid w:val="6B3C0814"/>
    <w:rsid w:val="6BBD6A0E"/>
    <w:rsid w:val="6BBDA435"/>
    <w:rsid w:val="6BBFB63E"/>
    <w:rsid w:val="6D6B2492"/>
    <w:rsid w:val="6D836983"/>
    <w:rsid w:val="6E077719"/>
    <w:rsid w:val="6E4C1EA4"/>
    <w:rsid w:val="6E5D0B20"/>
    <w:rsid w:val="6E7B00D0"/>
    <w:rsid w:val="6ED57516"/>
    <w:rsid w:val="6F9C3A2B"/>
    <w:rsid w:val="6FA1219D"/>
    <w:rsid w:val="6FA6433B"/>
    <w:rsid w:val="6FA9055A"/>
    <w:rsid w:val="6FAD5934"/>
    <w:rsid w:val="6FFF791B"/>
    <w:rsid w:val="6FFF7972"/>
    <w:rsid w:val="700D71E2"/>
    <w:rsid w:val="706011EA"/>
    <w:rsid w:val="70CA5529"/>
    <w:rsid w:val="71377E1A"/>
    <w:rsid w:val="715E2E90"/>
    <w:rsid w:val="71F426C7"/>
    <w:rsid w:val="723A7A8A"/>
    <w:rsid w:val="728F4445"/>
    <w:rsid w:val="730B5302"/>
    <w:rsid w:val="73801713"/>
    <w:rsid w:val="73E64727"/>
    <w:rsid w:val="73FBB8EF"/>
    <w:rsid w:val="74527BB1"/>
    <w:rsid w:val="745558E8"/>
    <w:rsid w:val="747C3BBF"/>
    <w:rsid w:val="74BA1EFD"/>
    <w:rsid w:val="7509321E"/>
    <w:rsid w:val="75237638"/>
    <w:rsid w:val="7550589A"/>
    <w:rsid w:val="75AC190F"/>
    <w:rsid w:val="75DD46BA"/>
    <w:rsid w:val="76094D6F"/>
    <w:rsid w:val="763A7986"/>
    <w:rsid w:val="76960A9F"/>
    <w:rsid w:val="76CA086F"/>
    <w:rsid w:val="76FB010D"/>
    <w:rsid w:val="7773368A"/>
    <w:rsid w:val="77741A24"/>
    <w:rsid w:val="779B1F29"/>
    <w:rsid w:val="77E85A7A"/>
    <w:rsid w:val="77EA066E"/>
    <w:rsid w:val="77EB7E1C"/>
    <w:rsid w:val="77FB4840"/>
    <w:rsid w:val="78011BF1"/>
    <w:rsid w:val="780151D9"/>
    <w:rsid w:val="787B3E19"/>
    <w:rsid w:val="78C82637"/>
    <w:rsid w:val="78CF04BF"/>
    <w:rsid w:val="79117830"/>
    <w:rsid w:val="79F27C0D"/>
    <w:rsid w:val="7A695863"/>
    <w:rsid w:val="7A920C25"/>
    <w:rsid w:val="7AC53F07"/>
    <w:rsid w:val="7ADE4F74"/>
    <w:rsid w:val="7AE7788A"/>
    <w:rsid w:val="7B0A630F"/>
    <w:rsid w:val="7B0D6371"/>
    <w:rsid w:val="7B2D74EC"/>
    <w:rsid w:val="7B815C10"/>
    <w:rsid w:val="7BDC3CAF"/>
    <w:rsid w:val="7C931F75"/>
    <w:rsid w:val="7CFB2319"/>
    <w:rsid w:val="7D117D40"/>
    <w:rsid w:val="7D3063D6"/>
    <w:rsid w:val="7D5207A9"/>
    <w:rsid w:val="7DCF13F7"/>
    <w:rsid w:val="7DD70A02"/>
    <w:rsid w:val="7DF9436D"/>
    <w:rsid w:val="7DFF0958"/>
    <w:rsid w:val="7E1429B4"/>
    <w:rsid w:val="7E246903"/>
    <w:rsid w:val="7E431733"/>
    <w:rsid w:val="7ECB18FD"/>
    <w:rsid w:val="7EF32BF4"/>
    <w:rsid w:val="7F496BE2"/>
    <w:rsid w:val="7F60482F"/>
    <w:rsid w:val="7F7E5588"/>
    <w:rsid w:val="7F8F7D53"/>
    <w:rsid w:val="7FB70234"/>
    <w:rsid w:val="7FDDBAA2"/>
    <w:rsid w:val="7FDFAEC2"/>
    <w:rsid w:val="7FE385D8"/>
    <w:rsid w:val="7FE52CE1"/>
    <w:rsid w:val="7FF5DC90"/>
    <w:rsid w:val="95EF017E"/>
    <w:rsid w:val="9FF7A525"/>
    <w:rsid w:val="A2F2F868"/>
    <w:rsid w:val="B0FB7ECD"/>
    <w:rsid w:val="B9FD377D"/>
    <w:rsid w:val="BB17D1F7"/>
    <w:rsid w:val="BC8EE057"/>
    <w:rsid w:val="BDD736A1"/>
    <w:rsid w:val="BE8B8EDC"/>
    <w:rsid w:val="BFF8274B"/>
    <w:rsid w:val="CFEC56F9"/>
    <w:rsid w:val="D9FB5AE4"/>
    <w:rsid w:val="DBFFF339"/>
    <w:rsid w:val="DCABA45F"/>
    <w:rsid w:val="DDFF4F1B"/>
    <w:rsid w:val="DE769DA7"/>
    <w:rsid w:val="DFBBB884"/>
    <w:rsid w:val="DFE5A6CF"/>
    <w:rsid w:val="EA6DAB3E"/>
    <w:rsid w:val="EBFB1847"/>
    <w:rsid w:val="ECBB6175"/>
    <w:rsid w:val="EF6F6D03"/>
    <w:rsid w:val="EFF60B12"/>
    <w:rsid w:val="EFF907F4"/>
    <w:rsid w:val="F23F52A1"/>
    <w:rsid w:val="F61F999E"/>
    <w:rsid w:val="F6943A50"/>
    <w:rsid w:val="F715726B"/>
    <w:rsid w:val="F7DEAB8B"/>
    <w:rsid w:val="F9D7240C"/>
    <w:rsid w:val="F9DD2519"/>
    <w:rsid w:val="FB27D0E7"/>
    <w:rsid w:val="FBAE7E7C"/>
    <w:rsid w:val="FD1E7077"/>
    <w:rsid w:val="FD3ED443"/>
    <w:rsid w:val="FD69F530"/>
    <w:rsid w:val="FDD710C7"/>
    <w:rsid w:val="FDF7A6EE"/>
    <w:rsid w:val="FDFD1EBA"/>
    <w:rsid w:val="FF1FC11D"/>
    <w:rsid w:val="FFD63EAA"/>
    <w:rsid w:val="FFDA7425"/>
    <w:rsid w:val="FFDFFB0D"/>
    <w:rsid w:val="FFF56C09"/>
    <w:rsid w:val="FFF7F333"/>
    <w:rsid w:val="FFFB9D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bCs/>
      <w:kern w:val="44"/>
      <w:sz w:val="44"/>
      <w:szCs w:val="44"/>
    </w:rPr>
  </w:style>
  <w:style w:type="paragraph" w:styleId="4">
    <w:name w:val="heading 3"/>
    <w:basedOn w:val="1"/>
    <w:next w:val="1"/>
    <w:qFormat/>
    <w:uiPriority w:val="0"/>
    <w:pPr>
      <w:topLinePunct/>
      <w:adjustRightInd w:val="0"/>
      <w:snapToGrid w:val="0"/>
      <w:spacing w:line="560" w:lineRule="exact"/>
      <w:ind w:firstLine="632" w:firstLineChars="200"/>
      <w:outlineLvl w:val="2"/>
    </w:pPr>
    <w:rPr>
      <w:rFonts w:ascii="仿宋" w:hAnsi="仿宋"/>
      <w:color w:val="000000"/>
      <w:szCs w:val="32"/>
    </w:rPr>
  </w:style>
  <w:style w:type="paragraph" w:styleId="5">
    <w:name w:val="heading 4"/>
    <w:basedOn w:val="1"/>
    <w:next w:val="1"/>
    <w:link w:val="38"/>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6"/>
    <w:qFormat/>
    <w:uiPriority w:val="0"/>
    <w:pPr>
      <w:snapToGrid w:val="0"/>
      <w:jc w:val="left"/>
    </w:pPr>
    <w:rPr>
      <w:sz w:val="18"/>
      <w:szCs w:val="18"/>
    </w:r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qFormat/>
    <w:uiPriority w:val="0"/>
    <w:pPr>
      <w:ind w:firstLine="420"/>
    </w:pPr>
  </w:style>
  <w:style w:type="paragraph" w:styleId="8">
    <w:name w:val="annotation text"/>
    <w:basedOn w:val="1"/>
    <w:link w:val="39"/>
    <w:qFormat/>
    <w:uiPriority w:val="99"/>
    <w:pPr>
      <w:jc w:val="left"/>
    </w:pPr>
    <w:rPr>
      <w:szCs w:val="24"/>
    </w:rPr>
  </w:style>
  <w:style w:type="paragraph" w:styleId="9">
    <w:name w:val="Body Text Indent"/>
    <w:basedOn w:val="1"/>
    <w:link w:val="40"/>
    <w:qFormat/>
    <w:uiPriority w:val="0"/>
    <w:pPr>
      <w:adjustRightInd w:val="0"/>
      <w:spacing w:after="120" w:line="360" w:lineRule="atLeast"/>
      <w:ind w:left="200" w:leftChars="200"/>
    </w:pPr>
    <w:rPr>
      <w:szCs w:val="24"/>
    </w:rPr>
  </w:style>
  <w:style w:type="paragraph" w:styleId="10">
    <w:name w:val="toc 5"/>
    <w:basedOn w:val="1"/>
    <w:next w:val="1"/>
    <w:qFormat/>
    <w:uiPriority w:val="0"/>
    <w:pPr>
      <w:ind w:left="840"/>
      <w:jc w:val="left"/>
    </w:pPr>
    <w:rPr>
      <w:rFonts w:ascii="Calibri" w:hAnsi="Calibri"/>
      <w:sz w:val="18"/>
      <w:szCs w:val="18"/>
    </w:rPr>
  </w:style>
  <w:style w:type="paragraph" w:styleId="11">
    <w:name w:val="toc 3"/>
    <w:basedOn w:val="1"/>
    <w:next w:val="1"/>
    <w:qFormat/>
    <w:uiPriority w:val="39"/>
    <w:pPr>
      <w:ind w:left="420"/>
      <w:jc w:val="left"/>
    </w:pPr>
    <w:rPr>
      <w:rFonts w:ascii="Calibri" w:hAnsi="Calibri"/>
      <w:i/>
      <w:iCs/>
      <w:sz w:val="20"/>
    </w:rPr>
  </w:style>
  <w:style w:type="paragraph" w:styleId="12">
    <w:name w:val="Plain Text"/>
    <w:basedOn w:val="1"/>
    <w:link w:val="41"/>
    <w:qFormat/>
    <w:uiPriority w:val="0"/>
    <w:rPr>
      <w:rFonts w:ascii="宋体" w:hAnsi="Courier New"/>
    </w:rPr>
  </w:style>
  <w:style w:type="paragraph" w:styleId="13">
    <w:name w:val="toc 8"/>
    <w:basedOn w:val="1"/>
    <w:next w:val="1"/>
    <w:qFormat/>
    <w:uiPriority w:val="0"/>
    <w:pPr>
      <w:ind w:left="1470"/>
      <w:jc w:val="left"/>
    </w:pPr>
    <w:rPr>
      <w:rFonts w:ascii="Calibri" w:hAnsi="Calibri"/>
      <w:sz w:val="18"/>
      <w:szCs w:val="18"/>
    </w:rPr>
  </w:style>
  <w:style w:type="paragraph" w:styleId="14">
    <w:name w:val="Body Text Indent 2"/>
    <w:basedOn w:val="1"/>
    <w:link w:val="42"/>
    <w:qFormat/>
    <w:uiPriority w:val="0"/>
    <w:pPr>
      <w:spacing w:after="120" w:line="480" w:lineRule="auto"/>
      <w:ind w:left="420" w:leftChars="200"/>
    </w:pPr>
  </w:style>
  <w:style w:type="paragraph" w:styleId="15">
    <w:name w:val="endnote text"/>
    <w:basedOn w:val="1"/>
    <w:link w:val="43"/>
    <w:semiHidden/>
    <w:qFormat/>
    <w:uiPriority w:val="0"/>
    <w:pPr>
      <w:snapToGrid w:val="0"/>
      <w:jc w:val="left"/>
    </w:pPr>
    <w:rPr>
      <w:rFonts w:ascii="宋体" w:hAnsi="宋体"/>
      <w:sz w:val="28"/>
      <w:szCs w:val="24"/>
    </w:rPr>
  </w:style>
  <w:style w:type="paragraph" w:styleId="16">
    <w:name w:val="Balloon Text"/>
    <w:basedOn w:val="1"/>
    <w:link w:val="44"/>
    <w:semiHidden/>
    <w:qFormat/>
    <w:uiPriority w:val="0"/>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rPr>
  </w:style>
  <w:style w:type="paragraph" w:styleId="20">
    <w:name w:val="toc 4"/>
    <w:basedOn w:val="1"/>
    <w:next w:val="1"/>
    <w:qFormat/>
    <w:uiPriority w:val="0"/>
    <w:pPr>
      <w:ind w:left="630"/>
      <w:jc w:val="left"/>
    </w:pPr>
    <w:rPr>
      <w:rFonts w:ascii="Calibri" w:hAnsi="Calibri"/>
      <w:sz w:val="18"/>
      <w:szCs w:val="18"/>
    </w:rPr>
  </w:style>
  <w:style w:type="paragraph" w:styleId="21">
    <w:name w:val="toc 6"/>
    <w:basedOn w:val="1"/>
    <w:next w:val="1"/>
    <w:qFormat/>
    <w:uiPriority w:val="0"/>
    <w:pPr>
      <w:ind w:left="1050"/>
      <w:jc w:val="left"/>
    </w:pPr>
    <w:rPr>
      <w:rFonts w:ascii="Calibri" w:hAnsi="Calibri"/>
      <w:sz w:val="18"/>
      <w:szCs w:val="18"/>
    </w:rPr>
  </w:style>
  <w:style w:type="paragraph" w:styleId="22">
    <w:name w:val="Body Text Indent 3"/>
    <w:basedOn w:val="1"/>
    <w:link w:val="47"/>
    <w:qFormat/>
    <w:uiPriority w:val="0"/>
    <w:pPr>
      <w:spacing w:after="120"/>
      <w:ind w:left="420" w:leftChars="200"/>
    </w:pPr>
    <w:rPr>
      <w:sz w:val="16"/>
      <w:szCs w:val="16"/>
    </w:rPr>
  </w:style>
  <w:style w:type="paragraph" w:styleId="23">
    <w:name w:val="toc 2"/>
    <w:basedOn w:val="1"/>
    <w:next w:val="1"/>
    <w:qFormat/>
    <w:uiPriority w:val="0"/>
    <w:pPr>
      <w:ind w:left="210"/>
      <w:jc w:val="left"/>
    </w:pPr>
    <w:rPr>
      <w:rFonts w:ascii="Calibri" w:hAnsi="Calibri"/>
      <w:smallCaps/>
      <w:sz w:val="20"/>
    </w:rPr>
  </w:style>
  <w:style w:type="paragraph" w:styleId="24">
    <w:name w:val="toc 9"/>
    <w:basedOn w:val="1"/>
    <w:next w:val="1"/>
    <w:qFormat/>
    <w:uiPriority w:val="0"/>
    <w:pPr>
      <w:ind w:left="1680"/>
      <w:jc w:val="left"/>
    </w:pPr>
    <w:rPr>
      <w:rFonts w:ascii="Calibri" w:hAnsi="Calibri"/>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8"/>
    <w:qFormat/>
    <w:uiPriority w:val="0"/>
    <w:pPr>
      <w:spacing w:before="240" w:after="60"/>
      <w:jc w:val="center"/>
      <w:outlineLvl w:val="0"/>
    </w:pPr>
    <w:rPr>
      <w:rFonts w:ascii="Cambria" w:hAnsi="Cambria"/>
      <w:b/>
      <w:bCs/>
      <w:sz w:val="32"/>
      <w:szCs w:val="32"/>
    </w:rPr>
  </w:style>
  <w:style w:type="paragraph" w:styleId="27">
    <w:name w:val="annotation subject"/>
    <w:basedOn w:val="8"/>
    <w:next w:val="8"/>
    <w:link w:val="49"/>
    <w:qFormat/>
    <w:uiPriority w:val="0"/>
    <w:rPr>
      <w:b/>
      <w:bCs/>
      <w:szCs w:val="20"/>
    </w:rPr>
  </w:style>
  <w:style w:type="table" w:styleId="29">
    <w:name w:val="Table Grid"/>
    <w:basedOn w:val="2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unhideWhenUsed/>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styleId="35">
    <w:name w:val="footnote reference"/>
    <w:qFormat/>
    <w:uiPriority w:val="0"/>
    <w:rPr>
      <w:vertAlign w:val="superscript"/>
    </w:rPr>
  </w:style>
  <w:style w:type="character" w:customStyle="1" w:styleId="36">
    <w:name w:val="标题 1 Char"/>
    <w:basedOn w:val="30"/>
    <w:link w:val="3"/>
    <w:qFormat/>
    <w:uiPriority w:val="0"/>
    <w:rPr>
      <w:b/>
      <w:bCs/>
      <w:kern w:val="44"/>
      <w:sz w:val="44"/>
      <w:szCs w:val="44"/>
    </w:rPr>
  </w:style>
  <w:style w:type="character" w:customStyle="1" w:styleId="37">
    <w:name w:val="页脚 Char"/>
    <w:link w:val="17"/>
    <w:qFormat/>
    <w:uiPriority w:val="99"/>
    <w:rPr>
      <w:kern w:val="2"/>
      <w:sz w:val="18"/>
      <w:szCs w:val="18"/>
    </w:rPr>
  </w:style>
  <w:style w:type="character" w:customStyle="1" w:styleId="38">
    <w:name w:val="标题 4 Char"/>
    <w:link w:val="5"/>
    <w:semiHidden/>
    <w:qFormat/>
    <w:uiPriority w:val="0"/>
    <w:rPr>
      <w:rFonts w:ascii="Cambria" w:hAnsi="Cambria" w:eastAsia="宋体" w:cs="Times New Roman"/>
      <w:b/>
      <w:bCs/>
      <w:kern w:val="2"/>
      <w:sz w:val="28"/>
      <w:szCs w:val="28"/>
    </w:rPr>
  </w:style>
  <w:style w:type="character" w:customStyle="1" w:styleId="39">
    <w:name w:val="批注文字 Char"/>
    <w:link w:val="8"/>
    <w:qFormat/>
    <w:uiPriority w:val="99"/>
    <w:rPr>
      <w:kern w:val="2"/>
      <w:sz w:val="21"/>
      <w:szCs w:val="24"/>
    </w:rPr>
  </w:style>
  <w:style w:type="character" w:customStyle="1" w:styleId="40">
    <w:name w:val="正文文本缩进 Char"/>
    <w:link w:val="9"/>
    <w:qFormat/>
    <w:uiPriority w:val="0"/>
    <w:rPr>
      <w:kern w:val="2"/>
      <w:sz w:val="21"/>
      <w:szCs w:val="24"/>
    </w:rPr>
  </w:style>
  <w:style w:type="character" w:customStyle="1" w:styleId="41">
    <w:name w:val="纯文本 Char"/>
    <w:link w:val="12"/>
    <w:qFormat/>
    <w:uiPriority w:val="0"/>
    <w:rPr>
      <w:rFonts w:ascii="宋体" w:hAnsi="Courier New"/>
      <w:kern w:val="2"/>
      <w:sz w:val="21"/>
    </w:rPr>
  </w:style>
  <w:style w:type="character" w:customStyle="1" w:styleId="42">
    <w:name w:val="正文文本缩进 2 Char"/>
    <w:link w:val="14"/>
    <w:qFormat/>
    <w:uiPriority w:val="0"/>
    <w:rPr>
      <w:kern w:val="2"/>
      <w:sz w:val="21"/>
    </w:rPr>
  </w:style>
  <w:style w:type="character" w:customStyle="1" w:styleId="43">
    <w:name w:val="尾注文本 Char"/>
    <w:basedOn w:val="30"/>
    <w:link w:val="15"/>
    <w:semiHidden/>
    <w:qFormat/>
    <w:uiPriority w:val="0"/>
    <w:rPr>
      <w:rFonts w:ascii="宋体" w:hAnsi="宋体"/>
      <w:kern w:val="2"/>
      <w:sz w:val="28"/>
      <w:szCs w:val="24"/>
    </w:rPr>
  </w:style>
  <w:style w:type="character" w:customStyle="1" w:styleId="44">
    <w:name w:val="批注框文本 Char"/>
    <w:basedOn w:val="30"/>
    <w:link w:val="16"/>
    <w:semiHidden/>
    <w:qFormat/>
    <w:uiPriority w:val="0"/>
    <w:rPr>
      <w:kern w:val="2"/>
      <w:sz w:val="18"/>
      <w:szCs w:val="18"/>
    </w:rPr>
  </w:style>
  <w:style w:type="character" w:customStyle="1" w:styleId="45">
    <w:name w:val="页眉 Char"/>
    <w:link w:val="18"/>
    <w:qFormat/>
    <w:uiPriority w:val="0"/>
    <w:rPr>
      <w:kern w:val="2"/>
      <w:sz w:val="18"/>
      <w:szCs w:val="18"/>
    </w:rPr>
  </w:style>
  <w:style w:type="character" w:customStyle="1" w:styleId="46">
    <w:name w:val="脚注文本 Char"/>
    <w:link w:val="2"/>
    <w:qFormat/>
    <w:uiPriority w:val="0"/>
    <w:rPr>
      <w:kern w:val="2"/>
      <w:sz w:val="18"/>
      <w:szCs w:val="18"/>
    </w:rPr>
  </w:style>
  <w:style w:type="character" w:customStyle="1" w:styleId="47">
    <w:name w:val="正文文本缩进 3 Char"/>
    <w:basedOn w:val="30"/>
    <w:link w:val="22"/>
    <w:qFormat/>
    <w:uiPriority w:val="0"/>
    <w:rPr>
      <w:kern w:val="2"/>
      <w:sz w:val="16"/>
      <w:szCs w:val="16"/>
    </w:rPr>
  </w:style>
  <w:style w:type="character" w:customStyle="1" w:styleId="48">
    <w:name w:val="标题 Char"/>
    <w:link w:val="26"/>
    <w:qFormat/>
    <w:uiPriority w:val="0"/>
    <w:rPr>
      <w:rFonts w:ascii="Cambria" w:hAnsi="Cambria"/>
      <w:b/>
      <w:bCs/>
      <w:kern w:val="2"/>
      <w:sz w:val="32"/>
      <w:szCs w:val="32"/>
    </w:rPr>
  </w:style>
  <w:style w:type="character" w:customStyle="1" w:styleId="49">
    <w:name w:val="批注主题 Char"/>
    <w:link w:val="27"/>
    <w:qFormat/>
    <w:uiPriority w:val="0"/>
    <w:rPr>
      <w:b/>
      <w:bCs/>
      <w:kern w:val="2"/>
      <w:sz w:val="21"/>
      <w:szCs w:val="24"/>
    </w:rPr>
  </w:style>
  <w:style w:type="character" w:customStyle="1" w:styleId="50">
    <w:name w:val="无间隔 Char"/>
    <w:link w:val="51"/>
    <w:qFormat/>
    <w:uiPriority w:val="1"/>
    <w:rPr>
      <w:rFonts w:ascii="Calibri" w:hAnsi="Calibri"/>
      <w:sz w:val="22"/>
      <w:szCs w:val="22"/>
    </w:rPr>
  </w:style>
  <w:style w:type="paragraph" w:styleId="51">
    <w:name w:val="No Spacing"/>
    <w:link w:val="50"/>
    <w:qFormat/>
    <w:uiPriority w:val="1"/>
    <w:rPr>
      <w:rFonts w:ascii="Calibri" w:hAnsi="Calibri" w:eastAsia="宋体" w:cs="Times New Roman"/>
      <w:sz w:val="22"/>
      <w:szCs w:val="22"/>
      <w:lang w:val="en-US" w:eastAsia="zh-CN" w:bidi="ar-SA"/>
    </w:rPr>
  </w:style>
  <w:style w:type="character" w:customStyle="1" w:styleId="52">
    <w:name w:val="样式1 Char"/>
    <w:link w:val="53"/>
    <w:qFormat/>
    <w:uiPriority w:val="0"/>
    <w:rPr>
      <w:rFonts w:ascii="方正小标宋简体" w:hAnsi="仿宋" w:eastAsia="方正小标宋简体"/>
      <w:kern w:val="44"/>
      <w:sz w:val="44"/>
      <w:szCs w:val="44"/>
    </w:rPr>
  </w:style>
  <w:style w:type="paragraph" w:customStyle="1" w:styleId="53">
    <w:name w:val="样式1"/>
    <w:basedOn w:val="1"/>
    <w:link w:val="52"/>
    <w:qFormat/>
    <w:uiPriority w:val="0"/>
    <w:pPr>
      <w:keepNext/>
      <w:keepLines/>
      <w:spacing w:before="340" w:after="340" w:line="560" w:lineRule="exact"/>
      <w:ind w:firstLine="200" w:firstLineChars="200"/>
      <w:jc w:val="center"/>
      <w:outlineLvl w:val="2"/>
    </w:pPr>
    <w:rPr>
      <w:rFonts w:ascii="方正小标宋简体" w:hAnsi="仿宋" w:eastAsia="方正小标宋简体"/>
      <w:kern w:val="44"/>
      <w:sz w:val="44"/>
      <w:szCs w:val="44"/>
    </w:rPr>
  </w:style>
  <w:style w:type="character" w:customStyle="1" w:styleId="54">
    <w:name w:val="列出段落 Char"/>
    <w:link w:val="55"/>
    <w:qFormat/>
    <w:locked/>
    <w:uiPriority w:val="0"/>
    <w:rPr>
      <w:kern w:val="2"/>
      <w:sz w:val="21"/>
    </w:rPr>
  </w:style>
  <w:style w:type="paragraph" w:styleId="55">
    <w:name w:val="List Paragraph"/>
    <w:basedOn w:val="1"/>
    <w:link w:val="54"/>
    <w:qFormat/>
    <w:uiPriority w:val="0"/>
    <w:pPr>
      <w:ind w:firstLine="420" w:firstLineChars="200"/>
    </w:pPr>
  </w:style>
  <w:style w:type="paragraph" w:customStyle="1" w:styleId="56">
    <w:name w:val="TOC 标题1"/>
    <w:basedOn w:val="3"/>
    <w:next w:val="1"/>
    <w:unhideWhenUsed/>
    <w:qFormat/>
    <w:uiPriority w:val="39"/>
    <w:pPr>
      <w:spacing w:line="578" w:lineRule="auto"/>
      <w:outlineLvl w:val="9"/>
    </w:pPr>
  </w:style>
  <w:style w:type="paragraph" w:customStyle="1" w:styleId="57">
    <w:name w:val="修订1"/>
    <w:unhideWhenUsed/>
    <w:qFormat/>
    <w:uiPriority w:val="99"/>
    <w:rPr>
      <w:rFonts w:ascii="Times New Roman" w:hAnsi="Times New Roman" w:eastAsia="宋体" w:cs="Times New Roman"/>
      <w:kern w:val="2"/>
      <w:sz w:val="21"/>
      <w:lang w:val="en-US" w:eastAsia="zh-CN" w:bidi="ar-SA"/>
    </w:rPr>
  </w:style>
  <w:style w:type="paragraph" w:customStyle="1" w:styleId="58">
    <w:name w:val="列出段落1"/>
    <w:basedOn w:val="1"/>
    <w:qFormat/>
    <w:uiPriority w:val="34"/>
    <w:pPr>
      <w:ind w:firstLine="420" w:firstLineChars="200"/>
    </w:pPr>
    <w:rPr>
      <w:rFonts w:ascii="Calibri" w:hAnsi="Calibri" w:cs="黑体"/>
      <w:szCs w:val="22"/>
    </w:rPr>
  </w:style>
  <w:style w:type="paragraph" w:customStyle="1" w:styleId="59">
    <w:name w:val="修订2"/>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FC01EB3-F6EC-42B4-B7B3-16FA48A5574F}" type="doc">
      <dgm:prSet loTypeId="urn:microsoft.com/office/officeart/2005/8/layout/orgChart1#1" loCatId="hierarchy" qsTypeId="urn:microsoft.com/office/officeart/2005/8/quickstyle/simple1#1" qsCatId="simple" csTypeId="urn:microsoft.com/office/officeart/2005/8/colors/accent1_2#1" csCatId="accent1"/>
      <dgm:spPr/>
    </dgm:pt>
    <dgm:pt modelId="{C2A3BB00-E4DC-4BEB-9FA0-CBBAD96186CF}">
      <dgm:prSet/>
      <dgm:spPr>
        <a:xfrm>
          <a:off x="1834524" y="3392"/>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提案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4</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关于公司发行股份及支付现金购买资产并募集配套资金暨关联交易方案的提案</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4.00</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514E54B1-BFAA-4934-AF3C-D88C0F4199B4}" cxnId="{DDF7BA38-8F6A-48A9-91BF-5C4D1B255CF7}" type="parTrans">
      <dgm:prSet/>
      <dgm:spPr/>
      <dgm:t>
        <a:bodyPr/>
        <a:p>
          <a:endParaRPr lang="zh-CN" altLang="en-US"/>
        </a:p>
      </dgm:t>
    </dgm:pt>
    <dgm:pt modelId="{E2207012-C9E3-48D8-B30E-424419A965C0}" cxnId="{DDF7BA38-8F6A-48A9-91BF-5C4D1B255CF7}" type="sibTrans">
      <dgm:prSet/>
      <dgm:spPr/>
      <dgm:t>
        <a:bodyPr/>
        <a:p>
          <a:endParaRPr lang="zh-CN" altLang="en-US"/>
        </a:p>
      </dgm:t>
    </dgm:pt>
    <dgm:pt modelId="{1C4521D0-CB14-4383-A137-2C95A08B3137}">
      <dgm:prSet/>
      <dgm:spPr>
        <a:xfrm>
          <a:off x="2116249" y="803491"/>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本次交易的整体方案</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4.01</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gm:t>
    </dgm:pt>
    <dgm:pt modelId="{DFA6A77D-5361-4511-B00F-920A9ED772D3}" cxnId="{58B653F6-6FD5-4033-994A-BADEA123BA72}" type="parTrans">
      <dgm:prSet/>
      <dgm:spPr>
        <a:xfrm>
          <a:off x="1947214" y="566842"/>
          <a:ext cx="169035" cy="518374"/>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41230DE5-2F15-4B96-9332-1835690A7021}" cxnId="{58B653F6-6FD5-4033-994A-BADEA123BA72}" type="sibTrans">
      <dgm:prSet/>
      <dgm:spPr/>
      <dgm:t>
        <a:bodyPr/>
        <a:p>
          <a:endParaRPr lang="zh-CN" altLang="en-US"/>
        </a:p>
      </dgm:t>
    </dgm:pt>
    <dgm:pt modelId="{102B3A52-DF76-435C-B907-17516BBC2C32}">
      <dgm:prSet/>
      <dgm:spPr>
        <a:xfrm>
          <a:off x="2116249" y="1603590"/>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本次发行股份及支付现金购买资产方案 </a:t>
          </a:r>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（不作为投票对象，不予编码）</a:t>
          </a:r>
        </a:p>
      </dgm:t>
    </dgm:pt>
    <dgm:pt modelId="{56D008CB-675E-4DBE-B58C-78FE95EF6C3B}" cxnId="{3FCD77A2-ADAE-40FC-B563-4152D0ADE9EE}" type="parTrans">
      <dgm:prSet/>
      <dgm:spPr>
        <a:xfrm>
          <a:off x="1947214" y="566842"/>
          <a:ext cx="169035" cy="1318473"/>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04AE3859-F619-44B2-B58E-3E8580F62762}" cxnId="{3FCD77A2-ADAE-40FC-B563-4152D0ADE9EE}" type="sibTrans">
      <dgm:prSet/>
      <dgm:spPr/>
      <dgm:t>
        <a:bodyPr/>
        <a:p>
          <a:endParaRPr lang="zh-CN" altLang="en-US"/>
        </a:p>
      </dgm:t>
    </dgm:pt>
    <dgm:pt modelId="{4C3DF04F-7EA6-45AE-97E2-9164A98BC3D8}">
      <dgm:prSet/>
      <dgm:spPr>
        <a:xfrm>
          <a:off x="2397974" y="2403689"/>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交易对方 </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4.02</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gm:t>
    </dgm:pt>
    <dgm:pt modelId="{3A43E3DE-5485-4CA3-946E-B0C07630D5F7}" cxnId="{1F6D0645-DA7E-4526-95B7-1018ECD53EBD}" type="parTrans">
      <dgm:prSet/>
      <dgm:spPr>
        <a:xfrm>
          <a:off x="2228939" y="2167040"/>
          <a:ext cx="169035" cy="518374"/>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ECF33583-C70F-47C9-8404-AE6430057170}" cxnId="{1F6D0645-DA7E-4526-95B7-1018ECD53EBD}" type="sibTrans">
      <dgm:prSet/>
      <dgm:spPr/>
      <dgm:t>
        <a:bodyPr/>
        <a:p>
          <a:endParaRPr lang="zh-CN" altLang="en-US"/>
        </a:p>
      </dgm:t>
    </dgm:pt>
    <dgm:pt modelId="{BE0E8448-59AF-42F6-8A20-34BBA9583895}">
      <dgm:prSet/>
      <dgm:spPr>
        <a:xfrm>
          <a:off x="2397974" y="3203789"/>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4.03</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a:p>
          <a:pPr marR="0" algn="l" rtl="0"/>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dgm:t>
    </dgm:pt>
    <dgm:pt modelId="{F3DFEFA9-A16B-4FDF-BAB7-F9B224B85115}" cxnId="{65EE2229-B023-4FAB-B062-44BF3E07D096}" type="parTrans">
      <dgm:prSet/>
      <dgm:spPr>
        <a:xfrm>
          <a:off x="2228939" y="2167040"/>
          <a:ext cx="169035" cy="1318473"/>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4EAC4BEC-D49C-4215-B8B6-2D855F9C0DEA}" cxnId="{65EE2229-B023-4FAB-B062-44BF3E07D096}" type="sibTrans">
      <dgm:prSet/>
      <dgm:spPr/>
      <dgm:t>
        <a:bodyPr/>
        <a:p>
          <a:endParaRPr lang="zh-CN" altLang="en-US"/>
        </a:p>
      </dgm:t>
    </dgm:pt>
    <dgm:pt modelId="{C9702042-EA9F-4F64-93D6-ED27635748C8}">
      <dgm:prSet/>
      <dgm:spPr>
        <a:xfrm>
          <a:off x="2397974" y="4003888"/>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标的资产的定价依据及交易价格</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4.04</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D2C8FA24-E118-492B-BD2B-2491C1EFAFEF}" cxnId="{7AF464C7-3974-4674-9188-6CF35E0CE6CC}" type="parTrans">
      <dgm:prSet/>
      <dgm:spPr>
        <a:xfrm>
          <a:off x="2228939" y="2167040"/>
          <a:ext cx="169035" cy="2118572"/>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BF83A053-E2ED-4336-957D-1BCEA18F1339}" cxnId="{7AF464C7-3974-4674-9188-6CF35E0CE6CC}" type="sibTrans">
      <dgm:prSet/>
      <dgm:spPr/>
      <dgm:t>
        <a:bodyPr/>
        <a:p>
          <a:endParaRPr lang="zh-CN" altLang="en-US"/>
        </a:p>
      </dgm:t>
    </dgm:pt>
    <dgm:pt modelId="{2A73A044-CDB0-4FAF-97BF-8076CA4D06CF}">
      <dgm:prSet/>
      <dgm:spPr>
        <a:xfrm>
          <a:off x="2116249" y="4803987"/>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本次发行股份募集资金方案 </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4.05</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A0331754-AA1A-4D12-AD3E-8B5D87BC0047}" cxnId="{027131C0-630B-4687-A883-AAB3EAAD22FB}" type="parTrans">
      <dgm:prSet/>
      <dgm:spPr>
        <a:xfrm>
          <a:off x="1947214" y="566842"/>
          <a:ext cx="169035" cy="4518869"/>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A008DEAE-0AF8-43BD-9B80-420EDD07D7D1}" cxnId="{027131C0-630B-4687-A883-AAB3EAAD22FB}" type="sibTrans">
      <dgm:prSet/>
      <dgm:spPr/>
      <dgm:t>
        <a:bodyPr/>
        <a:p>
          <a:endParaRPr lang="zh-CN" altLang="en-US"/>
        </a:p>
      </dgm:t>
    </dgm:pt>
    <dgm:pt modelId="{479D35CA-0F02-4442-8563-98E23C99519F}" type="pres">
      <dgm:prSet presAssocID="{2FC01EB3-F6EC-42B4-B7B3-16FA48A5574F}" presName="hierChild1" presStyleCnt="0">
        <dgm:presLayoutVars>
          <dgm:orgChart val="1"/>
          <dgm:chPref val="1"/>
          <dgm:dir/>
          <dgm:animOne val="branch"/>
          <dgm:animLvl val="lvl"/>
          <dgm:resizeHandles/>
        </dgm:presLayoutVars>
      </dgm:prSet>
      <dgm:spPr/>
    </dgm:pt>
    <dgm:pt modelId="{528A3755-B117-4370-BD50-058881F65925}" type="pres">
      <dgm:prSet presAssocID="{C2A3BB00-E4DC-4BEB-9FA0-CBBAD96186CF}" presName="hierRoot1" presStyleCnt="0">
        <dgm:presLayoutVars>
          <dgm:hierBranch val="r"/>
        </dgm:presLayoutVars>
      </dgm:prSet>
      <dgm:spPr/>
    </dgm:pt>
    <dgm:pt modelId="{F5707795-1384-48C5-8DBF-E299A1476EF2}" type="pres">
      <dgm:prSet presAssocID="{C2A3BB00-E4DC-4BEB-9FA0-CBBAD96186CF}" presName="rootComposite1" presStyleCnt="0"/>
      <dgm:spPr/>
    </dgm:pt>
    <dgm:pt modelId="{DD8E376A-1241-4C1D-9018-2030EF83D1AC}" type="pres">
      <dgm:prSet presAssocID="{C2A3BB00-E4DC-4BEB-9FA0-CBBAD96186CF}" presName="rootText1" presStyleLbl="node0" presStyleIdx="0" presStyleCnt="1">
        <dgm:presLayoutVars>
          <dgm:chPref val="3"/>
        </dgm:presLayoutVars>
      </dgm:prSet>
      <dgm:spPr>
        <a:prstGeom prst="rect">
          <a:avLst/>
        </a:prstGeom>
      </dgm:spPr>
      <dgm:t>
        <a:bodyPr/>
        <a:p>
          <a:endParaRPr lang="zh-CN" altLang="en-US"/>
        </a:p>
      </dgm:t>
    </dgm:pt>
    <dgm:pt modelId="{B49A918F-6E86-480C-8C59-50EFA4F2D111}" type="pres">
      <dgm:prSet presAssocID="{C2A3BB00-E4DC-4BEB-9FA0-CBBAD96186CF}" presName="rootConnector1" presStyleLbl="node1" presStyleIdx="0" presStyleCnt="0"/>
      <dgm:spPr/>
      <dgm:t>
        <a:bodyPr/>
        <a:p>
          <a:endParaRPr lang="zh-CN" altLang="en-US"/>
        </a:p>
      </dgm:t>
    </dgm:pt>
    <dgm:pt modelId="{920CC4FA-2A18-402E-A1B5-F4A2D6B36413}" type="pres">
      <dgm:prSet presAssocID="{C2A3BB00-E4DC-4BEB-9FA0-CBBAD96186CF}" presName="hierChild2" presStyleCnt="0"/>
      <dgm:spPr/>
    </dgm:pt>
    <dgm:pt modelId="{D795B90C-35E5-4A49-9559-72DA5B4FA855}" type="pres">
      <dgm:prSet presAssocID="{DFA6A77D-5361-4511-B00F-920A9ED772D3}" presName="Name50" presStyleLbl="parChTrans1D2" presStyleIdx="0" presStyleCnt="3"/>
      <dgm:spPr>
        <a:custGeom>
          <a:avLst/>
          <a:gdLst/>
          <a:ahLst/>
          <a:cxnLst/>
          <a:rect l="0" t="0" r="0" b="0"/>
          <a:pathLst>
            <a:path>
              <a:moveTo>
                <a:pt x="0" y="0"/>
              </a:moveTo>
              <a:lnTo>
                <a:pt x="0" y="518374"/>
              </a:lnTo>
              <a:lnTo>
                <a:pt x="169035" y="518374"/>
              </a:lnTo>
            </a:path>
          </a:pathLst>
        </a:custGeom>
      </dgm:spPr>
      <dgm:t>
        <a:bodyPr/>
        <a:p>
          <a:endParaRPr lang="zh-CN" altLang="en-US"/>
        </a:p>
      </dgm:t>
    </dgm:pt>
    <dgm:pt modelId="{702D3879-5C8F-4707-98CF-D002FC54064B}" type="pres">
      <dgm:prSet presAssocID="{1C4521D0-CB14-4383-A137-2C95A08B3137}" presName="hierRoot2" presStyleCnt="0">
        <dgm:presLayoutVars>
          <dgm:hierBranch/>
        </dgm:presLayoutVars>
      </dgm:prSet>
      <dgm:spPr/>
    </dgm:pt>
    <dgm:pt modelId="{E4C2EB8F-2D88-4CFC-AA07-3EC194258C9B}" type="pres">
      <dgm:prSet presAssocID="{1C4521D0-CB14-4383-A137-2C95A08B3137}" presName="rootComposite" presStyleCnt="0"/>
      <dgm:spPr/>
    </dgm:pt>
    <dgm:pt modelId="{B2117AC8-52BD-496C-A09E-61FF78660C6E}" type="pres">
      <dgm:prSet presAssocID="{1C4521D0-CB14-4383-A137-2C95A08B3137}" presName="rootText" presStyleLbl="node2" presStyleIdx="0" presStyleCnt="3">
        <dgm:presLayoutVars>
          <dgm:chPref val="3"/>
        </dgm:presLayoutVars>
      </dgm:prSet>
      <dgm:spPr>
        <a:prstGeom prst="rect">
          <a:avLst/>
        </a:prstGeom>
      </dgm:spPr>
      <dgm:t>
        <a:bodyPr/>
        <a:p>
          <a:endParaRPr lang="zh-CN" altLang="en-US"/>
        </a:p>
      </dgm:t>
    </dgm:pt>
    <dgm:pt modelId="{C4210684-6951-4AD7-8A9E-D0A4056ABDA8}" type="pres">
      <dgm:prSet presAssocID="{1C4521D0-CB14-4383-A137-2C95A08B3137}" presName="rootConnector" presStyleLbl="node2" presStyleIdx="0" presStyleCnt="3"/>
      <dgm:spPr/>
      <dgm:t>
        <a:bodyPr/>
        <a:p>
          <a:endParaRPr lang="zh-CN" altLang="en-US"/>
        </a:p>
      </dgm:t>
    </dgm:pt>
    <dgm:pt modelId="{23EA8687-BAE3-4BF7-B46C-2D44C66301D9}" type="pres">
      <dgm:prSet presAssocID="{1C4521D0-CB14-4383-A137-2C95A08B3137}" presName="hierChild4" presStyleCnt="0"/>
      <dgm:spPr/>
    </dgm:pt>
    <dgm:pt modelId="{B3C9E695-5390-48F2-B0C1-A6D2878A7372}" type="pres">
      <dgm:prSet presAssocID="{1C4521D0-CB14-4383-A137-2C95A08B3137}" presName="hierChild5" presStyleCnt="0"/>
      <dgm:spPr/>
    </dgm:pt>
    <dgm:pt modelId="{9022F442-FF0C-4056-AD6F-C9565AA22A93}" type="pres">
      <dgm:prSet presAssocID="{56D008CB-675E-4DBE-B58C-78FE95EF6C3B}" presName="Name50" presStyleLbl="parChTrans1D2" presStyleIdx="1" presStyleCnt="3"/>
      <dgm:spPr>
        <a:custGeom>
          <a:avLst/>
          <a:gdLst/>
          <a:ahLst/>
          <a:cxnLst/>
          <a:rect l="0" t="0" r="0" b="0"/>
          <a:pathLst>
            <a:path>
              <a:moveTo>
                <a:pt x="0" y="0"/>
              </a:moveTo>
              <a:lnTo>
                <a:pt x="0" y="1318473"/>
              </a:lnTo>
              <a:lnTo>
                <a:pt x="169035" y="1318473"/>
              </a:lnTo>
            </a:path>
          </a:pathLst>
        </a:custGeom>
      </dgm:spPr>
      <dgm:t>
        <a:bodyPr/>
        <a:p>
          <a:endParaRPr lang="zh-CN" altLang="en-US"/>
        </a:p>
      </dgm:t>
    </dgm:pt>
    <dgm:pt modelId="{BD27EF97-67BF-4A2B-A651-612F48B8E3C9}" type="pres">
      <dgm:prSet presAssocID="{102B3A52-DF76-435C-B907-17516BBC2C32}" presName="hierRoot2" presStyleCnt="0">
        <dgm:presLayoutVars>
          <dgm:hierBranch val="r"/>
        </dgm:presLayoutVars>
      </dgm:prSet>
      <dgm:spPr/>
    </dgm:pt>
    <dgm:pt modelId="{29B501DF-A8D1-429F-869D-821A083C33C1}" type="pres">
      <dgm:prSet presAssocID="{102B3A52-DF76-435C-B907-17516BBC2C32}" presName="rootComposite" presStyleCnt="0"/>
      <dgm:spPr/>
    </dgm:pt>
    <dgm:pt modelId="{E2EE6CAF-6B3E-4911-82F0-76BE21761FA3}" type="pres">
      <dgm:prSet presAssocID="{102B3A52-DF76-435C-B907-17516BBC2C32}" presName="rootText" presStyleLbl="node2" presStyleIdx="1" presStyleCnt="3">
        <dgm:presLayoutVars>
          <dgm:chPref val="3"/>
        </dgm:presLayoutVars>
      </dgm:prSet>
      <dgm:spPr>
        <a:prstGeom prst="rect">
          <a:avLst/>
        </a:prstGeom>
      </dgm:spPr>
      <dgm:t>
        <a:bodyPr/>
        <a:p>
          <a:endParaRPr lang="zh-CN" altLang="en-US"/>
        </a:p>
      </dgm:t>
    </dgm:pt>
    <dgm:pt modelId="{9C67C031-22CA-4170-A90A-E6EBA6FE4F53}" type="pres">
      <dgm:prSet presAssocID="{102B3A52-DF76-435C-B907-17516BBC2C32}" presName="rootConnector" presStyleLbl="node2" presStyleIdx="1" presStyleCnt="3"/>
      <dgm:spPr/>
      <dgm:t>
        <a:bodyPr/>
        <a:p>
          <a:endParaRPr lang="zh-CN" altLang="en-US"/>
        </a:p>
      </dgm:t>
    </dgm:pt>
    <dgm:pt modelId="{B30729CB-FAD9-4930-85DA-5736E1ABA598}" type="pres">
      <dgm:prSet presAssocID="{102B3A52-DF76-435C-B907-17516BBC2C32}" presName="hierChild4" presStyleCnt="0"/>
      <dgm:spPr/>
    </dgm:pt>
    <dgm:pt modelId="{6607617A-6F13-497C-AE8B-A20460271FEA}" type="pres">
      <dgm:prSet presAssocID="{3A43E3DE-5485-4CA3-946E-B0C07630D5F7}" presName="Name50" presStyleLbl="parChTrans1D3" presStyleIdx="0" presStyleCnt="3"/>
      <dgm:spPr>
        <a:custGeom>
          <a:avLst/>
          <a:gdLst/>
          <a:ahLst/>
          <a:cxnLst/>
          <a:rect l="0" t="0" r="0" b="0"/>
          <a:pathLst>
            <a:path>
              <a:moveTo>
                <a:pt x="0" y="0"/>
              </a:moveTo>
              <a:lnTo>
                <a:pt x="0" y="518374"/>
              </a:lnTo>
              <a:lnTo>
                <a:pt x="169035" y="518374"/>
              </a:lnTo>
            </a:path>
          </a:pathLst>
        </a:custGeom>
      </dgm:spPr>
      <dgm:t>
        <a:bodyPr/>
        <a:p>
          <a:endParaRPr lang="zh-CN" altLang="en-US"/>
        </a:p>
      </dgm:t>
    </dgm:pt>
    <dgm:pt modelId="{CDAF531F-7AAB-42B6-9123-B80CAD89131B}" type="pres">
      <dgm:prSet presAssocID="{4C3DF04F-7EA6-45AE-97E2-9164A98BC3D8}" presName="hierRoot2" presStyleCnt="0">
        <dgm:presLayoutVars>
          <dgm:hierBranch val="r"/>
        </dgm:presLayoutVars>
      </dgm:prSet>
      <dgm:spPr/>
    </dgm:pt>
    <dgm:pt modelId="{1BCBB11D-0299-4BD1-9190-AE61781541FB}" type="pres">
      <dgm:prSet presAssocID="{4C3DF04F-7EA6-45AE-97E2-9164A98BC3D8}" presName="rootComposite" presStyleCnt="0"/>
      <dgm:spPr/>
    </dgm:pt>
    <dgm:pt modelId="{A6805568-10F7-477B-A438-BC13C4EE7221}" type="pres">
      <dgm:prSet presAssocID="{4C3DF04F-7EA6-45AE-97E2-9164A98BC3D8}" presName="rootText" presStyleLbl="node3" presStyleIdx="0" presStyleCnt="3">
        <dgm:presLayoutVars>
          <dgm:chPref val="3"/>
        </dgm:presLayoutVars>
      </dgm:prSet>
      <dgm:spPr>
        <a:prstGeom prst="rect">
          <a:avLst/>
        </a:prstGeom>
      </dgm:spPr>
      <dgm:t>
        <a:bodyPr/>
        <a:p>
          <a:endParaRPr lang="zh-CN" altLang="en-US"/>
        </a:p>
      </dgm:t>
    </dgm:pt>
    <dgm:pt modelId="{7234A904-5FB6-4915-9FEB-E2FE805A7C69}" type="pres">
      <dgm:prSet presAssocID="{4C3DF04F-7EA6-45AE-97E2-9164A98BC3D8}" presName="rootConnector" presStyleLbl="node3" presStyleIdx="0" presStyleCnt="3"/>
      <dgm:spPr/>
      <dgm:t>
        <a:bodyPr/>
        <a:p>
          <a:endParaRPr lang="zh-CN" altLang="en-US"/>
        </a:p>
      </dgm:t>
    </dgm:pt>
    <dgm:pt modelId="{99EBA1ED-5D2A-45B4-900F-7933FDB7242E}" type="pres">
      <dgm:prSet presAssocID="{4C3DF04F-7EA6-45AE-97E2-9164A98BC3D8}" presName="hierChild4" presStyleCnt="0"/>
      <dgm:spPr/>
    </dgm:pt>
    <dgm:pt modelId="{325B8D70-CD18-44D4-88CB-69FFA9A22BBF}" type="pres">
      <dgm:prSet presAssocID="{4C3DF04F-7EA6-45AE-97E2-9164A98BC3D8}" presName="hierChild5" presStyleCnt="0"/>
      <dgm:spPr/>
    </dgm:pt>
    <dgm:pt modelId="{5B77928C-B7F3-4CBC-AB0E-95551EC6F539}" type="pres">
      <dgm:prSet presAssocID="{F3DFEFA9-A16B-4FDF-BAB7-F9B224B85115}" presName="Name50" presStyleLbl="parChTrans1D3" presStyleIdx="1" presStyleCnt="3"/>
      <dgm:spPr>
        <a:custGeom>
          <a:avLst/>
          <a:gdLst/>
          <a:ahLst/>
          <a:cxnLst/>
          <a:rect l="0" t="0" r="0" b="0"/>
          <a:pathLst>
            <a:path>
              <a:moveTo>
                <a:pt x="0" y="0"/>
              </a:moveTo>
              <a:lnTo>
                <a:pt x="0" y="1318473"/>
              </a:lnTo>
              <a:lnTo>
                <a:pt x="169035" y="1318473"/>
              </a:lnTo>
            </a:path>
          </a:pathLst>
        </a:custGeom>
      </dgm:spPr>
      <dgm:t>
        <a:bodyPr/>
        <a:p>
          <a:endParaRPr lang="zh-CN" altLang="en-US"/>
        </a:p>
      </dgm:t>
    </dgm:pt>
    <dgm:pt modelId="{1F44A5A6-D64F-475A-9E20-BCA3B2FCD6AF}" type="pres">
      <dgm:prSet presAssocID="{BE0E8448-59AF-42F6-8A20-34BBA9583895}" presName="hierRoot2" presStyleCnt="0">
        <dgm:presLayoutVars>
          <dgm:hierBranch val="r"/>
        </dgm:presLayoutVars>
      </dgm:prSet>
      <dgm:spPr/>
    </dgm:pt>
    <dgm:pt modelId="{55D61874-A5E5-4971-89A6-05217B3A710C}" type="pres">
      <dgm:prSet presAssocID="{BE0E8448-59AF-42F6-8A20-34BBA9583895}" presName="rootComposite" presStyleCnt="0"/>
      <dgm:spPr/>
    </dgm:pt>
    <dgm:pt modelId="{FAA5CE60-4802-405B-BD2B-C0D12FE16A77}" type="pres">
      <dgm:prSet presAssocID="{BE0E8448-59AF-42F6-8A20-34BBA9583895}" presName="rootText" presStyleLbl="node3" presStyleIdx="1" presStyleCnt="3">
        <dgm:presLayoutVars>
          <dgm:chPref val="3"/>
        </dgm:presLayoutVars>
      </dgm:prSet>
      <dgm:spPr>
        <a:prstGeom prst="rect">
          <a:avLst/>
        </a:prstGeom>
      </dgm:spPr>
      <dgm:t>
        <a:bodyPr/>
        <a:p>
          <a:endParaRPr lang="zh-CN" altLang="en-US"/>
        </a:p>
      </dgm:t>
    </dgm:pt>
    <dgm:pt modelId="{6ECD725A-6770-424F-9DA6-324957211536}" type="pres">
      <dgm:prSet presAssocID="{BE0E8448-59AF-42F6-8A20-34BBA9583895}" presName="rootConnector" presStyleLbl="node3" presStyleIdx="1" presStyleCnt="3"/>
      <dgm:spPr/>
      <dgm:t>
        <a:bodyPr/>
        <a:p>
          <a:endParaRPr lang="zh-CN" altLang="en-US"/>
        </a:p>
      </dgm:t>
    </dgm:pt>
    <dgm:pt modelId="{81ADBCF0-711B-4115-B78E-BF7EFE499518}" type="pres">
      <dgm:prSet presAssocID="{BE0E8448-59AF-42F6-8A20-34BBA9583895}" presName="hierChild4" presStyleCnt="0"/>
      <dgm:spPr/>
    </dgm:pt>
    <dgm:pt modelId="{1205CF53-5B74-47B8-A1E0-CE4971D1F5E3}" type="pres">
      <dgm:prSet presAssocID="{BE0E8448-59AF-42F6-8A20-34BBA9583895}" presName="hierChild5" presStyleCnt="0"/>
      <dgm:spPr/>
    </dgm:pt>
    <dgm:pt modelId="{56C80FD5-B3ED-4B3D-A68E-2094FA6E4176}" type="pres">
      <dgm:prSet presAssocID="{D2C8FA24-E118-492B-BD2B-2491C1EFAFEF}" presName="Name50" presStyleLbl="parChTrans1D3" presStyleIdx="2" presStyleCnt="3"/>
      <dgm:spPr>
        <a:custGeom>
          <a:avLst/>
          <a:gdLst/>
          <a:ahLst/>
          <a:cxnLst/>
          <a:rect l="0" t="0" r="0" b="0"/>
          <a:pathLst>
            <a:path>
              <a:moveTo>
                <a:pt x="0" y="0"/>
              </a:moveTo>
              <a:lnTo>
                <a:pt x="0" y="2118572"/>
              </a:lnTo>
              <a:lnTo>
                <a:pt x="169035" y="2118572"/>
              </a:lnTo>
            </a:path>
          </a:pathLst>
        </a:custGeom>
      </dgm:spPr>
      <dgm:t>
        <a:bodyPr/>
        <a:p>
          <a:endParaRPr lang="zh-CN" altLang="en-US"/>
        </a:p>
      </dgm:t>
    </dgm:pt>
    <dgm:pt modelId="{B802C95F-A282-4392-9E6E-90BB40D5AC9D}" type="pres">
      <dgm:prSet presAssocID="{C9702042-EA9F-4F64-93D6-ED27635748C8}" presName="hierRoot2" presStyleCnt="0">
        <dgm:presLayoutVars>
          <dgm:hierBranch val="r"/>
        </dgm:presLayoutVars>
      </dgm:prSet>
      <dgm:spPr/>
    </dgm:pt>
    <dgm:pt modelId="{27037EC5-7C31-4F0D-B0FA-C40317A47FA3}" type="pres">
      <dgm:prSet presAssocID="{C9702042-EA9F-4F64-93D6-ED27635748C8}" presName="rootComposite" presStyleCnt="0"/>
      <dgm:spPr/>
    </dgm:pt>
    <dgm:pt modelId="{2CB0860A-F179-4620-BFCF-177371A392BF}" type="pres">
      <dgm:prSet presAssocID="{C9702042-EA9F-4F64-93D6-ED27635748C8}" presName="rootText" presStyleLbl="node3" presStyleIdx="2" presStyleCnt="3">
        <dgm:presLayoutVars>
          <dgm:chPref val="3"/>
        </dgm:presLayoutVars>
      </dgm:prSet>
      <dgm:spPr>
        <a:prstGeom prst="rect">
          <a:avLst/>
        </a:prstGeom>
      </dgm:spPr>
      <dgm:t>
        <a:bodyPr/>
        <a:p>
          <a:endParaRPr lang="zh-CN" altLang="en-US"/>
        </a:p>
      </dgm:t>
    </dgm:pt>
    <dgm:pt modelId="{1FE92C17-A325-4751-9986-1A5F08ACA753}" type="pres">
      <dgm:prSet presAssocID="{C9702042-EA9F-4F64-93D6-ED27635748C8}" presName="rootConnector" presStyleLbl="node3" presStyleIdx="2" presStyleCnt="3"/>
      <dgm:spPr/>
      <dgm:t>
        <a:bodyPr/>
        <a:p>
          <a:endParaRPr lang="zh-CN" altLang="en-US"/>
        </a:p>
      </dgm:t>
    </dgm:pt>
    <dgm:pt modelId="{DA38316F-EB00-413D-9E62-A457DC27CD9C}" type="pres">
      <dgm:prSet presAssocID="{C9702042-EA9F-4F64-93D6-ED27635748C8}" presName="hierChild4" presStyleCnt="0"/>
      <dgm:spPr/>
    </dgm:pt>
    <dgm:pt modelId="{2AD18E4B-34A2-44B7-99AB-F59131FA3182}" type="pres">
      <dgm:prSet presAssocID="{C9702042-EA9F-4F64-93D6-ED27635748C8}" presName="hierChild5" presStyleCnt="0"/>
      <dgm:spPr/>
    </dgm:pt>
    <dgm:pt modelId="{3DCD1C88-F527-432C-BCB8-0E8C6C69E1EA}" type="pres">
      <dgm:prSet presAssocID="{102B3A52-DF76-435C-B907-17516BBC2C32}" presName="hierChild5" presStyleCnt="0"/>
      <dgm:spPr/>
    </dgm:pt>
    <dgm:pt modelId="{09B9FE2C-130E-415F-A5E9-2E7D46EBFEDC}" type="pres">
      <dgm:prSet presAssocID="{A0331754-AA1A-4D12-AD3E-8B5D87BC0047}" presName="Name50" presStyleLbl="parChTrans1D2" presStyleIdx="2" presStyleCnt="3"/>
      <dgm:spPr>
        <a:custGeom>
          <a:avLst/>
          <a:gdLst/>
          <a:ahLst/>
          <a:cxnLst/>
          <a:rect l="0" t="0" r="0" b="0"/>
          <a:pathLst>
            <a:path>
              <a:moveTo>
                <a:pt x="0" y="0"/>
              </a:moveTo>
              <a:lnTo>
                <a:pt x="0" y="4518869"/>
              </a:lnTo>
              <a:lnTo>
                <a:pt x="169035" y="4518869"/>
              </a:lnTo>
            </a:path>
          </a:pathLst>
        </a:custGeom>
      </dgm:spPr>
      <dgm:t>
        <a:bodyPr/>
        <a:p>
          <a:endParaRPr lang="zh-CN" altLang="en-US"/>
        </a:p>
      </dgm:t>
    </dgm:pt>
    <dgm:pt modelId="{E01AEC89-B195-4B24-8268-33CD8A8A979D}" type="pres">
      <dgm:prSet presAssocID="{2A73A044-CDB0-4FAF-97BF-8076CA4D06CF}" presName="hierRoot2" presStyleCnt="0">
        <dgm:presLayoutVars>
          <dgm:hierBranch/>
        </dgm:presLayoutVars>
      </dgm:prSet>
      <dgm:spPr/>
    </dgm:pt>
    <dgm:pt modelId="{3664CBE7-B2EF-4A03-AD2F-8F9A8722A125}" type="pres">
      <dgm:prSet presAssocID="{2A73A044-CDB0-4FAF-97BF-8076CA4D06CF}" presName="rootComposite" presStyleCnt="0"/>
      <dgm:spPr/>
    </dgm:pt>
    <dgm:pt modelId="{C574C32E-ABDD-4F40-93A0-6FCEBA93074A}" type="pres">
      <dgm:prSet presAssocID="{2A73A044-CDB0-4FAF-97BF-8076CA4D06CF}" presName="rootText" presStyleLbl="node2" presStyleIdx="2" presStyleCnt="3">
        <dgm:presLayoutVars>
          <dgm:chPref val="3"/>
        </dgm:presLayoutVars>
      </dgm:prSet>
      <dgm:spPr>
        <a:prstGeom prst="rect">
          <a:avLst/>
        </a:prstGeom>
      </dgm:spPr>
      <dgm:t>
        <a:bodyPr/>
        <a:p>
          <a:endParaRPr lang="zh-CN" altLang="en-US"/>
        </a:p>
      </dgm:t>
    </dgm:pt>
    <dgm:pt modelId="{D0B77FB5-E37F-4C65-B5F7-EF47B17A83A6}" type="pres">
      <dgm:prSet presAssocID="{2A73A044-CDB0-4FAF-97BF-8076CA4D06CF}" presName="rootConnector" presStyleLbl="node2" presStyleIdx="2" presStyleCnt="3"/>
      <dgm:spPr/>
      <dgm:t>
        <a:bodyPr/>
        <a:p>
          <a:endParaRPr lang="zh-CN" altLang="en-US"/>
        </a:p>
      </dgm:t>
    </dgm:pt>
    <dgm:pt modelId="{6E2154FC-3A4D-47F8-B6C5-A256BF4CEB98}" type="pres">
      <dgm:prSet presAssocID="{2A73A044-CDB0-4FAF-97BF-8076CA4D06CF}" presName="hierChild4" presStyleCnt="0"/>
      <dgm:spPr/>
    </dgm:pt>
    <dgm:pt modelId="{2BA07DFC-2C98-423A-B889-1D0453F1B197}" type="pres">
      <dgm:prSet presAssocID="{2A73A044-CDB0-4FAF-97BF-8076CA4D06CF}" presName="hierChild5" presStyleCnt="0"/>
      <dgm:spPr/>
    </dgm:pt>
    <dgm:pt modelId="{F4BF4633-3BFE-4F7D-A579-70FF3C7EAACC}" type="pres">
      <dgm:prSet presAssocID="{C2A3BB00-E4DC-4BEB-9FA0-CBBAD96186CF}" presName="hierChild3" presStyleCnt="0"/>
      <dgm:spPr/>
    </dgm:pt>
  </dgm:ptLst>
  <dgm:cxnLst>
    <dgm:cxn modelId="{467E2460-3D19-43DF-9BA4-6F94532065B6}" type="presOf" srcId="{102B3A52-DF76-435C-B907-17516BBC2C32}" destId="{9C67C031-22CA-4170-A90A-E6EBA6FE4F53}" srcOrd="1" destOrd="0" presId="urn:microsoft.com/office/officeart/2005/8/layout/orgChart1#1"/>
    <dgm:cxn modelId="{E4929A60-3E8D-408B-82F3-F35951EF2011}" type="presOf" srcId="{1C4521D0-CB14-4383-A137-2C95A08B3137}" destId="{B2117AC8-52BD-496C-A09E-61FF78660C6E}" srcOrd="0" destOrd="0" presId="urn:microsoft.com/office/officeart/2005/8/layout/orgChart1#1"/>
    <dgm:cxn modelId="{55B9E1CE-CD4B-4F20-971A-0F06D9634160}" type="presOf" srcId="{102B3A52-DF76-435C-B907-17516BBC2C32}" destId="{E2EE6CAF-6B3E-4911-82F0-76BE21761FA3}" srcOrd="0" destOrd="0" presId="urn:microsoft.com/office/officeart/2005/8/layout/orgChart1#1"/>
    <dgm:cxn modelId="{3BDE7142-DE23-4509-8A77-C60D8DA3B0A4}" type="presOf" srcId="{BE0E8448-59AF-42F6-8A20-34BBA9583895}" destId="{6ECD725A-6770-424F-9DA6-324957211536}" srcOrd="1" destOrd="0" presId="urn:microsoft.com/office/officeart/2005/8/layout/orgChart1#1"/>
    <dgm:cxn modelId="{E66111BB-EA82-49CE-A55F-3718B9829AF8}" type="presOf" srcId="{4C3DF04F-7EA6-45AE-97E2-9164A98BC3D8}" destId="{A6805568-10F7-477B-A438-BC13C4EE7221}" srcOrd="0" destOrd="0" presId="urn:microsoft.com/office/officeart/2005/8/layout/orgChart1#1"/>
    <dgm:cxn modelId="{A90D6CD5-76B8-464C-AC7D-B603FA133E86}" type="presOf" srcId="{C2A3BB00-E4DC-4BEB-9FA0-CBBAD96186CF}" destId="{B49A918F-6E86-480C-8C59-50EFA4F2D111}" srcOrd="1" destOrd="0" presId="urn:microsoft.com/office/officeart/2005/8/layout/orgChart1#1"/>
    <dgm:cxn modelId="{A5C5CDE7-C7E5-4F7F-8483-4327DD26AC72}" type="presOf" srcId="{3A43E3DE-5485-4CA3-946E-B0C07630D5F7}" destId="{6607617A-6F13-497C-AE8B-A20460271FEA}" srcOrd="0" destOrd="0" presId="urn:microsoft.com/office/officeart/2005/8/layout/orgChart1#1"/>
    <dgm:cxn modelId="{4E7C7213-C779-4828-BF25-025D56B0C125}" type="presOf" srcId="{C9702042-EA9F-4F64-93D6-ED27635748C8}" destId="{2CB0860A-F179-4620-BFCF-177371A392BF}" srcOrd="0" destOrd="0" presId="urn:microsoft.com/office/officeart/2005/8/layout/orgChart1#1"/>
    <dgm:cxn modelId="{403E7FD4-2B51-4D16-80CD-239820C223C9}" type="presOf" srcId="{2A73A044-CDB0-4FAF-97BF-8076CA4D06CF}" destId="{C574C32E-ABDD-4F40-93A0-6FCEBA93074A}" srcOrd="0" destOrd="0" presId="urn:microsoft.com/office/officeart/2005/8/layout/orgChart1#1"/>
    <dgm:cxn modelId="{F5BCED12-AF36-4DBD-948D-407116FD8691}" type="presOf" srcId="{2FC01EB3-F6EC-42B4-B7B3-16FA48A5574F}" destId="{479D35CA-0F02-4442-8563-98E23C99519F}" srcOrd="0" destOrd="0" presId="urn:microsoft.com/office/officeart/2005/8/layout/orgChart1#1"/>
    <dgm:cxn modelId="{8E1AB65C-1521-4076-AD83-899B787ED1CA}" type="presOf" srcId="{A0331754-AA1A-4D12-AD3E-8B5D87BC0047}" destId="{09B9FE2C-130E-415F-A5E9-2E7D46EBFEDC}" srcOrd="0" destOrd="0" presId="urn:microsoft.com/office/officeart/2005/8/layout/orgChart1#1"/>
    <dgm:cxn modelId="{E6DDDB97-7917-4A9C-8B88-0DD53C076BFC}" type="presOf" srcId="{56D008CB-675E-4DBE-B58C-78FE95EF6C3B}" destId="{9022F442-FF0C-4056-AD6F-C9565AA22A93}" srcOrd="0" destOrd="0" presId="urn:microsoft.com/office/officeart/2005/8/layout/orgChart1#1"/>
    <dgm:cxn modelId="{8AF24AD6-ABD6-4F4E-9338-06B0436C2918}" type="presOf" srcId="{BE0E8448-59AF-42F6-8A20-34BBA9583895}" destId="{FAA5CE60-4802-405B-BD2B-C0D12FE16A77}" srcOrd="0" destOrd="0" presId="urn:microsoft.com/office/officeart/2005/8/layout/orgChart1#1"/>
    <dgm:cxn modelId="{DDF7BA38-8F6A-48A9-91BF-5C4D1B255CF7}" srcId="{2FC01EB3-F6EC-42B4-B7B3-16FA48A5574F}" destId="{C2A3BB00-E4DC-4BEB-9FA0-CBBAD96186CF}" srcOrd="0" destOrd="0" parTransId="{514E54B1-BFAA-4934-AF3C-D88C0F4199B4}" sibTransId="{E2207012-C9E3-48D8-B30E-424419A965C0}"/>
    <dgm:cxn modelId="{58B653F6-6FD5-4033-994A-BADEA123BA72}" srcId="{C2A3BB00-E4DC-4BEB-9FA0-CBBAD96186CF}" destId="{1C4521D0-CB14-4383-A137-2C95A08B3137}" srcOrd="0" destOrd="0" parTransId="{DFA6A77D-5361-4511-B00F-920A9ED772D3}" sibTransId="{41230DE5-2F15-4B96-9332-1835690A7021}"/>
    <dgm:cxn modelId="{C043A1C3-5119-4F14-8A89-0E208D344D92}" type="presOf" srcId="{C9702042-EA9F-4F64-93D6-ED27635748C8}" destId="{1FE92C17-A325-4751-9986-1A5F08ACA753}" srcOrd="1" destOrd="0" presId="urn:microsoft.com/office/officeart/2005/8/layout/orgChart1#1"/>
    <dgm:cxn modelId="{68E39B44-B0A0-4136-ACFB-601D20823918}" type="presOf" srcId="{DFA6A77D-5361-4511-B00F-920A9ED772D3}" destId="{D795B90C-35E5-4A49-9559-72DA5B4FA855}" srcOrd="0" destOrd="0" presId="urn:microsoft.com/office/officeart/2005/8/layout/orgChart1#1"/>
    <dgm:cxn modelId="{5CE3E32D-C191-4C5C-8739-725A532DCBDC}" type="presOf" srcId="{2A73A044-CDB0-4FAF-97BF-8076CA4D06CF}" destId="{D0B77FB5-E37F-4C65-B5F7-EF47B17A83A6}" srcOrd="1" destOrd="0" presId="urn:microsoft.com/office/officeart/2005/8/layout/orgChart1#1"/>
    <dgm:cxn modelId="{1F6D0645-DA7E-4526-95B7-1018ECD53EBD}" srcId="{102B3A52-DF76-435C-B907-17516BBC2C32}" destId="{4C3DF04F-7EA6-45AE-97E2-9164A98BC3D8}" srcOrd="0" destOrd="0" parTransId="{3A43E3DE-5485-4CA3-946E-B0C07630D5F7}" sibTransId="{ECF33583-C70F-47C9-8404-AE6430057170}"/>
    <dgm:cxn modelId="{5835F542-F625-4886-B201-49C40DA0625B}" type="presOf" srcId="{D2C8FA24-E118-492B-BD2B-2491C1EFAFEF}" destId="{56C80FD5-B3ED-4B3D-A68E-2094FA6E4176}" srcOrd="0" destOrd="0" presId="urn:microsoft.com/office/officeart/2005/8/layout/orgChart1#1"/>
    <dgm:cxn modelId="{6E821C25-8D0D-4DBD-AC89-AF93EDDD6801}" type="presOf" srcId="{1C4521D0-CB14-4383-A137-2C95A08B3137}" destId="{C4210684-6951-4AD7-8A9E-D0A4056ABDA8}" srcOrd="1" destOrd="0" presId="urn:microsoft.com/office/officeart/2005/8/layout/orgChart1#1"/>
    <dgm:cxn modelId="{3FCD77A2-ADAE-40FC-B563-4152D0ADE9EE}" srcId="{C2A3BB00-E4DC-4BEB-9FA0-CBBAD96186CF}" destId="{102B3A52-DF76-435C-B907-17516BBC2C32}" srcOrd="1" destOrd="0" parTransId="{56D008CB-675E-4DBE-B58C-78FE95EF6C3B}" sibTransId="{04AE3859-F619-44B2-B58E-3E8580F62762}"/>
    <dgm:cxn modelId="{027131C0-630B-4687-A883-AAB3EAAD22FB}" srcId="{C2A3BB00-E4DC-4BEB-9FA0-CBBAD96186CF}" destId="{2A73A044-CDB0-4FAF-97BF-8076CA4D06CF}" srcOrd="2" destOrd="0" parTransId="{A0331754-AA1A-4D12-AD3E-8B5D87BC0047}" sibTransId="{A008DEAE-0AF8-43BD-9B80-420EDD07D7D1}"/>
    <dgm:cxn modelId="{7AF464C7-3974-4674-9188-6CF35E0CE6CC}" srcId="{102B3A52-DF76-435C-B907-17516BBC2C32}" destId="{C9702042-EA9F-4F64-93D6-ED27635748C8}" srcOrd="2" destOrd="0" parTransId="{D2C8FA24-E118-492B-BD2B-2491C1EFAFEF}" sibTransId="{BF83A053-E2ED-4336-957D-1BCEA18F1339}"/>
    <dgm:cxn modelId="{B7894B42-CB54-4F82-9781-A4B3EAAFE7C9}" type="presOf" srcId="{C2A3BB00-E4DC-4BEB-9FA0-CBBAD96186CF}" destId="{DD8E376A-1241-4C1D-9018-2030EF83D1AC}" srcOrd="0" destOrd="0" presId="urn:microsoft.com/office/officeart/2005/8/layout/orgChart1#1"/>
    <dgm:cxn modelId="{65EE2229-B023-4FAB-B062-44BF3E07D096}" srcId="{102B3A52-DF76-435C-B907-17516BBC2C32}" destId="{BE0E8448-59AF-42F6-8A20-34BBA9583895}" srcOrd="1" destOrd="0" parTransId="{F3DFEFA9-A16B-4FDF-BAB7-F9B224B85115}" sibTransId="{4EAC4BEC-D49C-4215-B8B6-2D855F9C0DEA}"/>
    <dgm:cxn modelId="{48B93CCC-1F18-464D-BD7D-54506CDC98F1}" type="presOf" srcId="{F3DFEFA9-A16B-4FDF-BAB7-F9B224B85115}" destId="{5B77928C-B7F3-4CBC-AB0E-95551EC6F539}" srcOrd="0" destOrd="0" presId="urn:microsoft.com/office/officeart/2005/8/layout/orgChart1#1"/>
    <dgm:cxn modelId="{D9BF966F-A351-4C3A-8A04-53DA53D5BEDC}" type="presOf" srcId="{4C3DF04F-7EA6-45AE-97E2-9164A98BC3D8}" destId="{7234A904-5FB6-4915-9FEB-E2FE805A7C69}" srcOrd="1" destOrd="0" presId="urn:microsoft.com/office/officeart/2005/8/layout/orgChart1#1"/>
    <dgm:cxn modelId="{C7C953B6-5A23-41AD-8847-C227C1B1A139}" type="presParOf" srcId="{479D35CA-0F02-4442-8563-98E23C99519F}" destId="{528A3755-B117-4370-BD50-058881F65925}" srcOrd="0" destOrd="0" presId="urn:microsoft.com/office/officeart/2005/8/layout/orgChart1#1"/>
    <dgm:cxn modelId="{32F99F4C-C0C4-45F3-9840-2EAB5EE4FD19}" type="presParOf" srcId="{528A3755-B117-4370-BD50-058881F65925}" destId="{F5707795-1384-48C5-8DBF-E299A1476EF2}" srcOrd="0" destOrd="0" presId="urn:microsoft.com/office/officeart/2005/8/layout/orgChart1#1"/>
    <dgm:cxn modelId="{46C7DFC1-95F4-40D5-9F5D-7380D2ED85BD}" type="presParOf" srcId="{F5707795-1384-48C5-8DBF-E299A1476EF2}" destId="{DD8E376A-1241-4C1D-9018-2030EF83D1AC}" srcOrd="0" destOrd="0" presId="urn:microsoft.com/office/officeart/2005/8/layout/orgChart1#1"/>
    <dgm:cxn modelId="{ED50E411-96C9-49A4-97A4-1D5BEB712A7B}" type="presParOf" srcId="{F5707795-1384-48C5-8DBF-E299A1476EF2}" destId="{B49A918F-6E86-480C-8C59-50EFA4F2D111}" srcOrd="1" destOrd="0" presId="urn:microsoft.com/office/officeart/2005/8/layout/orgChart1#1"/>
    <dgm:cxn modelId="{EC4282F5-7E75-494B-B656-262C42DE3832}" type="presParOf" srcId="{528A3755-B117-4370-BD50-058881F65925}" destId="{920CC4FA-2A18-402E-A1B5-F4A2D6B36413}" srcOrd="1" destOrd="0" presId="urn:microsoft.com/office/officeart/2005/8/layout/orgChart1#1"/>
    <dgm:cxn modelId="{E6C0C46C-2C4D-4A64-A612-16FD9C100F6A}" type="presParOf" srcId="{920CC4FA-2A18-402E-A1B5-F4A2D6B36413}" destId="{D795B90C-35E5-4A49-9559-72DA5B4FA855}" srcOrd="0" destOrd="0" presId="urn:microsoft.com/office/officeart/2005/8/layout/orgChart1#1"/>
    <dgm:cxn modelId="{6822E09A-6BB2-46AD-B9F8-CB840C8D12F7}" type="presParOf" srcId="{920CC4FA-2A18-402E-A1B5-F4A2D6B36413}" destId="{702D3879-5C8F-4707-98CF-D002FC54064B}" srcOrd="1" destOrd="0" presId="urn:microsoft.com/office/officeart/2005/8/layout/orgChart1#1"/>
    <dgm:cxn modelId="{3BDF9D67-9208-427E-9F55-385995246165}" type="presParOf" srcId="{702D3879-5C8F-4707-98CF-D002FC54064B}" destId="{E4C2EB8F-2D88-4CFC-AA07-3EC194258C9B}" srcOrd="0" destOrd="0" presId="urn:microsoft.com/office/officeart/2005/8/layout/orgChart1#1"/>
    <dgm:cxn modelId="{17963B53-EE5D-45A1-BB66-BEB99923A2AB}" type="presParOf" srcId="{E4C2EB8F-2D88-4CFC-AA07-3EC194258C9B}" destId="{B2117AC8-52BD-496C-A09E-61FF78660C6E}" srcOrd="0" destOrd="0" presId="urn:microsoft.com/office/officeart/2005/8/layout/orgChart1#1"/>
    <dgm:cxn modelId="{01DBD1BF-6A5C-4527-91D3-16EC4D0C67FD}" type="presParOf" srcId="{E4C2EB8F-2D88-4CFC-AA07-3EC194258C9B}" destId="{C4210684-6951-4AD7-8A9E-D0A4056ABDA8}" srcOrd="1" destOrd="0" presId="urn:microsoft.com/office/officeart/2005/8/layout/orgChart1#1"/>
    <dgm:cxn modelId="{5C23421F-5F6F-44F2-BF05-3F2975922F24}" type="presParOf" srcId="{702D3879-5C8F-4707-98CF-D002FC54064B}" destId="{23EA8687-BAE3-4BF7-B46C-2D44C66301D9}" srcOrd="1" destOrd="0" presId="urn:microsoft.com/office/officeart/2005/8/layout/orgChart1#1"/>
    <dgm:cxn modelId="{892A576D-7F8D-4635-BDEF-AE01AFD1838D}" type="presParOf" srcId="{702D3879-5C8F-4707-98CF-D002FC54064B}" destId="{B3C9E695-5390-48F2-B0C1-A6D2878A7372}" srcOrd="2" destOrd="0" presId="urn:microsoft.com/office/officeart/2005/8/layout/orgChart1#1"/>
    <dgm:cxn modelId="{1938F0AF-248C-49E9-8BF3-21B495649EA5}" type="presParOf" srcId="{920CC4FA-2A18-402E-A1B5-F4A2D6B36413}" destId="{9022F442-FF0C-4056-AD6F-C9565AA22A93}" srcOrd="2" destOrd="0" presId="urn:microsoft.com/office/officeart/2005/8/layout/orgChart1#1"/>
    <dgm:cxn modelId="{F817BD64-0355-4418-A876-088973D54FD5}" type="presParOf" srcId="{920CC4FA-2A18-402E-A1B5-F4A2D6B36413}" destId="{BD27EF97-67BF-4A2B-A651-612F48B8E3C9}" srcOrd="3" destOrd="0" presId="urn:microsoft.com/office/officeart/2005/8/layout/orgChart1#1"/>
    <dgm:cxn modelId="{B48762EB-3431-4A0D-83D5-23C8C8C8E97C}" type="presParOf" srcId="{BD27EF97-67BF-4A2B-A651-612F48B8E3C9}" destId="{29B501DF-A8D1-429F-869D-821A083C33C1}" srcOrd="0" destOrd="0" presId="urn:microsoft.com/office/officeart/2005/8/layout/orgChart1#1"/>
    <dgm:cxn modelId="{7AC474D8-F15A-4886-A68A-FDF571564748}" type="presParOf" srcId="{29B501DF-A8D1-429F-869D-821A083C33C1}" destId="{E2EE6CAF-6B3E-4911-82F0-76BE21761FA3}" srcOrd="0" destOrd="0" presId="urn:microsoft.com/office/officeart/2005/8/layout/orgChart1#1"/>
    <dgm:cxn modelId="{02FC1B06-DCE5-432C-9C2C-1A7CD68BCC96}" type="presParOf" srcId="{29B501DF-A8D1-429F-869D-821A083C33C1}" destId="{9C67C031-22CA-4170-A90A-E6EBA6FE4F53}" srcOrd="1" destOrd="0" presId="urn:microsoft.com/office/officeart/2005/8/layout/orgChart1#1"/>
    <dgm:cxn modelId="{93777D4F-5732-4A6B-9FE9-5F5F8B4DEEE6}" type="presParOf" srcId="{BD27EF97-67BF-4A2B-A651-612F48B8E3C9}" destId="{B30729CB-FAD9-4930-85DA-5736E1ABA598}" srcOrd="1" destOrd="0" presId="urn:microsoft.com/office/officeart/2005/8/layout/orgChart1#1"/>
    <dgm:cxn modelId="{A118CA46-B511-4437-8E77-E08BE614EC71}" type="presParOf" srcId="{B30729CB-FAD9-4930-85DA-5736E1ABA598}" destId="{6607617A-6F13-497C-AE8B-A20460271FEA}" srcOrd="0" destOrd="0" presId="urn:microsoft.com/office/officeart/2005/8/layout/orgChart1#1"/>
    <dgm:cxn modelId="{56963824-A910-4F49-97C9-1D4317E0610A}" type="presParOf" srcId="{B30729CB-FAD9-4930-85DA-5736E1ABA598}" destId="{CDAF531F-7AAB-42B6-9123-B80CAD89131B}" srcOrd="1" destOrd="0" presId="urn:microsoft.com/office/officeart/2005/8/layout/orgChart1#1"/>
    <dgm:cxn modelId="{B98DBE17-7FE2-4262-A58F-EDD62BCCC441}" type="presParOf" srcId="{CDAF531F-7AAB-42B6-9123-B80CAD89131B}" destId="{1BCBB11D-0299-4BD1-9190-AE61781541FB}" srcOrd="0" destOrd="0" presId="urn:microsoft.com/office/officeart/2005/8/layout/orgChart1#1"/>
    <dgm:cxn modelId="{69BBB448-4354-4742-B2D0-B1F2F2F8F1D3}" type="presParOf" srcId="{1BCBB11D-0299-4BD1-9190-AE61781541FB}" destId="{A6805568-10F7-477B-A438-BC13C4EE7221}" srcOrd="0" destOrd="0" presId="urn:microsoft.com/office/officeart/2005/8/layout/orgChart1#1"/>
    <dgm:cxn modelId="{CAD8D3EB-CDCF-430B-9F6A-EA4272ACDD6E}" type="presParOf" srcId="{1BCBB11D-0299-4BD1-9190-AE61781541FB}" destId="{7234A904-5FB6-4915-9FEB-E2FE805A7C69}" srcOrd="1" destOrd="0" presId="urn:microsoft.com/office/officeart/2005/8/layout/orgChart1#1"/>
    <dgm:cxn modelId="{83D469DB-E436-400C-8213-32D7304A2608}" type="presParOf" srcId="{CDAF531F-7AAB-42B6-9123-B80CAD89131B}" destId="{99EBA1ED-5D2A-45B4-900F-7933FDB7242E}" srcOrd="1" destOrd="0" presId="urn:microsoft.com/office/officeart/2005/8/layout/orgChart1#1"/>
    <dgm:cxn modelId="{96B7DE95-F56A-466E-8597-AC00A55D804F}" type="presParOf" srcId="{CDAF531F-7AAB-42B6-9123-B80CAD89131B}" destId="{325B8D70-CD18-44D4-88CB-69FFA9A22BBF}" srcOrd="2" destOrd="0" presId="urn:microsoft.com/office/officeart/2005/8/layout/orgChart1#1"/>
    <dgm:cxn modelId="{9D867ECF-4ED9-4885-8ACC-B10789924E30}" type="presParOf" srcId="{B30729CB-FAD9-4930-85DA-5736E1ABA598}" destId="{5B77928C-B7F3-4CBC-AB0E-95551EC6F539}" srcOrd="2" destOrd="0" presId="urn:microsoft.com/office/officeart/2005/8/layout/orgChart1#1"/>
    <dgm:cxn modelId="{6D2BD145-097C-461A-8FBB-A20E4C50B062}" type="presParOf" srcId="{B30729CB-FAD9-4930-85DA-5736E1ABA598}" destId="{1F44A5A6-D64F-475A-9E20-BCA3B2FCD6AF}" srcOrd="3" destOrd="0" presId="urn:microsoft.com/office/officeart/2005/8/layout/orgChart1#1"/>
    <dgm:cxn modelId="{3D8FBD7E-4D70-4F58-BF36-9E4216363A89}" type="presParOf" srcId="{1F44A5A6-D64F-475A-9E20-BCA3B2FCD6AF}" destId="{55D61874-A5E5-4971-89A6-05217B3A710C}" srcOrd="0" destOrd="0" presId="urn:microsoft.com/office/officeart/2005/8/layout/orgChart1#1"/>
    <dgm:cxn modelId="{C7CD6522-45EA-4312-881D-285E1ABFF128}" type="presParOf" srcId="{55D61874-A5E5-4971-89A6-05217B3A710C}" destId="{FAA5CE60-4802-405B-BD2B-C0D12FE16A77}" srcOrd="0" destOrd="0" presId="urn:microsoft.com/office/officeart/2005/8/layout/orgChart1#1"/>
    <dgm:cxn modelId="{BCDC0FD5-EDF2-4C2F-A6E3-BE20BF38AE53}" type="presParOf" srcId="{55D61874-A5E5-4971-89A6-05217B3A710C}" destId="{6ECD725A-6770-424F-9DA6-324957211536}" srcOrd="1" destOrd="0" presId="urn:microsoft.com/office/officeart/2005/8/layout/orgChart1#1"/>
    <dgm:cxn modelId="{74682472-0BB8-4CF1-B91C-08596CF6C20D}" type="presParOf" srcId="{1F44A5A6-D64F-475A-9E20-BCA3B2FCD6AF}" destId="{81ADBCF0-711B-4115-B78E-BF7EFE499518}" srcOrd="1" destOrd="0" presId="urn:microsoft.com/office/officeart/2005/8/layout/orgChart1#1"/>
    <dgm:cxn modelId="{F3393BAE-C31D-4B2A-B5E0-08FBF84DD482}" type="presParOf" srcId="{1F44A5A6-D64F-475A-9E20-BCA3B2FCD6AF}" destId="{1205CF53-5B74-47B8-A1E0-CE4971D1F5E3}" srcOrd="2" destOrd="0" presId="urn:microsoft.com/office/officeart/2005/8/layout/orgChart1#1"/>
    <dgm:cxn modelId="{67C20D52-7CBD-49BC-A641-DD22088466B2}" type="presParOf" srcId="{B30729CB-FAD9-4930-85DA-5736E1ABA598}" destId="{56C80FD5-B3ED-4B3D-A68E-2094FA6E4176}" srcOrd="4" destOrd="0" presId="urn:microsoft.com/office/officeart/2005/8/layout/orgChart1#1"/>
    <dgm:cxn modelId="{67735EC1-3A0D-4B19-ADAB-0515EBE9251D}" type="presParOf" srcId="{B30729CB-FAD9-4930-85DA-5736E1ABA598}" destId="{B802C95F-A282-4392-9E6E-90BB40D5AC9D}" srcOrd="5" destOrd="0" presId="urn:microsoft.com/office/officeart/2005/8/layout/orgChart1#1"/>
    <dgm:cxn modelId="{1FBCCE22-28B6-444C-A9FD-65E4AB7294D1}" type="presParOf" srcId="{B802C95F-A282-4392-9E6E-90BB40D5AC9D}" destId="{27037EC5-7C31-4F0D-B0FA-C40317A47FA3}" srcOrd="0" destOrd="0" presId="urn:microsoft.com/office/officeart/2005/8/layout/orgChart1#1"/>
    <dgm:cxn modelId="{1897EA62-C130-4330-92A6-88459AF6127B}" type="presParOf" srcId="{27037EC5-7C31-4F0D-B0FA-C40317A47FA3}" destId="{2CB0860A-F179-4620-BFCF-177371A392BF}" srcOrd="0" destOrd="0" presId="urn:microsoft.com/office/officeart/2005/8/layout/orgChart1#1"/>
    <dgm:cxn modelId="{756B5714-ACD8-4F90-8736-E3AB8CEF8B4B}" type="presParOf" srcId="{27037EC5-7C31-4F0D-B0FA-C40317A47FA3}" destId="{1FE92C17-A325-4751-9986-1A5F08ACA753}" srcOrd="1" destOrd="0" presId="urn:microsoft.com/office/officeart/2005/8/layout/orgChart1#1"/>
    <dgm:cxn modelId="{5B6AEE1D-DE7F-42C2-9414-F084F6425DAF}" type="presParOf" srcId="{B802C95F-A282-4392-9E6E-90BB40D5AC9D}" destId="{DA38316F-EB00-413D-9E62-A457DC27CD9C}" srcOrd="1" destOrd="0" presId="urn:microsoft.com/office/officeart/2005/8/layout/orgChart1#1"/>
    <dgm:cxn modelId="{4866C3E9-7E47-47CA-80BF-6A7E687D47E6}" type="presParOf" srcId="{B802C95F-A282-4392-9E6E-90BB40D5AC9D}" destId="{2AD18E4B-34A2-44B7-99AB-F59131FA3182}" srcOrd="2" destOrd="0" presId="urn:microsoft.com/office/officeart/2005/8/layout/orgChart1#1"/>
    <dgm:cxn modelId="{29E8683B-A351-44E0-BFF3-463DB1C0E424}" type="presParOf" srcId="{BD27EF97-67BF-4A2B-A651-612F48B8E3C9}" destId="{3DCD1C88-F527-432C-BCB8-0E8C6C69E1EA}" srcOrd="2" destOrd="0" presId="urn:microsoft.com/office/officeart/2005/8/layout/orgChart1#1"/>
    <dgm:cxn modelId="{A14CAE61-6EB2-4209-86F9-16DE2BDB8DBE}" type="presParOf" srcId="{920CC4FA-2A18-402E-A1B5-F4A2D6B36413}" destId="{09B9FE2C-130E-415F-A5E9-2E7D46EBFEDC}" srcOrd="4" destOrd="0" presId="urn:microsoft.com/office/officeart/2005/8/layout/orgChart1#1"/>
    <dgm:cxn modelId="{7C238850-09A2-46BF-88F1-BE132DEACCE3}" type="presParOf" srcId="{920CC4FA-2A18-402E-A1B5-F4A2D6B36413}" destId="{E01AEC89-B195-4B24-8268-33CD8A8A979D}" srcOrd="5" destOrd="0" presId="urn:microsoft.com/office/officeart/2005/8/layout/orgChart1#1"/>
    <dgm:cxn modelId="{16C90EA6-E8D3-42FF-8B97-1F24B773AC77}" type="presParOf" srcId="{E01AEC89-B195-4B24-8268-33CD8A8A979D}" destId="{3664CBE7-B2EF-4A03-AD2F-8F9A8722A125}" srcOrd="0" destOrd="0" presId="urn:microsoft.com/office/officeart/2005/8/layout/orgChart1#1"/>
    <dgm:cxn modelId="{296883AD-108E-4E17-A4D3-5EF2A4B7BA6C}" type="presParOf" srcId="{3664CBE7-B2EF-4A03-AD2F-8F9A8722A125}" destId="{C574C32E-ABDD-4F40-93A0-6FCEBA93074A}" srcOrd="0" destOrd="0" presId="urn:microsoft.com/office/officeart/2005/8/layout/orgChart1#1"/>
    <dgm:cxn modelId="{A86BDC77-1E7F-4DB0-A9B9-2B49E17F6335}" type="presParOf" srcId="{3664CBE7-B2EF-4A03-AD2F-8F9A8722A125}" destId="{D0B77FB5-E37F-4C65-B5F7-EF47B17A83A6}" srcOrd="1" destOrd="0" presId="urn:microsoft.com/office/officeart/2005/8/layout/orgChart1#1"/>
    <dgm:cxn modelId="{41C949CC-7DFA-4F9E-9CE8-FAD0459ECC5F}" type="presParOf" srcId="{E01AEC89-B195-4B24-8268-33CD8A8A979D}" destId="{6E2154FC-3A4D-47F8-B6C5-A256BF4CEB98}" srcOrd="1" destOrd="0" presId="urn:microsoft.com/office/officeart/2005/8/layout/orgChart1#1"/>
    <dgm:cxn modelId="{1F8D78A7-0341-431E-93FA-4DA8BCA8D8A8}" type="presParOf" srcId="{E01AEC89-B195-4B24-8268-33CD8A8A979D}" destId="{2BA07DFC-2C98-423A-B889-1D0453F1B197}" srcOrd="2" destOrd="0" presId="urn:microsoft.com/office/officeart/2005/8/layout/orgChart1#1"/>
    <dgm:cxn modelId="{FE7BA9AC-C741-4487-BFF4-1ACD26745A52}" type="presParOf" srcId="{528A3755-B117-4370-BD50-058881F65925}" destId="{F4BF4633-3BFE-4F7D-A579-70FF3C7EAACC}"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359400" cy="5365750"/>
        <a:chOff x="0" y="0"/>
        <a:chExt cx="5359400" cy="5365750"/>
      </a:xfrm>
    </dsp:grpSpPr>
    <dsp:sp modelId="{D795B90C-35E5-4A49-9559-72DA5B4FA855}">
      <dsp:nvSpPr>
        <dsp:cNvPr id="5" name="任意多边形 4"/>
        <dsp:cNvSpPr/>
      </dsp:nvSpPr>
      <dsp:spPr bwMode="white">
        <a:xfrm>
          <a:off x="1946982" y="563629"/>
          <a:ext cx="169089" cy="518539"/>
        </a:xfrm>
        <a:custGeom>
          <a:avLst/>
          <a:gdLst/>
          <a:ahLst/>
          <a:cxnLst/>
          <a:rect l="0" t="0" r="0" b="0"/>
          <a:pathLst>
            <a:path>
              <a:moveTo>
                <a:pt x="0" y="0"/>
              </a:moveTo>
              <a:lnTo>
                <a:pt x="0" y="518374"/>
              </a:lnTo>
              <a:lnTo>
                <a:pt x="169035" y="518374"/>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518539"/>
      </dsp:txXfrm>
    </dsp:sp>
    <dsp:sp modelId="{9022F442-FF0C-4056-AD6F-C9565AA22A93}">
      <dsp:nvSpPr>
        <dsp:cNvPr id="8" name="任意多边形 7"/>
        <dsp:cNvSpPr/>
      </dsp:nvSpPr>
      <dsp:spPr bwMode="white">
        <a:xfrm>
          <a:off x="1946982" y="563629"/>
          <a:ext cx="169089" cy="1318892"/>
        </a:xfrm>
        <a:custGeom>
          <a:avLst/>
          <a:gdLst/>
          <a:ahLst/>
          <a:cxnLst/>
          <a:rect l="0" t="0" r="0" b="0"/>
          <a:pathLst>
            <a:path>
              <a:moveTo>
                <a:pt x="0" y="0"/>
              </a:moveTo>
              <a:lnTo>
                <a:pt x="0" y="1318473"/>
              </a:lnTo>
              <a:lnTo>
                <a:pt x="169035" y="1318473"/>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1318892"/>
      </dsp:txXfrm>
    </dsp:sp>
    <dsp:sp modelId="{6607617A-6F13-497C-AE8B-A20460271FEA}">
      <dsp:nvSpPr>
        <dsp:cNvPr id="11" name="任意多边形 10"/>
        <dsp:cNvSpPr/>
      </dsp:nvSpPr>
      <dsp:spPr bwMode="white">
        <a:xfrm>
          <a:off x="2228797" y="2164336"/>
          <a:ext cx="169089" cy="518539"/>
        </a:xfrm>
        <a:custGeom>
          <a:avLst/>
          <a:gdLst/>
          <a:ahLst/>
          <a:cxnLst/>
          <a:rect l="0" t="0" r="0" b="0"/>
          <a:pathLst>
            <a:path>
              <a:moveTo>
                <a:pt x="0" y="0"/>
              </a:moveTo>
              <a:lnTo>
                <a:pt x="0" y="518374"/>
              </a:lnTo>
              <a:lnTo>
                <a:pt x="169035" y="518374"/>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518539"/>
      </dsp:txXfrm>
    </dsp:sp>
    <dsp:sp modelId="{5B77928C-B7F3-4CBC-AB0E-95551EC6F539}">
      <dsp:nvSpPr>
        <dsp:cNvPr id="14" name="任意多边形 13"/>
        <dsp:cNvSpPr/>
      </dsp:nvSpPr>
      <dsp:spPr bwMode="white">
        <a:xfrm>
          <a:off x="2228797" y="2164336"/>
          <a:ext cx="169089" cy="1318892"/>
        </a:xfrm>
        <a:custGeom>
          <a:avLst/>
          <a:gdLst/>
          <a:ahLst/>
          <a:cxnLst/>
          <a:rect l="0" t="0" r="0" b="0"/>
          <a:pathLst>
            <a:path>
              <a:moveTo>
                <a:pt x="0" y="0"/>
              </a:moveTo>
              <a:lnTo>
                <a:pt x="0" y="1318473"/>
              </a:lnTo>
              <a:lnTo>
                <a:pt x="169035" y="1318473"/>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1318892"/>
      </dsp:txXfrm>
    </dsp:sp>
    <dsp:sp modelId="{56C80FD5-B3ED-4B3D-A68E-2094FA6E4176}">
      <dsp:nvSpPr>
        <dsp:cNvPr id="17" name="任意多边形 16"/>
        <dsp:cNvSpPr/>
      </dsp:nvSpPr>
      <dsp:spPr bwMode="white">
        <a:xfrm>
          <a:off x="2228797" y="2164336"/>
          <a:ext cx="169089" cy="2119246"/>
        </a:xfrm>
        <a:custGeom>
          <a:avLst/>
          <a:gdLst/>
          <a:ahLst/>
          <a:cxnLst/>
          <a:rect l="0" t="0" r="0" b="0"/>
          <a:pathLst>
            <a:path>
              <a:moveTo>
                <a:pt x="0" y="0"/>
              </a:moveTo>
              <a:lnTo>
                <a:pt x="0" y="2118572"/>
              </a:lnTo>
              <a:lnTo>
                <a:pt x="169035" y="2118572"/>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2119246"/>
      </dsp:txXfrm>
    </dsp:sp>
    <dsp:sp modelId="{09B9FE2C-130E-415F-A5E9-2E7D46EBFEDC}">
      <dsp:nvSpPr>
        <dsp:cNvPr id="20" name="任意多边形 19"/>
        <dsp:cNvSpPr/>
      </dsp:nvSpPr>
      <dsp:spPr bwMode="white">
        <a:xfrm>
          <a:off x="1946982" y="563629"/>
          <a:ext cx="169089" cy="4520306"/>
        </a:xfrm>
        <a:custGeom>
          <a:avLst/>
          <a:gdLst/>
          <a:ahLst/>
          <a:cxnLst/>
          <a:rect l="0" t="0" r="0" b="0"/>
          <a:pathLst>
            <a:path>
              <a:moveTo>
                <a:pt x="0" y="0"/>
              </a:moveTo>
              <a:lnTo>
                <a:pt x="0" y="4518869"/>
              </a:lnTo>
              <a:lnTo>
                <a:pt x="169035" y="4518869"/>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4520306"/>
      </dsp:txXfrm>
    </dsp:sp>
    <dsp:sp modelId="{DD8E376A-1241-4C1D-9018-2030EF83D1AC}">
      <dsp:nvSpPr>
        <dsp:cNvPr id="3" name="矩形 2"/>
        <dsp:cNvSpPr/>
      </dsp:nvSpPr>
      <dsp:spPr bwMode="white">
        <a:xfrm>
          <a:off x="1834256" y="0"/>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提案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4</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关于公司发行股份及支付现金购买资产并募集配套资金暨关联交易方案的提案</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4.00</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p>
      </dsp:txBody>
      <dsp:txXfrm>
        <a:off x="1834256" y="0"/>
        <a:ext cx="1127258" cy="563629"/>
      </dsp:txXfrm>
    </dsp:sp>
    <dsp:sp modelId="{B2117AC8-52BD-496C-A09E-61FF78660C6E}">
      <dsp:nvSpPr>
        <dsp:cNvPr id="6" name="矩形 5"/>
        <dsp:cNvSpPr/>
      </dsp:nvSpPr>
      <dsp:spPr bwMode="white">
        <a:xfrm>
          <a:off x="2116071" y="800353"/>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本次交易的整体方案</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4.01</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endParaRPr lang="zh-CN" altLang="en-US" smtClean="0">
            <a:solidFill>
              <a:sysClr val="window" lastClr="CCE8CF"/>
            </a:solidFill>
            <a:latin typeface="Calibri" panose="020F0502020204030204"/>
            <a:ea typeface="宋体" panose="02010600030101010101" charset="-122"/>
            <a:cs typeface="+mn-cs"/>
          </a:endParaRPr>
        </a:p>
      </dsp:txBody>
      <dsp:txXfrm>
        <a:off x="2116071" y="800353"/>
        <a:ext cx="1127258" cy="563629"/>
      </dsp:txXfrm>
    </dsp:sp>
    <dsp:sp modelId="{E2EE6CAF-6B3E-4911-82F0-76BE21761FA3}">
      <dsp:nvSpPr>
        <dsp:cNvPr id="9" name="矩形 8"/>
        <dsp:cNvSpPr/>
      </dsp:nvSpPr>
      <dsp:spPr bwMode="white">
        <a:xfrm>
          <a:off x="2116071" y="1600707"/>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本次发行股份及支付现金购买资产方案 </a:t>
          </a:r>
          <a:endParaRPr lang="zh-CN" altLang="en-US" b="0" i="0" u="none" strike="noStrike" kern="100" baseline="0" smtClean="0">
            <a:solidFill>
              <a:sysClr val="window" lastClr="CCE8CF"/>
            </a:solidFill>
            <a:latin typeface="Times New Roman" panose="02020603050405020304"/>
            <a:ea typeface="宋体" panose="0201060003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（不作为投票对象，不予编码）</a:t>
          </a:r>
        </a:p>
      </dsp:txBody>
      <dsp:txXfrm>
        <a:off x="2116071" y="1600707"/>
        <a:ext cx="1127258" cy="563629"/>
      </dsp:txXfrm>
    </dsp:sp>
    <dsp:sp modelId="{A6805568-10F7-477B-A438-BC13C4EE7221}">
      <dsp:nvSpPr>
        <dsp:cNvPr id="12" name="矩形 11"/>
        <dsp:cNvSpPr/>
      </dsp:nvSpPr>
      <dsp:spPr bwMode="white">
        <a:xfrm>
          <a:off x="2397885" y="2401060"/>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交易对方 </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4.02</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endParaRPr lang="zh-CN" altLang="en-US" smtClean="0">
            <a:solidFill>
              <a:sysClr val="window" lastClr="CCE8CF"/>
            </a:solidFill>
            <a:latin typeface="Calibri" panose="020F0502020204030204"/>
            <a:ea typeface="宋体" panose="02010600030101010101" charset="-122"/>
            <a:cs typeface="+mn-cs"/>
          </a:endParaRPr>
        </a:p>
      </dsp:txBody>
      <dsp:txXfrm>
        <a:off x="2397885" y="2401060"/>
        <a:ext cx="1127258" cy="563629"/>
      </dsp:txXfrm>
    </dsp:sp>
    <dsp:sp modelId="{FAA5CE60-4802-405B-BD2B-C0D12FE16A77}">
      <dsp:nvSpPr>
        <dsp:cNvPr id="15" name="矩形 14"/>
        <dsp:cNvSpPr/>
      </dsp:nvSpPr>
      <dsp:spPr bwMode="white">
        <a:xfrm>
          <a:off x="2397885" y="3201414"/>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标的资产</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4.03</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endParaRPr lang="zh-CN" altLang="en-US" b="1" i="0" u="sng" strike="noStrike" kern="100" baseline="0" smtClean="0">
            <a:solidFill>
              <a:sysClr val="window" lastClr="CCE8CF"/>
            </a:solidFill>
            <a:latin typeface="黑体" panose="02010609060101010101" charset="-122"/>
            <a:ea typeface="黑体" panose="02010609060101010101" charset="-122"/>
            <a:cs typeface="+mn-cs"/>
          </a:endParaRPr>
        </a:p>
        <a:p>
          <a:pPr marR="0" lvl="0" algn="l" rtl="0">
            <a:lnSpc>
              <a:spcPct val="100000"/>
            </a:lnSpc>
            <a:spcBef>
              <a:spcPct val="0"/>
            </a:spcBef>
            <a:spcAft>
              <a:spcPct val="35000"/>
            </a:spcAft>
          </a:pPr>
          <a:endParaRPr lang="zh-CN" altLang="en-US" b="0" i="0" u="none" strike="noStrike" kern="100" baseline="0" smtClean="0">
            <a:solidFill>
              <a:sysClr val="window" lastClr="CCE8CF"/>
            </a:solidFill>
            <a:latin typeface="Times New Roman" panose="02020603050405020304"/>
            <a:ea typeface="宋体" panose="02010600030101010101" charset="-122"/>
            <a:cs typeface="+mn-cs"/>
          </a:endParaRPr>
        </a:p>
      </dsp:txBody>
      <dsp:txXfrm>
        <a:off x="2397885" y="3201414"/>
        <a:ext cx="1127258" cy="563629"/>
      </dsp:txXfrm>
    </dsp:sp>
    <dsp:sp modelId="{2CB0860A-F179-4620-BFCF-177371A392BF}">
      <dsp:nvSpPr>
        <dsp:cNvPr id="18" name="矩形 17"/>
        <dsp:cNvSpPr/>
      </dsp:nvSpPr>
      <dsp:spPr bwMode="white">
        <a:xfrm>
          <a:off x="2397885" y="4001767"/>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标的资产的定价依据及交易价格</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4.04</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p>
      </dsp:txBody>
      <dsp:txXfrm>
        <a:off x="2397885" y="4001767"/>
        <a:ext cx="1127258" cy="563629"/>
      </dsp:txXfrm>
    </dsp:sp>
    <dsp:sp modelId="{C574C32E-ABDD-4F40-93A0-6FCEBA93074A}">
      <dsp:nvSpPr>
        <dsp:cNvPr id="21" name="矩形 20"/>
        <dsp:cNvSpPr/>
      </dsp:nvSpPr>
      <dsp:spPr bwMode="white">
        <a:xfrm>
          <a:off x="2116071" y="4802121"/>
          <a:ext cx="1127258" cy="563629"/>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CCE8C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CCE8C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CCE8CF"/>
              </a:solidFill>
              <a:latin typeface="楷体" panose="02010609060101010101" charset="-122"/>
              <a:ea typeface="楷体" panose="02010609060101010101" charset="-122"/>
              <a:cs typeface="+mn-cs"/>
            </a:rPr>
            <a:t>本次发行股份募集资金方案 </a:t>
          </a:r>
          <a:endParaRPr lang="zh-CN" altLang="en-US" b="0" i="0" u="none" strike="noStrike" kern="100" baseline="0" smtClean="0">
            <a:solidFill>
              <a:sysClr val="window" lastClr="CCE8C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CCE8CF"/>
              </a:solidFill>
              <a:latin typeface="黑体" panose="02010609060101010101" charset="-122"/>
              <a:ea typeface="黑体" panose="02010609060101010101" charset="-122"/>
              <a:cs typeface="+mn-cs"/>
            </a:rPr>
            <a:t>4.05</a:t>
          </a:r>
          <a:r>
            <a:rPr lang="zh-CN" altLang="en-US" b="1" i="0" u="sng" strike="noStrike" kern="100" baseline="0" smtClean="0">
              <a:solidFill>
                <a:sysClr val="window" lastClr="CCE8CF"/>
              </a:solidFill>
              <a:latin typeface="黑体" panose="02010609060101010101" charset="-122"/>
              <a:ea typeface="黑体" panose="02010609060101010101" charset="-122"/>
              <a:cs typeface="+mn-cs"/>
            </a:rPr>
            <a:t>）</a:t>
          </a:r>
        </a:p>
      </dsp:txBody>
      <dsp:txXfrm>
        <a:off x="2116071" y="4802121"/>
        <a:ext cx="1127258" cy="563629"/>
      </dsp:txXfrm>
    </dsp:sp>
    <dsp:sp modelId="{B49A918F-6E86-480C-8C59-50EFA4F2D111}">
      <dsp:nvSpPr>
        <dsp:cNvPr id="4" name="矩形 3" hidden="1"/>
        <dsp:cNvSpPr/>
      </dsp:nvSpPr>
      <dsp:spPr>
        <a:xfrm>
          <a:off x="1834256" y="0"/>
          <a:ext cx="225452" cy="563629"/>
        </a:xfrm>
        <a:prstGeom prst="rect">
          <a:avLst/>
        </a:prstGeom>
      </dsp:spPr>
      <dsp:txXfrm>
        <a:off x="1834256" y="0"/>
        <a:ext cx="225452" cy="563629"/>
      </dsp:txXfrm>
    </dsp:sp>
    <dsp:sp modelId="{C4210684-6951-4AD7-8A9E-D0A4056ABDA8}">
      <dsp:nvSpPr>
        <dsp:cNvPr id="7" name="矩形 6" hidden="1"/>
        <dsp:cNvSpPr/>
      </dsp:nvSpPr>
      <dsp:spPr>
        <a:xfrm>
          <a:off x="3017878" y="800353"/>
          <a:ext cx="225452" cy="563629"/>
        </a:xfrm>
        <a:prstGeom prst="rect">
          <a:avLst/>
        </a:prstGeom>
      </dsp:spPr>
      <dsp:txXfrm>
        <a:off x="3017878" y="800353"/>
        <a:ext cx="225452" cy="563629"/>
      </dsp:txXfrm>
    </dsp:sp>
    <dsp:sp modelId="{9C67C031-22CA-4170-A90A-E6EBA6FE4F53}">
      <dsp:nvSpPr>
        <dsp:cNvPr id="10" name="矩形 9" hidden="1"/>
        <dsp:cNvSpPr/>
      </dsp:nvSpPr>
      <dsp:spPr>
        <a:xfrm>
          <a:off x="2116071" y="1600707"/>
          <a:ext cx="225452" cy="563629"/>
        </a:xfrm>
        <a:prstGeom prst="rect">
          <a:avLst/>
        </a:prstGeom>
      </dsp:spPr>
      <dsp:txXfrm>
        <a:off x="2116071" y="1600707"/>
        <a:ext cx="225452" cy="563629"/>
      </dsp:txXfrm>
    </dsp:sp>
    <dsp:sp modelId="{7234A904-5FB6-4915-9FEB-E2FE805A7C69}">
      <dsp:nvSpPr>
        <dsp:cNvPr id="13" name="矩形 12" hidden="1"/>
        <dsp:cNvSpPr/>
      </dsp:nvSpPr>
      <dsp:spPr>
        <a:xfrm>
          <a:off x="2397885" y="2401060"/>
          <a:ext cx="225452" cy="563629"/>
        </a:xfrm>
        <a:prstGeom prst="rect">
          <a:avLst/>
        </a:prstGeom>
      </dsp:spPr>
      <dsp:txXfrm>
        <a:off x="2397885" y="2401060"/>
        <a:ext cx="225452" cy="563629"/>
      </dsp:txXfrm>
    </dsp:sp>
    <dsp:sp modelId="{6ECD725A-6770-424F-9DA6-324957211536}">
      <dsp:nvSpPr>
        <dsp:cNvPr id="16" name="矩形 15" hidden="1"/>
        <dsp:cNvSpPr/>
      </dsp:nvSpPr>
      <dsp:spPr>
        <a:xfrm>
          <a:off x="2397885" y="3201414"/>
          <a:ext cx="225452" cy="563629"/>
        </a:xfrm>
        <a:prstGeom prst="rect">
          <a:avLst/>
        </a:prstGeom>
      </dsp:spPr>
      <dsp:txXfrm>
        <a:off x="2397885" y="3201414"/>
        <a:ext cx="225452" cy="563629"/>
      </dsp:txXfrm>
    </dsp:sp>
    <dsp:sp modelId="{1FE92C17-A325-4751-9986-1A5F08ACA753}">
      <dsp:nvSpPr>
        <dsp:cNvPr id="19" name="矩形 18" hidden="1"/>
        <dsp:cNvSpPr/>
      </dsp:nvSpPr>
      <dsp:spPr>
        <a:xfrm>
          <a:off x="2397885" y="4001767"/>
          <a:ext cx="225452" cy="563629"/>
        </a:xfrm>
        <a:prstGeom prst="rect">
          <a:avLst/>
        </a:prstGeom>
      </dsp:spPr>
      <dsp:txXfrm>
        <a:off x="2397885" y="4001767"/>
        <a:ext cx="225452" cy="563629"/>
      </dsp:txXfrm>
    </dsp:sp>
    <dsp:sp modelId="{D0B77FB5-E37F-4C65-B5F7-EF47B17A83A6}">
      <dsp:nvSpPr>
        <dsp:cNvPr id="22" name="矩形 21" hidden="1"/>
        <dsp:cNvSpPr/>
      </dsp:nvSpPr>
      <dsp:spPr>
        <a:xfrm>
          <a:off x="3017878" y="4802121"/>
          <a:ext cx="225452" cy="563629"/>
        </a:xfrm>
        <a:prstGeom prst="rect">
          <a:avLst/>
        </a:prstGeom>
      </dsp:spPr>
      <dsp:txXfrm>
        <a:off x="3017878" y="4802121"/>
        <a:ext cx="225452" cy="5636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81478-D457-45E9-89A6-070894837C70}">
  <ds:schemaRefs/>
</ds:datastoreItem>
</file>

<file path=docProps/app.xml><?xml version="1.0" encoding="utf-8"?>
<Properties xmlns="http://schemas.openxmlformats.org/officeDocument/2006/extended-properties" xmlns:vt="http://schemas.openxmlformats.org/officeDocument/2006/docPropsVTypes">
  <Company>szse</Company>
  <Pages>297</Pages>
  <Words>18002</Words>
  <Characters>102614</Characters>
  <Lines>855</Lines>
  <Paragraphs>240</Paragraphs>
  <TotalTime>16</TotalTime>
  <ScaleCrop>false</ScaleCrop>
  <LinksUpToDate>false</LinksUpToDate>
  <CharactersWithSpaces>120376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2023-12-15T23:58:00Z</dcterms:created>
  <dc:creator>陈朝晖</dc:creator>
  <cp:lastModifiedBy>xxfb01</cp:lastModifiedBy>
  <dcterms:modified xsi:type="dcterms:W3CDTF">2026-07-03T07:41:51Z</dcterms:modified>
  <dc:title>深圳证券交易所创业板上市公司自律监管指南第2号——公告格式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ContentTypeId">
    <vt:lpwstr>0x010100277BE70400348A4D8EEC7D959D14FCE9</vt:lpwstr>
  </property>
  <property fmtid="{D5CDD505-2E9C-101B-9397-08002B2CF9AE}" pid="4" name="KSOProductBuildVer">
    <vt:lpwstr>2052-11.8.2.12094</vt:lpwstr>
  </property>
  <property fmtid="{D5CDD505-2E9C-101B-9397-08002B2CF9AE}" pid="5" name="ICV">
    <vt:lpwstr>A70DEA208C83456FAC9789C353D76651</vt:lpwstr>
  </property>
</Properties>
</file>