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Cs w:val="32"/>
        </w:rPr>
      </w:pPr>
      <w:r>
        <w:rPr>
          <w:rFonts w:hint="eastAsia" w:ascii="黑体" w:hAnsi="黑体" w:eastAsia="黑体" w:cs="黑体"/>
          <w:szCs w:val="32"/>
        </w:rPr>
        <w:t>附件1</w:t>
      </w:r>
    </w:p>
    <w:p>
      <w:pPr>
        <w:jc w:val="center"/>
        <w:rPr>
          <w:rFonts w:hint="eastAsia" w:ascii="方正小标宋简体" w:hAnsi="黑体" w:eastAsia="方正小标宋简体"/>
          <w:szCs w:val="32"/>
        </w:rPr>
      </w:pPr>
    </w:p>
    <w:p>
      <w:pPr>
        <w:ind w:firstLine="0" w:firstLineChars="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深圳证券交易所上市公司自律监管指南</w:t>
      </w:r>
    </w:p>
    <w:p>
      <w:pPr>
        <w:ind w:firstLine="0" w:firstLineChars="0"/>
        <w:jc w:val="center"/>
        <w:rPr>
          <w:rFonts w:hint="eastAsia" w:ascii="方正小标宋简体" w:hAnsi="黑体" w:eastAsia="方正小标宋简体"/>
          <w:szCs w:val="32"/>
        </w:rPr>
      </w:pPr>
      <w:r>
        <w:rPr>
          <w:rFonts w:hint="eastAsia" w:ascii="方正小标宋简体" w:hAnsi="黑体" w:eastAsia="方正小标宋简体"/>
          <w:sz w:val="44"/>
          <w:szCs w:val="44"/>
        </w:rPr>
        <w:t>第3号——可持续发展报告编制</w:t>
      </w:r>
    </w:p>
    <w:p>
      <w:pPr>
        <w:jc w:val="center"/>
        <w:rPr>
          <w:rFonts w:hint="eastAsia"/>
          <w:szCs w:val="32"/>
        </w:rPr>
      </w:pPr>
    </w:p>
    <w:p>
      <w:pPr>
        <w:rPr>
          <w:rFonts w:hint="eastAsia" w:ascii="黑体" w:hAnsi="黑体" w:eastAsia="黑体"/>
          <w:b/>
          <w:bCs/>
          <w:szCs w:val="32"/>
        </w:rPr>
      </w:pPr>
      <w:r>
        <w:rPr>
          <w:szCs w:val="32"/>
        </w:rPr>
        <w:t>为</w:t>
      </w:r>
      <w:r>
        <w:rPr>
          <w:rFonts w:hint="eastAsia"/>
          <w:szCs w:val="32"/>
        </w:rPr>
        <w:t>了</w:t>
      </w:r>
      <w:r>
        <w:rPr>
          <w:szCs w:val="32"/>
        </w:rPr>
        <w:t>规范深圳证券交易所（以下简称本所）</w:t>
      </w:r>
      <w:r>
        <w:rPr>
          <w:rFonts w:hint="eastAsia"/>
          <w:szCs w:val="32"/>
        </w:rPr>
        <w:t>主板</w:t>
      </w:r>
      <w:r>
        <w:rPr>
          <w:szCs w:val="32"/>
        </w:rPr>
        <w:t>上市公司</w:t>
      </w:r>
      <w:r>
        <w:rPr>
          <w:rFonts w:hint="eastAsia"/>
          <w:szCs w:val="32"/>
        </w:rPr>
        <w:t>可持续发展报告</w:t>
      </w:r>
      <w:r>
        <w:rPr>
          <w:szCs w:val="32"/>
        </w:rPr>
        <w:t>相关</w:t>
      </w:r>
      <w:r>
        <w:rPr>
          <w:rFonts w:hint="eastAsia"/>
          <w:szCs w:val="32"/>
        </w:rPr>
        <w:t>信息披露事项</w:t>
      </w:r>
      <w:r>
        <w:rPr>
          <w:szCs w:val="32"/>
        </w:rPr>
        <w:t>，根据本所《股票上市规则》</w:t>
      </w:r>
      <w:r>
        <w:rPr>
          <w:rFonts w:hint="eastAsia"/>
          <w:szCs w:val="32"/>
        </w:rPr>
        <w:t>《上市公司自律监管指引第1号——主板上市公司规范运作》《上市公司自律监管指引第17号——可持续发展报告（试行）》（以下简称《指引》）</w:t>
      </w:r>
      <w:r>
        <w:rPr>
          <w:szCs w:val="32"/>
        </w:rPr>
        <w:t>等相关规定，制定本指南。</w:t>
      </w:r>
    </w:p>
    <w:p>
      <w:pPr>
        <w:pStyle w:val="29"/>
        <w:ind w:firstLine="0" w:firstLineChars="0"/>
        <w:jc w:val="center"/>
        <w:rPr>
          <w:rFonts w:hint="eastAsia" w:ascii="黑体" w:hAnsi="黑体" w:eastAsia="黑体"/>
          <w:b/>
          <w:bCs/>
          <w:sz w:val="36"/>
          <w:szCs w:val="36"/>
        </w:rPr>
      </w:pPr>
    </w:p>
    <w:p>
      <w:pPr>
        <w:widowControl/>
        <w:ind w:firstLine="723"/>
        <w:jc w:val="left"/>
        <w:rPr>
          <w:rFonts w:hint="eastAsia" w:eastAsia="黑体"/>
          <w:b/>
          <w:bCs/>
          <w:sz w:val="36"/>
          <w:szCs w:val="36"/>
        </w:rPr>
      </w:pPr>
      <w:r>
        <w:rPr>
          <w:rFonts w:eastAsia="黑体"/>
          <w:b/>
          <w:bCs/>
          <w:sz w:val="36"/>
          <w:szCs w:val="36"/>
        </w:rPr>
        <w:br w:type="page"/>
      </w:r>
    </w:p>
    <w:sdt>
      <w:sdtPr>
        <w:rPr>
          <w:rFonts w:hint="eastAsia" w:cs="仿宋"/>
          <w:b/>
          <w:bCs/>
          <w:szCs w:val="32"/>
        </w:rPr>
        <w:id w:val="147469529"/>
        <w15:color w:val="DBDBDB"/>
        <w:docPartObj>
          <w:docPartGallery w:val="Table of Contents"/>
          <w:docPartUnique/>
        </w:docPartObj>
      </w:sdtPr>
      <w:sdtEndPr>
        <w:rPr>
          <w:rFonts w:hint="eastAsia" w:cs="仿宋"/>
          <w:b/>
          <w:bCs/>
          <w:szCs w:val="32"/>
        </w:rPr>
      </w:sdtEndPr>
      <w:sdtContent>
        <w:p>
          <w:pPr>
            <w:spacing w:line="240" w:lineRule="auto"/>
            <w:ind w:firstLine="0" w:firstLineChars="0"/>
            <w:jc w:val="center"/>
            <w:rPr>
              <w:rFonts w:hint="eastAsia" w:cs="仿宋"/>
              <w:b/>
              <w:bCs/>
              <w:szCs w:val="32"/>
            </w:rPr>
          </w:pPr>
          <w:r>
            <w:rPr>
              <w:rFonts w:hint="eastAsia" w:cs="仿宋"/>
              <w:b/>
              <w:bCs/>
              <w:szCs w:val="32"/>
            </w:rPr>
            <w:t>目录</w:t>
          </w:r>
        </w:p>
        <w:p>
          <w:pPr>
            <w:pStyle w:val="14"/>
            <w:tabs>
              <w:tab w:val="right" w:leader="dot" w:pos="8306"/>
              <w:tab w:val="clear" w:pos="420"/>
              <w:tab w:val="clear" w:pos="8296"/>
            </w:tabs>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_Toc18190 </w:instrText>
          </w:r>
          <w:r>
            <w:rPr>
              <w:rFonts w:hint="eastAsia" w:ascii="仿宋" w:hAnsi="仿宋" w:eastAsia="仿宋" w:cs="仿宋"/>
              <w:sz w:val="32"/>
              <w:szCs w:val="32"/>
            </w:rPr>
            <w:fldChar w:fldCharType="separate"/>
          </w:r>
          <w:r>
            <w:rPr>
              <w:rFonts w:hint="eastAsia" w:ascii="仿宋" w:hAnsi="仿宋" w:eastAsia="仿宋" w:cs="仿宋"/>
              <w:sz w:val="32"/>
              <w:szCs w:val="32"/>
              <w:lang w:bidi="ar"/>
            </w:rPr>
            <w:t>第一章 总体要求与披露框架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_Toc18190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_Toc12669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_Toc12669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_Toc5002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重要性议题识别</w:t>
          </w:r>
          <w:r>
            <w:rPr>
              <w:rFonts w:hint="eastAsia" w:ascii="仿宋" w:hAnsi="仿宋" w:eastAsia="仿宋" w:cs="仿宋"/>
              <w:sz w:val="32"/>
              <w:szCs w:val="32"/>
              <w:lang w:eastAsia="zh-CN"/>
            </w:rPr>
            <w:t>与</w:t>
          </w:r>
          <w:r>
            <w:rPr>
              <w:rFonts w:hint="eastAsia" w:ascii="仿宋" w:hAnsi="仿宋" w:eastAsia="仿宋" w:cs="仿宋"/>
              <w:sz w:val="32"/>
              <w:szCs w:val="32"/>
            </w:rPr>
            <w:t>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_Toc5002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_Toc16324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治理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_Toc16324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_Toc24743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战略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_Toc24743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_Toc30522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影响、风险和机遇管理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_Toc30522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_Toc18944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指标与目标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_Toc18944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_Toc18334 </w:instrText>
          </w:r>
          <w:r>
            <w:rPr>
              <w:rFonts w:hint="eastAsia" w:ascii="仿宋" w:hAnsi="仿宋" w:eastAsia="仿宋" w:cs="仿宋"/>
              <w:sz w:val="32"/>
              <w:szCs w:val="32"/>
            </w:rPr>
            <w:fldChar w:fldCharType="separate"/>
          </w:r>
          <w:r>
            <w:rPr>
              <w:rFonts w:hint="eastAsia" w:ascii="仿宋" w:hAnsi="仿宋" w:eastAsia="仿宋" w:cs="仿宋"/>
              <w:sz w:val="32"/>
              <w:szCs w:val="32"/>
            </w:rPr>
            <w:t>第七节 报告披露</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_Toc18334 \h </w:instrText>
          </w:r>
          <w:r>
            <w:rPr>
              <w:rFonts w:hint="eastAsia" w:ascii="仿宋" w:hAnsi="仿宋" w:eastAsia="仿宋" w:cs="仿宋"/>
              <w:sz w:val="32"/>
              <w:szCs w:val="32"/>
            </w:rPr>
            <w:fldChar w:fldCharType="separate"/>
          </w:r>
          <w:r>
            <w:rPr>
              <w:rFonts w:hint="eastAsia" w:ascii="仿宋" w:hAnsi="仿宋" w:eastAsia="仿宋" w:cs="仿宋"/>
              <w:sz w:val="32"/>
              <w:szCs w:val="32"/>
            </w:rPr>
            <w:t>39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 w:val="clear" w:pos="420"/>
              <w:tab w:val="clear" w:pos="8296"/>
            </w:tabs>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第二章 应对气候变化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_Toc17648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气候相关影响重要性评估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_Toc17648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_Toc23334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气候相关财务重要性评估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_Toc23334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_Toc7060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气候适应性和气候相关情景分析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_Toc7060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_Toc3022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核算温室气体排放量的流程和方法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_Toc3022 \h </w:instrText>
          </w:r>
          <w:r>
            <w:rPr>
              <w:rFonts w:hint="eastAsia" w:ascii="仿宋" w:hAnsi="仿宋" w:eastAsia="仿宋" w:cs="仿宋"/>
              <w:sz w:val="32"/>
              <w:szCs w:val="32"/>
            </w:rPr>
            <w:fldChar w:fldCharType="separate"/>
          </w:r>
          <w:r>
            <w:rPr>
              <w:rFonts w:hint="eastAsia" w:ascii="仿宋" w:hAnsi="仿宋" w:eastAsia="仿宋" w:cs="仿宋"/>
              <w:sz w:val="32"/>
              <w:szCs w:val="32"/>
            </w:rPr>
            <w:t>62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_Toc13957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气候相关转型计划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_Toc13957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_Toc21595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_Toc21595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_Toc12371 </w:instrText>
          </w:r>
          <w:r>
            <w:rPr>
              <w:rFonts w:hint="eastAsia" w:ascii="仿宋" w:hAnsi="仿宋" w:eastAsia="仿宋" w:cs="仿宋"/>
              <w:sz w:val="32"/>
              <w:szCs w:val="32"/>
            </w:rPr>
            <w:fldChar w:fldCharType="separate"/>
          </w:r>
          <w:r>
            <w:rPr>
              <w:rFonts w:hint="eastAsia" w:ascii="仿宋" w:hAnsi="仿宋" w:eastAsia="仿宋" w:cs="仿宋"/>
              <w:sz w:val="32"/>
              <w:szCs w:val="32"/>
            </w:rPr>
            <w:t>附录 温室气体排放量披露模板示例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_Toc12371 \h </w:instrText>
          </w:r>
          <w:r>
            <w:rPr>
              <w:rFonts w:hint="eastAsia" w:ascii="仿宋" w:hAnsi="仿宋" w:eastAsia="仿宋" w:cs="仿宋"/>
              <w:sz w:val="32"/>
              <w:szCs w:val="32"/>
            </w:rPr>
            <w:fldChar w:fldCharType="separate"/>
          </w:r>
          <w:r>
            <w:rPr>
              <w:rFonts w:hint="eastAsia" w:ascii="仿宋" w:hAnsi="仿宋" w:eastAsia="仿宋" w:cs="仿宋"/>
              <w:sz w:val="32"/>
              <w:szCs w:val="32"/>
            </w:rPr>
            <w:t>82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ind w:firstLine="643"/>
            <w:rPr>
              <w:rFonts w:hint="eastAsia"/>
            </w:rPr>
          </w:pPr>
          <w:r>
            <w:rPr>
              <w:rFonts w:hint="eastAsia" w:cs="仿宋"/>
              <w:szCs w:val="32"/>
            </w:rPr>
            <w:fldChar w:fldCharType="end"/>
          </w:r>
        </w:p>
      </w:sdtContent>
    </w:sdt>
    <w:p>
      <w:pPr>
        <w:widowControl/>
        <w:ind w:firstLine="600"/>
        <w:jc w:val="left"/>
        <w:rPr>
          <w:rFonts w:hint="eastAsia" w:ascii="仿宋_GB2312" w:eastAsia="仿宋_GB2312"/>
          <w:sz w:val="30"/>
          <w:szCs w:val="30"/>
          <w:lang w:bidi="ar"/>
        </w:rPr>
      </w:pPr>
      <w:r>
        <w:rPr>
          <w:rFonts w:ascii="仿宋_GB2312" w:eastAsia="仿宋_GB2312"/>
          <w:sz w:val="30"/>
          <w:szCs w:val="30"/>
          <w:lang w:bidi="ar"/>
        </w:rPr>
        <w:br w:type="page"/>
      </w:r>
      <w:bookmarkStart w:id="0" w:name="_Toc8486"/>
      <w:bookmarkStart w:id="1" w:name="_Toc16645"/>
      <w:bookmarkStart w:id="2" w:name="_Toc29212"/>
      <w:bookmarkStart w:id="3" w:name="_Toc29901"/>
      <w:bookmarkStart w:id="4" w:name="_Toc180164924"/>
      <w:bookmarkStart w:id="5" w:name="_Hlk179859083"/>
    </w:p>
    <w:p>
      <w:pPr>
        <w:pStyle w:val="18"/>
        <w:spacing w:before="0" w:beforeLines="0" w:after="0" w:afterLines="0"/>
        <w:ind w:left="0" w:leftChars="0" w:firstLine="0" w:firstLineChars="0"/>
        <w:jc w:val="center"/>
        <w:outlineLvl w:val="0"/>
        <w:rPr>
          <w:rFonts w:hint="eastAsia" w:ascii="方正小标宋简体" w:hAnsi="方正小标宋简体" w:eastAsia="方正小标宋简体" w:cs="方正小标宋简体"/>
          <w:b/>
          <w:bCs/>
          <w:sz w:val="36"/>
          <w:szCs w:val="36"/>
        </w:rPr>
      </w:pPr>
      <w:bookmarkStart w:id="6" w:name="_Toc18190"/>
      <w:r>
        <w:rPr>
          <w:rFonts w:hint="eastAsia" w:ascii="方正小标宋简体" w:hAnsi="方正小标宋简体" w:eastAsia="方正小标宋简体" w:cs="方正小标宋简体"/>
          <w:sz w:val="36"/>
          <w:szCs w:val="36"/>
          <w:lang w:bidi="ar"/>
        </w:rPr>
        <w:t>第一章 总体要求与披露框架</w:t>
      </w:r>
      <w:bookmarkEnd w:id="6"/>
    </w:p>
    <w:p>
      <w:pPr>
        <w:pStyle w:val="18"/>
        <w:spacing w:before="0" w:beforeLines="0" w:after="0" w:afterLines="0" w:line="360" w:lineRule="auto"/>
        <w:ind w:left="0" w:leftChars="0" w:firstLine="602"/>
        <w:jc w:val="center"/>
        <w:rPr>
          <w:rFonts w:hint="eastAsia" w:eastAsia="黑体"/>
          <w:b/>
          <w:bCs/>
          <w:sz w:val="30"/>
          <w:szCs w:val="30"/>
        </w:rPr>
      </w:pPr>
    </w:p>
    <w:p>
      <w:pPr>
        <w:pStyle w:val="3"/>
        <w:rPr>
          <w:rFonts w:hint="eastAsia"/>
        </w:rPr>
      </w:pPr>
      <w:bookmarkStart w:id="7" w:name="_Toc12669"/>
      <w:r>
        <w:rPr>
          <w:rFonts w:hint="eastAsia"/>
        </w:rPr>
        <w:t>第一节 总体要求</w:t>
      </w:r>
      <w:bookmarkEnd w:id="0"/>
      <w:bookmarkEnd w:id="1"/>
      <w:bookmarkEnd w:id="2"/>
      <w:bookmarkEnd w:id="3"/>
      <w:bookmarkEnd w:id="4"/>
      <w:bookmarkEnd w:id="7"/>
    </w:p>
    <w:p>
      <w:pPr>
        <w:pStyle w:val="4"/>
        <w:rPr>
          <w:rFonts w:hint="eastAsia"/>
          <w:bCs w:val="0"/>
        </w:rPr>
      </w:pPr>
      <w:bookmarkStart w:id="8" w:name="_Toc180164928"/>
      <w:bookmarkStart w:id="9" w:name="_Toc23284"/>
      <w:bookmarkStart w:id="10" w:name="_Toc9743"/>
      <w:bookmarkStart w:id="11" w:name="_Toc21590"/>
      <w:bookmarkStart w:id="12" w:name="_Toc18610"/>
      <w:bookmarkStart w:id="13" w:name="_Toc180165191"/>
      <w:bookmarkStart w:id="14" w:name="_Toc21830"/>
      <w:r>
        <w:rPr>
          <w:rFonts w:hint="eastAsia"/>
          <w:bCs w:val="0"/>
        </w:rPr>
        <w:t>一、</w:t>
      </w:r>
      <w:r>
        <w:rPr>
          <w:bCs w:val="0"/>
        </w:rPr>
        <w:t>报告披露主体</w:t>
      </w:r>
      <w:bookmarkEnd w:id="8"/>
      <w:bookmarkEnd w:id="9"/>
      <w:bookmarkEnd w:id="10"/>
      <w:bookmarkEnd w:id="11"/>
      <w:bookmarkEnd w:id="12"/>
      <w:bookmarkEnd w:id="13"/>
      <w:bookmarkEnd w:id="14"/>
    </w:p>
    <w:p>
      <w:pPr>
        <w:rPr>
          <w:rFonts w:hint="eastAsia"/>
        </w:rPr>
      </w:pPr>
      <w:r>
        <w:t>披露主体</w:t>
      </w:r>
      <w:r>
        <w:rPr>
          <w:rFonts w:hint="eastAsia"/>
        </w:rPr>
        <w:t>包括强制披露主体和自愿披露主体。</w:t>
      </w:r>
    </w:p>
    <w:p>
      <w:pPr>
        <w:rPr>
          <w:rFonts w:hint="eastAsia"/>
        </w:rPr>
      </w:pPr>
      <w:r>
        <w:rPr>
          <w:rFonts w:hint="eastAsia"/>
        </w:rPr>
        <w:t>强制</w:t>
      </w:r>
      <w:r>
        <w:t>披露主体</w:t>
      </w:r>
      <w:r>
        <w:rPr>
          <w:rFonts w:hint="eastAsia"/>
        </w:rPr>
        <w:t>是指根据《指引》的规定，应当披露《可持续发展报告》的深证100</w:t>
      </w:r>
      <w:r>
        <w:t>指数</w:t>
      </w:r>
      <w:r>
        <w:rPr>
          <w:rFonts w:hint="eastAsia"/>
        </w:rPr>
        <w:t>样本公司</w:t>
      </w:r>
      <w:r>
        <w:t>以及境内外同时上市的公司。</w:t>
      </w:r>
    </w:p>
    <w:p>
      <w:pPr>
        <w:rPr>
          <w:rFonts w:hint="eastAsia"/>
        </w:rPr>
      </w:pPr>
      <w:r>
        <w:rPr>
          <w:rFonts w:hint="eastAsia"/>
        </w:rPr>
        <w:t>自愿披露主体是指自愿披露《可持续发展报告》的上市公司。</w:t>
      </w:r>
    </w:p>
    <w:p>
      <w:pPr>
        <w:rPr>
          <w:rFonts w:hint="eastAsia" w:eastAsia="仿宋_GB2312"/>
          <w:szCs w:val="30"/>
          <w:lang w:bidi="ar"/>
        </w:rPr>
      </w:pPr>
      <w:r>
        <w:rPr>
          <w:rFonts w:hint="eastAsia"/>
        </w:rPr>
        <w:t>前述所称指数样本公司是指在整个报告期内持续被纳入相关指数的公司。境内外同时上市公司是指在境内发行A股或B股，同时在境外发行H股、D股等境外股本以及存托凭证（GDR）的上市公司。</w:t>
      </w:r>
    </w:p>
    <w:p>
      <w:pPr>
        <w:pStyle w:val="4"/>
        <w:rPr>
          <w:rFonts w:hint="eastAsia"/>
          <w:szCs w:val="30"/>
          <w:lang w:bidi="ar"/>
        </w:rPr>
      </w:pPr>
      <w:bookmarkStart w:id="15" w:name="_Toc24407"/>
      <w:bookmarkStart w:id="16" w:name="_Toc29088"/>
      <w:bookmarkStart w:id="17" w:name="_Toc26350"/>
      <w:bookmarkStart w:id="18" w:name="_Toc180165192"/>
      <w:bookmarkStart w:id="19" w:name="_Toc25266"/>
      <w:bookmarkStart w:id="20" w:name="_Toc14182"/>
      <w:bookmarkStart w:id="21" w:name="_Toc180164929"/>
      <w:r>
        <w:rPr>
          <w:rFonts w:hint="eastAsia"/>
        </w:rPr>
        <w:t>二、</w:t>
      </w:r>
      <w:r>
        <w:t>报告范围</w:t>
      </w:r>
      <w:bookmarkEnd w:id="15"/>
      <w:bookmarkEnd w:id="16"/>
      <w:bookmarkEnd w:id="17"/>
      <w:bookmarkEnd w:id="18"/>
      <w:bookmarkEnd w:id="19"/>
      <w:bookmarkEnd w:id="20"/>
      <w:bookmarkEnd w:id="21"/>
    </w:p>
    <w:p>
      <w:pPr>
        <w:rPr>
          <w:rFonts w:hint="eastAsia" w:eastAsia="仿宋_GB2312"/>
          <w:szCs w:val="30"/>
          <w:lang w:bidi="ar"/>
        </w:rPr>
      </w:pPr>
      <w:r>
        <w:t>《可持续发展报告》的报告范围与</w:t>
      </w:r>
      <w:r>
        <w:rPr>
          <w:rFonts w:hint="eastAsia"/>
        </w:rPr>
        <w:t>公司</w:t>
      </w:r>
      <w:r>
        <w:t>年度</w:t>
      </w:r>
      <w:r>
        <w:rPr>
          <w:rFonts w:hint="eastAsia"/>
        </w:rPr>
        <w:t>财务</w:t>
      </w:r>
      <w:r>
        <w:t>报告</w:t>
      </w:r>
      <w:r>
        <w:rPr>
          <w:rFonts w:hint="eastAsia"/>
        </w:rPr>
        <w:t>合并报表范围</w:t>
      </w:r>
      <w:r>
        <w:t>保持一致</w:t>
      </w:r>
      <w:r>
        <w:rPr>
          <w:rFonts w:hint="eastAsia"/>
        </w:rPr>
        <w:t>。</w:t>
      </w:r>
    </w:p>
    <w:p>
      <w:pPr>
        <w:pStyle w:val="4"/>
        <w:rPr>
          <w:rFonts w:hint="eastAsia"/>
          <w:szCs w:val="30"/>
          <w:lang w:bidi="ar"/>
        </w:rPr>
      </w:pPr>
      <w:bookmarkStart w:id="22" w:name="_Toc28929"/>
      <w:bookmarkStart w:id="23" w:name="_Toc31320"/>
      <w:bookmarkStart w:id="24" w:name="_Toc5297"/>
      <w:bookmarkStart w:id="25" w:name="_Toc16026"/>
      <w:bookmarkStart w:id="26" w:name="_Toc19083"/>
      <w:bookmarkStart w:id="27" w:name="_Toc180164930"/>
      <w:bookmarkStart w:id="28" w:name="_Toc180165193"/>
      <w:r>
        <w:rPr>
          <w:rFonts w:hint="eastAsia"/>
        </w:rPr>
        <w:t>三、</w:t>
      </w:r>
      <w:r>
        <w:t>报告期间</w:t>
      </w:r>
      <w:bookmarkEnd w:id="22"/>
      <w:bookmarkEnd w:id="23"/>
      <w:bookmarkEnd w:id="24"/>
      <w:bookmarkEnd w:id="25"/>
      <w:bookmarkEnd w:id="26"/>
      <w:bookmarkEnd w:id="27"/>
      <w:bookmarkEnd w:id="28"/>
    </w:p>
    <w:p>
      <w:pPr>
        <w:rPr>
          <w:rFonts w:hint="eastAsia"/>
        </w:rPr>
      </w:pPr>
      <w:r>
        <w:t>《可持续发展报告》的报告期间与年度报告保持一致，覆盖一个完整的会计年度。</w:t>
      </w:r>
    </w:p>
    <w:p>
      <w:pPr>
        <w:pStyle w:val="4"/>
        <w:rPr>
          <w:rFonts w:hint="eastAsia"/>
          <w:szCs w:val="30"/>
          <w:lang w:bidi="ar"/>
        </w:rPr>
      </w:pPr>
      <w:bookmarkStart w:id="29" w:name="_Toc11750"/>
      <w:bookmarkStart w:id="30" w:name="_Toc19705"/>
      <w:bookmarkStart w:id="31" w:name="_Toc180165194"/>
      <w:bookmarkStart w:id="32" w:name="_Toc180164931"/>
      <w:bookmarkStart w:id="33" w:name="_Toc4299"/>
      <w:bookmarkStart w:id="34" w:name="_Toc1441"/>
      <w:bookmarkStart w:id="35" w:name="_Toc3156"/>
      <w:r>
        <w:rPr>
          <w:rFonts w:hint="eastAsia"/>
        </w:rPr>
        <w:t>四、</w:t>
      </w:r>
      <w:r>
        <w:t>报告发布时间</w:t>
      </w:r>
      <w:bookmarkEnd w:id="29"/>
      <w:bookmarkEnd w:id="30"/>
      <w:bookmarkEnd w:id="31"/>
      <w:bookmarkEnd w:id="32"/>
      <w:bookmarkEnd w:id="33"/>
      <w:bookmarkEnd w:id="34"/>
      <w:bookmarkEnd w:id="35"/>
    </w:p>
    <w:p>
      <w:pPr>
        <w:rPr>
          <w:rFonts w:hint="eastAsia" w:eastAsia="仿宋_GB2312"/>
          <w:szCs w:val="30"/>
          <w:lang w:bidi="ar"/>
        </w:rPr>
      </w:pPr>
      <w:r>
        <w:rPr>
          <w:rFonts w:hint="eastAsia"/>
        </w:rPr>
        <w:t>披露主体</w:t>
      </w:r>
      <w:r>
        <w:t>应当在每个会计年度结束后4个月内按照《指引》</w:t>
      </w:r>
      <w:r>
        <w:rPr>
          <w:rFonts w:hint="eastAsia"/>
        </w:rPr>
        <w:t>规定</w:t>
      </w:r>
      <w:r>
        <w:t>编制</w:t>
      </w:r>
      <w:r>
        <w:rPr>
          <w:rFonts w:hint="eastAsia"/>
        </w:rPr>
        <w:t>并披露</w:t>
      </w:r>
      <w:r>
        <w:t>《可持续发展报告》，披露时间应当不早于年度报告。</w:t>
      </w:r>
    </w:p>
    <w:p>
      <w:pPr>
        <w:pStyle w:val="4"/>
        <w:rPr>
          <w:rFonts w:hint="eastAsia"/>
        </w:rPr>
      </w:pPr>
      <w:bookmarkStart w:id="36" w:name="_Toc9095"/>
      <w:bookmarkStart w:id="37" w:name="_Toc180165195"/>
      <w:bookmarkStart w:id="38" w:name="_Toc18616"/>
      <w:bookmarkStart w:id="39" w:name="_Toc20584"/>
      <w:bookmarkStart w:id="40" w:name="_Toc4467"/>
      <w:bookmarkStart w:id="41" w:name="_Toc2326"/>
      <w:bookmarkStart w:id="42" w:name="_Toc180164932"/>
      <w:r>
        <w:rPr>
          <w:rFonts w:hint="eastAsia"/>
        </w:rPr>
        <w:t>五、</w:t>
      </w:r>
      <w:r>
        <w:t>报告</w:t>
      </w:r>
      <w:r>
        <w:rPr>
          <w:rFonts w:hint="eastAsia"/>
        </w:rPr>
        <w:t>名称和发布方式</w:t>
      </w:r>
      <w:bookmarkEnd w:id="36"/>
      <w:bookmarkEnd w:id="37"/>
      <w:bookmarkEnd w:id="38"/>
      <w:bookmarkEnd w:id="39"/>
      <w:bookmarkEnd w:id="40"/>
      <w:bookmarkEnd w:id="41"/>
      <w:bookmarkEnd w:id="42"/>
    </w:p>
    <w:p>
      <w:pPr>
        <w:rPr>
          <w:rFonts w:hint="eastAsia"/>
        </w:rPr>
      </w:pPr>
      <w:r>
        <w:rPr>
          <w:rFonts w:hint="eastAsia"/>
        </w:rPr>
        <w:t>报告名称应当为《XX公司可持续发展报告》或者《XX公司环境、社会和公司治理报告》（统称《可持续发展报告》），或者包含“可持续发展报告”</w:t>
      </w:r>
      <w:r>
        <w:rPr>
          <w:rFonts w:hint="eastAsia"/>
          <w:lang w:eastAsia="zh-CN"/>
        </w:rPr>
        <w:t>、</w:t>
      </w:r>
      <w:r>
        <w:rPr>
          <w:rFonts w:hint="eastAsia"/>
        </w:rPr>
        <w:t>“环境、社会和公司治理报告”表述。</w:t>
      </w:r>
    </w:p>
    <w:p>
      <w:pPr>
        <w:rPr>
          <w:rFonts w:hint="eastAsia"/>
        </w:rPr>
      </w:pPr>
      <w:r>
        <w:rPr>
          <w:rFonts w:hint="eastAsia"/>
        </w:rPr>
        <w:t>披露主体已经按照《指引》的规定披露《可持续发展报告》的，可以不再</w:t>
      </w:r>
      <w:r>
        <w:t>披露</w:t>
      </w:r>
      <w:r>
        <w:rPr>
          <w:rFonts w:hint="eastAsia"/>
        </w:rPr>
        <w:t>当年度</w:t>
      </w:r>
      <w:r>
        <w:t>社会责任报告。</w:t>
      </w:r>
    </w:p>
    <w:p>
      <w:pPr>
        <w:rPr>
          <w:rFonts w:hint="eastAsia"/>
        </w:rPr>
      </w:pPr>
      <w:r>
        <w:rPr>
          <w:rFonts w:hint="eastAsia"/>
        </w:rPr>
        <w:t>《</w:t>
      </w:r>
      <w:r>
        <w:t>可持续发展报告</w:t>
      </w:r>
      <w:r>
        <w:rPr>
          <w:rFonts w:hint="eastAsia"/>
        </w:rPr>
        <w:t>》应当</w:t>
      </w:r>
      <w:r>
        <w:t>以独立</w:t>
      </w:r>
      <w:r>
        <w:rPr>
          <w:rFonts w:hint="eastAsia"/>
        </w:rPr>
        <w:t>报告形式</w:t>
      </w:r>
      <w:r>
        <w:t>发布</w:t>
      </w:r>
      <w:r>
        <w:rPr>
          <w:rFonts w:hint="eastAsia"/>
        </w:rPr>
        <w:t>。</w:t>
      </w:r>
    </w:p>
    <w:p>
      <w:pPr>
        <w:pStyle w:val="4"/>
        <w:rPr>
          <w:rFonts w:hint="eastAsia"/>
          <w:szCs w:val="30"/>
          <w:lang w:bidi="ar"/>
        </w:rPr>
      </w:pPr>
      <w:bookmarkStart w:id="43" w:name="_Toc23217"/>
      <w:bookmarkStart w:id="44" w:name="_Toc9137"/>
      <w:bookmarkStart w:id="45" w:name="_Toc10053"/>
      <w:bookmarkStart w:id="46" w:name="_Toc180164934"/>
      <w:bookmarkStart w:id="47" w:name="_Toc7168"/>
      <w:bookmarkStart w:id="48" w:name="_Toc21854"/>
      <w:bookmarkStart w:id="49" w:name="_Toc180165197"/>
      <w:r>
        <w:rPr>
          <w:rFonts w:hint="eastAsia"/>
        </w:rPr>
        <w:t>六、</w:t>
      </w:r>
      <w:r>
        <w:t>审议</w:t>
      </w:r>
      <w:bookmarkEnd w:id="43"/>
      <w:bookmarkEnd w:id="44"/>
      <w:bookmarkEnd w:id="45"/>
      <w:r>
        <w:rPr>
          <w:rFonts w:hint="eastAsia"/>
        </w:rPr>
        <w:t>程序</w:t>
      </w:r>
      <w:bookmarkEnd w:id="46"/>
      <w:bookmarkEnd w:id="47"/>
      <w:bookmarkEnd w:id="48"/>
      <w:bookmarkEnd w:id="49"/>
    </w:p>
    <w:p>
      <w:pPr>
        <w:rPr>
          <w:rFonts w:hint="eastAsia" w:ascii="仿宋_GB2312" w:eastAsia="仿宋_GB2312"/>
          <w:szCs w:val="30"/>
          <w:lang w:bidi="ar"/>
        </w:rPr>
      </w:pPr>
      <w:r>
        <w:rPr>
          <w:rFonts w:hint="eastAsia"/>
        </w:rPr>
        <w:t>《可持续发展报告》应当经董事会审议通过后方可披露，上市公司章程对审议程序有更为严格规定的，从其规定。</w:t>
      </w:r>
    </w:p>
    <w:p>
      <w:pPr>
        <w:pStyle w:val="4"/>
        <w:rPr>
          <w:rFonts w:hint="eastAsia"/>
          <w:szCs w:val="30"/>
          <w:lang w:bidi="ar"/>
        </w:rPr>
      </w:pPr>
      <w:bookmarkStart w:id="50" w:name="_Toc28072"/>
      <w:bookmarkStart w:id="51" w:name="_Toc22193"/>
      <w:bookmarkStart w:id="52" w:name="_Toc11833"/>
      <w:bookmarkStart w:id="53" w:name="_Toc14230"/>
      <w:bookmarkStart w:id="54" w:name="_Toc180164935"/>
      <w:bookmarkStart w:id="55" w:name="_Toc13369"/>
      <w:bookmarkStart w:id="56" w:name="_Toc180165198"/>
      <w:r>
        <w:rPr>
          <w:rFonts w:hint="eastAsia"/>
        </w:rPr>
        <w:t>七、</w:t>
      </w:r>
      <w:r>
        <w:t>议题设置</w:t>
      </w:r>
      <w:bookmarkEnd w:id="50"/>
      <w:bookmarkEnd w:id="51"/>
      <w:bookmarkEnd w:id="52"/>
      <w:bookmarkEnd w:id="53"/>
      <w:bookmarkEnd w:id="54"/>
      <w:bookmarkEnd w:id="55"/>
      <w:bookmarkEnd w:id="56"/>
    </w:p>
    <w:p>
      <w:pPr>
        <w:rPr>
          <w:rFonts w:hint="eastAsia"/>
        </w:rPr>
      </w:pPr>
      <w:r>
        <w:rPr>
          <w:rFonts w:hint="eastAsia"/>
        </w:rPr>
        <w:t>《指引》设置了</w:t>
      </w:r>
      <w:r>
        <w:t>21</w:t>
      </w:r>
      <w:r>
        <w:rPr>
          <w:rFonts w:hint="eastAsia"/>
        </w:rPr>
        <w:t>项议题，其中：环境维度</w:t>
      </w:r>
      <w:r>
        <w:t>8</w:t>
      </w:r>
      <w:r>
        <w:rPr>
          <w:rFonts w:hint="eastAsia"/>
        </w:rPr>
        <w:t>项，社会维度</w:t>
      </w:r>
      <w:r>
        <w:t>9</w:t>
      </w:r>
      <w:r>
        <w:rPr>
          <w:rFonts w:hint="eastAsia"/>
        </w:rPr>
        <w:t>项，可持续发展相关治理</w:t>
      </w:r>
      <w:r>
        <w:rPr>
          <w:rFonts w:hint="eastAsia"/>
          <w:lang w:eastAsia="zh-CN"/>
        </w:rPr>
        <w:t>维度</w:t>
      </w:r>
      <w:r>
        <w:t>4</w:t>
      </w:r>
      <w:r>
        <w:rPr>
          <w:rFonts w:hint="eastAsia"/>
        </w:rPr>
        <w:t>项。具体如下：</w:t>
      </w:r>
    </w:p>
    <w:p>
      <w:pPr>
        <w:pStyle w:val="57"/>
      </w:pPr>
      <w:r>
        <w:t>表1.1 议题设置表</w:t>
      </w:r>
    </w:p>
    <w:tbl>
      <w:tblPr>
        <w:tblStyle w:val="22"/>
        <w:tblW w:w="8636"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2903"/>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blHeader/>
        </w:trPr>
        <w:tc>
          <w:tcPr>
            <w:tcW w:w="3215" w:type="dxa"/>
            <w:shd w:val="clear" w:color="auto" w:fill="auto"/>
          </w:tcPr>
          <w:p>
            <w:pPr>
              <w:pStyle w:val="58"/>
              <w:jc w:val="center"/>
              <w:rPr>
                <w:rFonts w:hint="eastAsia"/>
              </w:rPr>
            </w:pPr>
            <w:r>
              <w:rPr>
                <w:rFonts w:hint="eastAsia"/>
              </w:rPr>
              <w:t>环境</w:t>
            </w:r>
          </w:p>
          <w:p>
            <w:pPr>
              <w:pStyle w:val="58"/>
              <w:jc w:val="center"/>
              <w:rPr>
                <w:rFonts w:hint="eastAsia"/>
              </w:rPr>
            </w:pPr>
            <w:r>
              <w:rPr>
                <w:rFonts w:hint="eastAsia"/>
              </w:rPr>
              <w:t>（</w:t>
            </w:r>
            <w:r>
              <w:t>8</w:t>
            </w:r>
            <w:r>
              <w:rPr>
                <w:rFonts w:hint="eastAsia"/>
              </w:rPr>
              <w:t>项议题）</w:t>
            </w:r>
          </w:p>
        </w:tc>
        <w:tc>
          <w:tcPr>
            <w:tcW w:w="2903" w:type="dxa"/>
            <w:shd w:val="clear" w:color="auto" w:fill="auto"/>
          </w:tcPr>
          <w:p>
            <w:pPr>
              <w:pStyle w:val="58"/>
              <w:jc w:val="center"/>
              <w:rPr>
                <w:rFonts w:hint="eastAsia"/>
              </w:rPr>
            </w:pPr>
            <w:r>
              <w:rPr>
                <w:rFonts w:hint="eastAsia"/>
              </w:rPr>
              <w:t>社会</w:t>
            </w:r>
          </w:p>
          <w:p>
            <w:pPr>
              <w:pStyle w:val="58"/>
              <w:jc w:val="center"/>
              <w:rPr>
                <w:rFonts w:hint="eastAsia"/>
              </w:rPr>
            </w:pPr>
            <w:r>
              <w:rPr>
                <w:rFonts w:hint="eastAsia"/>
              </w:rPr>
              <w:t>（</w:t>
            </w:r>
            <w:r>
              <w:t>9</w:t>
            </w:r>
            <w:r>
              <w:rPr>
                <w:rFonts w:hint="eastAsia"/>
              </w:rPr>
              <w:t>项议题）</w:t>
            </w:r>
          </w:p>
        </w:tc>
        <w:tc>
          <w:tcPr>
            <w:tcW w:w="2518" w:type="dxa"/>
            <w:shd w:val="clear" w:color="auto" w:fill="auto"/>
          </w:tcPr>
          <w:p>
            <w:pPr>
              <w:pStyle w:val="58"/>
              <w:jc w:val="center"/>
              <w:rPr>
                <w:rFonts w:hint="eastAsia"/>
              </w:rPr>
            </w:pPr>
            <w:r>
              <w:rPr>
                <w:rFonts w:hint="eastAsia"/>
              </w:rPr>
              <w:t>可持续发展相关治理</w:t>
            </w:r>
          </w:p>
          <w:p>
            <w:pPr>
              <w:pStyle w:val="58"/>
              <w:jc w:val="center"/>
              <w:rPr>
                <w:rFonts w:hint="eastAsia"/>
              </w:rPr>
            </w:pPr>
            <w:r>
              <w:rPr>
                <w:rFonts w:hint="eastAsia"/>
              </w:rPr>
              <w:t>（</w:t>
            </w:r>
            <w:r>
              <w:t>4</w:t>
            </w:r>
            <w:r>
              <w:rPr>
                <w:rFonts w:hint="eastAsia"/>
              </w:rPr>
              <w:t>项议题）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exact"/>
        </w:trPr>
        <w:tc>
          <w:tcPr>
            <w:tcW w:w="3215" w:type="dxa"/>
            <w:vAlign w:val="center"/>
          </w:tcPr>
          <w:p>
            <w:pPr>
              <w:pStyle w:val="58"/>
              <w:rPr>
                <w:rFonts w:hint="eastAsia"/>
              </w:rPr>
            </w:pPr>
            <w:r>
              <w:rPr>
                <w:rFonts w:hint="eastAsia"/>
              </w:rPr>
              <w:t>应对气候变化</w:t>
            </w:r>
          </w:p>
          <w:p>
            <w:pPr>
              <w:pStyle w:val="58"/>
              <w:rPr>
                <w:rFonts w:hint="eastAsia"/>
              </w:rPr>
            </w:pPr>
            <w:r>
              <w:rPr>
                <w:rFonts w:hint="eastAsia"/>
              </w:rPr>
              <w:t>污染物排放</w:t>
            </w:r>
          </w:p>
          <w:p>
            <w:pPr>
              <w:pStyle w:val="58"/>
              <w:rPr>
                <w:rFonts w:hint="eastAsia"/>
              </w:rPr>
            </w:pPr>
            <w:r>
              <w:rPr>
                <w:rFonts w:hint="eastAsia"/>
              </w:rPr>
              <w:t>废弃物处理</w:t>
            </w:r>
          </w:p>
          <w:p>
            <w:pPr>
              <w:pStyle w:val="58"/>
              <w:rPr>
                <w:rFonts w:hint="eastAsia"/>
              </w:rPr>
            </w:pPr>
            <w:r>
              <w:rPr>
                <w:rFonts w:hint="eastAsia"/>
              </w:rPr>
              <w:t>生态系统和生物多样性保护</w:t>
            </w:r>
          </w:p>
          <w:p>
            <w:pPr>
              <w:pStyle w:val="58"/>
              <w:rPr>
                <w:rFonts w:hint="eastAsia"/>
              </w:rPr>
            </w:pPr>
            <w:r>
              <w:rPr>
                <w:rFonts w:hint="eastAsia"/>
              </w:rPr>
              <w:t>环境合规管理</w:t>
            </w:r>
          </w:p>
          <w:p>
            <w:pPr>
              <w:pStyle w:val="58"/>
              <w:rPr>
                <w:rFonts w:hint="eastAsia"/>
              </w:rPr>
            </w:pPr>
            <w:r>
              <w:rPr>
                <w:rFonts w:hint="eastAsia"/>
              </w:rPr>
              <w:t>能源利用</w:t>
            </w:r>
          </w:p>
          <w:p>
            <w:pPr>
              <w:pStyle w:val="58"/>
              <w:rPr>
                <w:rFonts w:hint="eastAsia"/>
              </w:rPr>
            </w:pPr>
            <w:r>
              <w:rPr>
                <w:rFonts w:hint="eastAsia"/>
              </w:rPr>
              <w:t>水资源利用</w:t>
            </w:r>
          </w:p>
          <w:p>
            <w:pPr>
              <w:pStyle w:val="58"/>
              <w:rPr>
                <w:rFonts w:hint="eastAsia"/>
              </w:rPr>
            </w:pPr>
            <w:r>
              <w:rPr>
                <w:rFonts w:hint="eastAsia"/>
              </w:rPr>
              <w:t>循环经济</w:t>
            </w:r>
          </w:p>
        </w:tc>
        <w:tc>
          <w:tcPr>
            <w:tcW w:w="2903" w:type="dxa"/>
            <w:vAlign w:val="center"/>
          </w:tcPr>
          <w:p>
            <w:pPr>
              <w:pStyle w:val="58"/>
              <w:rPr>
                <w:rFonts w:hint="eastAsia"/>
              </w:rPr>
            </w:pPr>
            <w:r>
              <w:rPr>
                <w:rFonts w:hint="eastAsia"/>
              </w:rPr>
              <w:t>乡村振兴</w:t>
            </w:r>
          </w:p>
          <w:p>
            <w:pPr>
              <w:pStyle w:val="58"/>
              <w:rPr>
                <w:rFonts w:hint="eastAsia"/>
              </w:rPr>
            </w:pPr>
            <w:r>
              <w:rPr>
                <w:rFonts w:hint="eastAsia"/>
              </w:rPr>
              <w:t>社会贡献</w:t>
            </w:r>
          </w:p>
          <w:p>
            <w:pPr>
              <w:pStyle w:val="58"/>
              <w:rPr>
                <w:rFonts w:hint="eastAsia"/>
              </w:rPr>
            </w:pPr>
            <w:r>
              <w:rPr>
                <w:rFonts w:hint="eastAsia"/>
              </w:rPr>
              <w:t>创新驱动</w:t>
            </w:r>
          </w:p>
          <w:p>
            <w:pPr>
              <w:pStyle w:val="58"/>
              <w:rPr>
                <w:rFonts w:hint="eastAsia"/>
              </w:rPr>
            </w:pPr>
            <w:r>
              <w:rPr>
                <w:rFonts w:hint="eastAsia"/>
              </w:rPr>
              <w:t>科技伦理</w:t>
            </w:r>
          </w:p>
          <w:p>
            <w:pPr>
              <w:pStyle w:val="58"/>
              <w:rPr>
                <w:rFonts w:hint="eastAsia"/>
              </w:rPr>
            </w:pPr>
            <w:r>
              <w:rPr>
                <w:rFonts w:hint="eastAsia"/>
              </w:rPr>
              <w:t>供应链安全</w:t>
            </w:r>
          </w:p>
          <w:p>
            <w:pPr>
              <w:pStyle w:val="58"/>
              <w:rPr>
                <w:rFonts w:hint="eastAsia"/>
              </w:rPr>
            </w:pPr>
            <w:r>
              <w:rPr>
                <w:rFonts w:hint="eastAsia"/>
              </w:rPr>
              <w:t>平等对待中小企业</w:t>
            </w:r>
          </w:p>
          <w:p>
            <w:pPr>
              <w:pStyle w:val="58"/>
              <w:rPr>
                <w:rFonts w:hint="eastAsia"/>
              </w:rPr>
            </w:pPr>
            <w:r>
              <w:rPr>
                <w:rFonts w:hint="eastAsia"/>
              </w:rPr>
              <w:t>产品和服务安全与质量</w:t>
            </w:r>
          </w:p>
          <w:p>
            <w:pPr>
              <w:pStyle w:val="58"/>
              <w:rPr>
                <w:rFonts w:hint="eastAsia"/>
              </w:rPr>
            </w:pPr>
            <w:r>
              <w:rPr>
                <w:rFonts w:hint="eastAsia"/>
              </w:rPr>
              <w:t>数据安全与客户隐私保护</w:t>
            </w:r>
          </w:p>
          <w:p>
            <w:pPr>
              <w:pStyle w:val="58"/>
              <w:rPr>
                <w:rFonts w:hint="eastAsia"/>
              </w:rPr>
            </w:pPr>
            <w:r>
              <w:rPr>
                <w:rFonts w:hint="eastAsia"/>
              </w:rPr>
              <w:t>员工</w:t>
            </w:r>
          </w:p>
        </w:tc>
        <w:tc>
          <w:tcPr>
            <w:tcW w:w="2518" w:type="dxa"/>
            <w:vAlign w:val="center"/>
          </w:tcPr>
          <w:p>
            <w:pPr>
              <w:pStyle w:val="58"/>
              <w:rPr>
                <w:rFonts w:hint="eastAsia"/>
              </w:rPr>
            </w:pPr>
            <w:r>
              <w:rPr>
                <w:rFonts w:hint="eastAsia"/>
              </w:rPr>
              <w:t>尽职调查</w:t>
            </w:r>
          </w:p>
          <w:p>
            <w:pPr>
              <w:pStyle w:val="58"/>
              <w:rPr>
                <w:rFonts w:hint="eastAsia"/>
              </w:rPr>
            </w:pPr>
            <w:r>
              <w:rPr>
                <w:rFonts w:hint="eastAsia"/>
              </w:rPr>
              <w:t>利益相关方沟通</w:t>
            </w:r>
          </w:p>
          <w:p>
            <w:pPr>
              <w:pStyle w:val="58"/>
              <w:rPr>
                <w:rFonts w:hint="eastAsia"/>
              </w:rPr>
            </w:pPr>
            <w:r>
              <w:rPr>
                <w:rFonts w:hint="eastAsia"/>
              </w:rPr>
              <w:t>反商业贿赂及反贪污</w:t>
            </w:r>
          </w:p>
          <w:p>
            <w:pPr>
              <w:pStyle w:val="58"/>
              <w:rPr>
                <w:rFonts w:hint="eastAsia"/>
              </w:rPr>
            </w:pPr>
            <w:r>
              <w:rPr>
                <w:rFonts w:hint="eastAsia"/>
              </w:rPr>
              <w:t>反不正当竞争</w:t>
            </w:r>
          </w:p>
        </w:tc>
      </w:tr>
    </w:tbl>
    <w:p>
      <w:pPr>
        <w:outlineLvl w:val="9"/>
        <w:rPr>
          <w:rFonts w:hint="eastAsia"/>
        </w:rPr>
      </w:pPr>
      <w:bookmarkStart w:id="57" w:name="_Toc24886"/>
      <w:bookmarkStart w:id="58" w:name="_Toc180165199"/>
      <w:bookmarkStart w:id="59" w:name="_Toc12484"/>
      <w:bookmarkStart w:id="60" w:name="_Toc10206"/>
      <w:bookmarkStart w:id="61" w:name="_Toc180164936"/>
      <w:bookmarkStart w:id="62" w:name="_Toc15020"/>
      <w:bookmarkStart w:id="63" w:name="_Toc23031"/>
      <w:r>
        <w:rPr>
          <w:rFonts w:hint="eastAsia" w:ascii="仿宋" w:hAnsi="仿宋" w:eastAsia="仿宋"/>
          <w:bCs w:val="0"/>
          <w:szCs w:val="24"/>
        </w:rPr>
        <w:t>披露主体可以在《指引》设置的议题外，结合所处行业特点、行业发展阶段、自身商业模式、所处价值链等情况，识别并披露其他具有财务重要性或者影响重要性的议题。</w:t>
      </w:r>
    </w:p>
    <w:p>
      <w:pPr>
        <w:pStyle w:val="4"/>
        <w:rPr>
          <w:rFonts w:hint="eastAsia"/>
        </w:rPr>
      </w:pPr>
      <w:r>
        <w:rPr>
          <w:rFonts w:hint="eastAsia"/>
        </w:rPr>
        <w:t>八、</w:t>
      </w:r>
      <w:r>
        <w:t>议题</w:t>
      </w:r>
      <w:r>
        <w:rPr>
          <w:rFonts w:hint="eastAsia"/>
        </w:rPr>
        <w:t>的</w:t>
      </w:r>
      <w:r>
        <w:t>披露要求</w:t>
      </w:r>
      <w:bookmarkEnd w:id="57"/>
      <w:bookmarkEnd w:id="58"/>
      <w:bookmarkEnd w:id="59"/>
      <w:bookmarkEnd w:id="60"/>
      <w:bookmarkEnd w:id="61"/>
      <w:bookmarkEnd w:id="62"/>
      <w:bookmarkEnd w:id="63"/>
    </w:p>
    <w:p>
      <w:pPr>
        <w:rPr>
          <w:rFonts w:hint="eastAsia"/>
        </w:rPr>
      </w:pPr>
      <w:r>
        <w:rPr>
          <w:rFonts w:hint="eastAsia"/>
        </w:rPr>
        <w:t>披露主体应当从“财务重要性”和“影响重要性”两个方面对议题重要性进行判断，并根据议题的重要性评估情况，按照《指引》规定采用不同的披露框架。</w:t>
      </w:r>
    </w:p>
    <w:p>
      <w:pPr>
        <w:pStyle w:val="57"/>
      </w:pPr>
      <w:r>
        <w:t>表1.2 议题披露要求表</w:t>
      </w:r>
    </w:p>
    <w:tbl>
      <w:tblPr>
        <w:tblStyle w:val="22"/>
        <w:tblpPr w:leftFromText="180" w:rightFromText="180" w:vertAnchor="text" w:horzAnchor="page" w:tblpX="1760" w:tblpY="3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507"/>
        <w:gridCol w:w="1505"/>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shd w:val="clear" w:color="auto" w:fill="auto"/>
            <w:vAlign w:val="center"/>
          </w:tcPr>
          <w:p>
            <w:pPr>
              <w:pStyle w:val="58"/>
              <w:jc w:val="center"/>
              <w:rPr>
                <w:rFonts w:hint="eastAsia"/>
              </w:rPr>
            </w:pPr>
            <w:r>
              <w:rPr>
                <w:rFonts w:hint="eastAsia"/>
              </w:rPr>
              <w:t>类别</w:t>
            </w:r>
          </w:p>
        </w:tc>
        <w:tc>
          <w:tcPr>
            <w:tcW w:w="884" w:type="pct"/>
            <w:shd w:val="clear" w:color="auto" w:fill="auto"/>
            <w:vAlign w:val="center"/>
          </w:tcPr>
          <w:p>
            <w:pPr>
              <w:pStyle w:val="58"/>
              <w:rPr>
                <w:rFonts w:hint="eastAsia"/>
              </w:rPr>
            </w:pPr>
            <w:r>
              <w:rPr>
                <w:rFonts w:hint="eastAsia"/>
              </w:rPr>
              <w:t>是否具有财务重要性</w:t>
            </w:r>
          </w:p>
        </w:tc>
        <w:tc>
          <w:tcPr>
            <w:tcW w:w="883" w:type="pct"/>
            <w:shd w:val="clear" w:color="auto" w:fill="auto"/>
            <w:vAlign w:val="center"/>
          </w:tcPr>
          <w:p>
            <w:pPr>
              <w:pStyle w:val="58"/>
              <w:rPr>
                <w:rFonts w:hint="eastAsia"/>
              </w:rPr>
            </w:pPr>
            <w:r>
              <w:rPr>
                <w:rFonts w:hint="eastAsia"/>
              </w:rPr>
              <w:t>是否具有影响重要性</w:t>
            </w:r>
          </w:p>
        </w:tc>
        <w:tc>
          <w:tcPr>
            <w:tcW w:w="2060" w:type="pct"/>
            <w:shd w:val="clear" w:color="auto" w:fill="auto"/>
            <w:vAlign w:val="center"/>
          </w:tcPr>
          <w:p>
            <w:pPr>
              <w:pStyle w:val="58"/>
              <w:jc w:val="center"/>
              <w:rPr>
                <w:rFonts w:hint="eastAsia"/>
              </w:rPr>
            </w:pPr>
            <w:r>
              <w:rPr>
                <w:rFonts w:hint="eastAsia"/>
              </w:rPr>
              <w:t>披露要求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《指引》要求的</w:t>
            </w:r>
            <w:r>
              <w:t>21</w:t>
            </w:r>
            <w:r>
              <w:rPr>
                <w:rFonts w:hint="eastAsia"/>
              </w:rPr>
              <w:t>项议题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rPr>
            </w:pPr>
            <w:r>
              <w:rPr>
                <w:rFonts w:hint="eastAsia"/>
              </w:rPr>
              <w:t>可不披露，应当按照《指引》第七条的规定充分说明原因。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公司自主识别出的其他议题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eastAsia="仿宋"/>
                <w:lang w:eastAsia="zh-CN"/>
              </w:rPr>
            </w:pPr>
            <w:r>
              <w:rPr>
                <w:rFonts w:hint="eastAsia"/>
              </w:rPr>
              <w:t>无需披露</w:t>
            </w:r>
            <w:r>
              <w:rPr>
                <w:rFonts w:hint="eastAsia"/>
                <w:lang w:eastAsia="zh-CN"/>
              </w:rPr>
              <w:t>。</w:t>
            </w:r>
          </w:p>
        </w:tc>
      </w:tr>
    </w:tbl>
    <w:p>
      <w:pPr>
        <w:rPr>
          <w:rFonts w:hint="eastAsia" w:ascii="仿宋_GB2312" w:eastAsia="仿宋_GB2312"/>
          <w:szCs w:val="30"/>
          <w:lang w:bidi="ar"/>
        </w:rPr>
      </w:pPr>
      <w:r>
        <w:rPr>
          <w:rFonts w:hint="eastAsia"/>
        </w:rPr>
        <w:t>披露主体经识别认为前述21项议题既不具有财务重要性，也不具有影响重要性的，或者确不适用相关条款的，应当按照《指引》第七条的规定进行解释说明。</w:t>
      </w:r>
    </w:p>
    <w:p>
      <w:pPr>
        <w:pStyle w:val="4"/>
        <w:rPr>
          <w:rFonts w:hint="eastAsia"/>
        </w:rPr>
      </w:pPr>
      <w:r>
        <w:rPr>
          <w:rFonts w:hint="eastAsia"/>
        </w:rPr>
        <w:t>九、其他相关</w:t>
      </w:r>
      <w:r>
        <w:t>要求</w:t>
      </w:r>
    </w:p>
    <w:p>
      <w:pPr>
        <w:rPr>
          <w:rFonts w:hint="eastAsia" w:eastAsia="仿宋"/>
          <w:lang w:eastAsia="zh-CN"/>
        </w:rPr>
      </w:pPr>
      <w:r>
        <w:rPr>
          <w:rFonts w:hint="eastAsia"/>
        </w:rPr>
        <w:t>1.因相关信息</w:t>
      </w:r>
      <w:r>
        <w:t>涉及国家秘密、商业秘密</w:t>
      </w:r>
      <w:r>
        <w:rPr>
          <w:rFonts w:hint="eastAsia"/>
        </w:rPr>
        <w:t>，或者由于其他特殊原因，披露主体无法按照《指引》个别条款的规定履行信息披露义务</w:t>
      </w:r>
      <w:r>
        <w:rPr>
          <w:rFonts w:hint="eastAsia"/>
          <w:lang w:eastAsia="zh-CN"/>
        </w:rPr>
        <w:t>、</w:t>
      </w:r>
      <w:r>
        <w:rPr>
          <w:rFonts w:hint="eastAsia"/>
        </w:rPr>
        <w:t>披露可能严重损害披露主体利益，或者确不适用相关条款、议题对其不具有财务重要性或影响重要性的，可以根据实际情况调整披露内容或者</w:t>
      </w:r>
      <w:r>
        <w:rPr>
          <w:rFonts w:hint="eastAsia"/>
          <w:lang w:eastAsia="zh-CN"/>
        </w:rPr>
        <w:t>采取替代措施</w:t>
      </w:r>
      <w:r>
        <w:rPr>
          <w:rFonts w:hint="eastAsia"/>
        </w:rPr>
        <w:t>，但应当充分说明原因。调整披露内容或者采取替代措施可以采用代称、打包、汇总或者隐去关键信息等方式豁免披露该部分信息</w:t>
      </w:r>
      <w:r>
        <w:rPr>
          <w:rFonts w:hint="eastAsia"/>
          <w:lang w:eastAsia="zh-CN"/>
        </w:rPr>
        <w:t>。</w:t>
      </w:r>
    </w:p>
    <w:p>
      <w:pPr>
        <w:rPr>
          <w:rFonts w:hint="eastAsia"/>
        </w:rPr>
      </w:pPr>
      <w:r>
        <w:rPr>
          <w:rFonts w:hint="eastAsia"/>
        </w:rPr>
        <w:t>法律法规对涉及国家秘密信息的披露、可持续发展信息强制性披露另有规定的，从其规定。</w:t>
      </w:r>
    </w:p>
    <w:p>
      <w:pPr>
        <w:rPr>
          <w:rFonts w:hint="eastAsia"/>
        </w:rPr>
      </w:pPr>
      <w:r>
        <w:rPr>
          <w:rFonts w:hint="eastAsia"/>
        </w:rPr>
        <w:t>2.披露主体应当关注利益相关方的诉求和关切，本所鼓励披露主体通过访谈、座谈、问卷调查等方式，了解、征集利益相关方意见，促进与利益相关方的有效交流，提升可持续发展信息披露质量。</w:t>
      </w:r>
    </w:p>
    <w:p>
      <w:pPr>
        <w:rPr>
          <w:rFonts w:hint="eastAsia"/>
        </w:rPr>
      </w:pPr>
      <w:r>
        <w:rPr>
          <w:rFonts w:hint="eastAsia"/>
        </w:rPr>
        <w:t>3.</w:t>
      </w:r>
      <w:bookmarkStart w:id="64" w:name="_Toc180164937"/>
      <w:r>
        <w:rPr>
          <w:rFonts w:hint="eastAsia"/>
        </w:rPr>
        <w:t>披露主体应当兼顾成本的可负担性，使用与公司的能力、前期工作成果和资源相匹配的方法收集可合理获得的信息。</w:t>
      </w:r>
    </w:p>
    <w:p>
      <w:pPr>
        <w:widowControl/>
        <w:ind w:firstLine="602"/>
        <w:jc w:val="left"/>
        <w:rPr>
          <w:rFonts w:hint="eastAsia" w:ascii="黑体" w:hAnsi="黑体" w:eastAsia="黑体"/>
          <w:b/>
          <w:bCs/>
          <w:sz w:val="30"/>
          <w:szCs w:val="30"/>
        </w:rPr>
      </w:pPr>
      <w:r>
        <w:rPr>
          <w:rFonts w:hint="eastAsia" w:ascii="黑体" w:hAnsi="黑体" w:eastAsia="黑体"/>
          <w:b/>
          <w:bCs/>
          <w:sz w:val="30"/>
          <w:szCs w:val="30"/>
        </w:rPr>
        <w:br w:type="page"/>
      </w:r>
    </w:p>
    <w:p>
      <w:pPr>
        <w:pStyle w:val="3"/>
        <w:rPr>
          <w:rFonts w:hint="eastAsia" w:eastAsia="黑体"/>
          <w:b/>
          <w:bCs/>
          <w:szCs w:val="30"/>
        </w:rPr>
      </w:pPr>
      <w:bookmarkStart w:id="65" w:name="_Toc5002"/>
      <w:r>
        <w:rPr>
          <w:rFonts w:hint="eastAsia"/>
        </w:rPr>
        <w:t>第二节 重要性议题识别</w:t>
      </w:r>
      <w:r>
        <w:rPr>
          <w:rFonts w:hint="eastAsia"/>
          <w:lang w:eastAsia="zh-CN"/>
        </w:rPr>
        <w:t>与</w:t>
      </w:r>
      <w:r>
        <w:rPr>
          <w:rFonts w:hint="eastAsia"/>
        </w:rPr>
        <w:t>分析</w:t>
      </w:r>
      <w:bookmarkEnd w:id="64"/>
      <w:bookmarkEnd w:id="65"/>
    </w:p>
    <w:p>
      <w:pPr>
        <w:rPr>
          <w:rFonts w:hint="eastAsia"/>
        </w:rPr>
      </w:pPr>
      <w:r>
        <w:rPr>
          <w:rFonts w:hint="eastAsia"/>
        </w:rPr>
        <w:t>披露主体应当结合自身所处行业和经营业务的特点等情况，在《指引》设置的议题中识别每个议题是否预期在短期、中期和长期内对公司商业模式、业务运营、发展战略、财务状况、经营成果、现金流、融资方式及成本等产生重大影响（简称财务重要性），以及企业在相应议题的表现是否会对经济、社会和环境产生重大影响（简称影响重要性），并说明对议题重要性进行分析的过程。</w:t>
      </w:r>
    </w:p>
    <w:p>
      <w:pPr>
        <w:rPr>
          <w:rFonts w:hint="eastAsia"/>
        </w:rPr>
      </w:pPr>
      <w:r>
        <w:rPr>
          <w:rFonts w:hint="eastAsia"/>
        </w:rPr>
        <w:t>除《指引》设置的议题外，披露主体还应当结合所处行业特点、行业发展阶段、自身商业模式、所处价值链等情况，识别并按照《指引》的要求披露其他具有财务重要性或者影响重要性的议题。披露主体自身业务模式或所面临的政策环境、自然环境未发生重大变化的，无需每年都开展重要性议题的识别和分析工作。披露主体也可参考同行业优秀公司的重要性议题实践，以得出较为一致、可靠的识别结果。</w:t>
      </w:r>
    </w:p>
    <w:p>
      <w:pPr>
        <w:pStyle w:val="4"/>
        <w:rPr>
          <w:rFonts w:hint="eastAsia"/>
        </w:rPr>
      </w:pPr>
      <w:bookmarkStart w:id="66" w:name="_Toc180164944"/>
      <w:r>
        <w:rPr>
          <w:rFonts w:hint="eastAsia"/>
        </w:rPr>
        <w:t>一、《指引》对重要性议题的定义及要求</w:t>
      </w:r>
      <w:bookmarkEnd w:id="66"/>
    </w:p>
    <w:p>
      <w:pPr>
        <w:rPr>
          <w:rFonts w:hint="eastAsia"/>
        </w:rPr>
      </w:pPr>
      <w:r>
        <w:rPr>
          <w:rFonts w:hint="eastAsia"/>
        </w:rPr>
        <w:t>披露主体应从财务重要性和影响重要性两大维度判断议题重要性，具有财务重要性或影响重要性的议题，均可称为“重要性议题”。</w:t>
      </w:r>
    </w:p>
    <w:p>
      <w:pPr>
        <w:rPr>
          <w:rFonts w:hint="eastAsia"/>
        </w:rPr>
      </w:pPr>
      <w:r>
        <w:rPr>
          <w:rFonts w:hint="eastAsia"/>
        </w:rPr>
        <w:t>议题重要性分析结果直接影响可持续发展报告披露框架，是上市公司可持续发展治理与管理工作的基础。议题重要性分析可以帮助公司合理分配短、中、长期用于该项可持续发展议题的资源，明确可持续发展管理重点。《指引》中设置的议题对公司具有财务重要性的，不论是否具有影响重要性，均需按照“四要素内容”</w:t>
      </w:r>
      <w:r>
        <w:rPr>
          <w:rFonts w:hint="eastAsia"/>
          <w:lang w:eastAsia="zh-CN"/>
        </w:rPr>
        <w:t>及</w:t>
      </w:r>
      <w:r>
        <w:rPr>
          <w:rFonts w:hint="eastAsia"/>
        </w:rPr>
        <w:t>《指引》具体议题规定进行披露。</w:t>
      </w:r>
    </w:p>
    <w:p>
      <w:pPr>
        <w:pStyle w:val="57"/>
      </w:pPr>
      <w:r>
        <w:t>表1.3 《指引》关于议题重大影响的判断依据</w:t>
      </w:r>
    </w:p>
    <w:tbl>
      <w:tblPr>
        <w:tblStyle w:val="22"/>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vAlign w:val="center"/>
          </w:tcPr>
          <w:p>
            <w:pPr>
              <w:pStyle w:val="58"/>
              <w:jc w:val="center"/>
              <w:rPr>
                <w:rFonts w:hint="eastAsia"/>
              </w:rPr>
            </w:pPr>
            <w:r>
              <w:rPr>
                <w:rFonts w:hint="eastAsia"/>
              </w:rPr>
              <w:t>重要性维度</w:t>
            </w:r>
          </w:p>
        </w:tc>
        <w:tc>
          <w:tcPr>
            <w:tcW w:w="6548" w:type="dxa"/>
          </w:tcPr>
          <w:p>
            <w:pPr>
              <w:pStyle w:val="58"/>
              <w:jc w:val="center"/>
              <w:rPr>
                <w:rFonts w:hint="eastAsia"/>
              </w:rPr>
            </w:pPr>
            <w:r>
              <w:rPr>
                <w:rFonts w:hint="eastAsia"/>
              </w:rPr>
              <w:t>“重大影响”的说明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财务重要性</w:t>
            </w:r>
          </w:p>
        </w:tc>
        <w:tc>
          <w:tcPr>
            <w:tcW w:w="6548" w:type="dxa"/>
          </w:tcPr>
          <w:p>
            <w:pPr>
              <w:pStyle w:val="58"/>
              <w:rPr>
                <w:rFonts w:hint="eastAsia"/>
              </w:rPr>
            </w:pPr>
            <w:r>
              <w:rPr>
                <w:rFonts w:hint="eastAsia"/>
              </w:rPr>
              <w:t>议题是否预期在短期、中期和长期内对公司商业模式、业务运营、发展战略、财务状况、经营成果、现金流、融资方式及成本等产生重大影响。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影响重要性</w:t>
            </w:r>
          </w:p>
        </w:tc>
        <w:tc>
          <w:tcPr>
            <w:tcW w:w="6548" w:type="dxa"/>
          </w:tcPr>
          <w:p>
            <w:pPr>
              <w:pStyle w:val="58"/>
              <w:rPr>
                <w:rFonts w:hint="eastAsia"/>
              </w:rPr>
            </w:pPr>
            <w:r>
              <w:rPr>
                <w:rFonts w:hint="eastAsia"/>
              </w:rPr>
              <w:t>企业在相应议题的表现是否会对经济、社会和环境产生实际或者潜在重大影响。</w:t>
            </w:r>
          </w:p>
        </w:tc>
      </w:tr>
    </w:tbl>
    <w:p>
      <w:pPr>
        <w:pStyle w:val="4"/>
        <w:rPr>
          <w:rFonts w:hint="eastAsia"/>
        </w:rPr>
      </w:pPr>
      <w:bookmarkStart w:id="67" w:name="_Toc180164948"/>
      <w:r>
        <w:rPr>
          <w:rFonts w:hint="eastAsia"/>
        </w:rPr>
        <w:t>二、议题重要性分析步骤</w:t>
      </w:r>
      <w:bookmarkEnd w:id="67"/>
    </w:p>
    <w:p>
      <w:pPr>
        <w:rPr>
          <w:rFonts w:hint="eastAsia" w:eastAsia="仿宋_GB2312"/>
          <w:sz w:val="30"/>
          <w:szCs w:val="30"/>
          <w:lang w:bidi="ar"/>
        </w:rPr>
      </w:pPr>
      <w:r>
        <w:rPr>
          <w:rFonts w:hint="eastAsia"/>
        </w:rPr>
        <w:t>披露主体应从“影响重要性”和“财务重要性”两个方面识别分析议题的重要性，并说明分析的过程及结果。公司可以采取如下工作流程开展议题重要性分析，对分析过程中的文件记录与结果进行妥善保存，有助于内部信息追溯或接受第三方机构鉴证或审验，确保可持续发展报告信息的真实性。</w:t>
      </w:r>
    </w:p>
    <w:p>
      <w:pPr>
        <w:widowControl/>
        <w:spacing w:line="240" w:lineRule="auto"/>
        <w:ind w:firstLine="0" w:firstLineChars="0"/>
        <w:jc w:val="center"/>
        <w:rPr>
          <w:rFonts w:hint="eastAsia" w:eastAsia="仿宋_GB2312"/>
          <w:sz w:val="30"/>
          <w:szCs w:val="30"/>
          <w:lang w:bidi="ar"/>
        </w:rPr>
      </w:pPr>
      <w:r>
        <w:rPr>
          <w:rFonts w:hint="eastAsia" w:eastAsia="仿宋_GB2312"/>
          <w:sz w:val="30"/>
          <w:szCs w:val="30"/>
        </w:rPr>
        <w:drawing>
          <wp:inline distT="0" distB="0" distL="0" distR="0">
            <wp:extent cx="5236845" cy="2294890"/>
            <wp:effectExtent l="0" t="0" r="1905" b="10160"/>
            <wp:docPr id="1" name="图片 2" descr="C:\Users\xyzhou\Desktop\微信图片_20241106144648.png微信图片_2024110614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xyzhou\Desktop\微信图片_20241106144648.png微信图片_20241106144648"/>
                    <pic:cNvPicPr>
                      <a:picLocks noChangeAspect="1" noChangeArrowheads="1"/>
                    </pic:cNvPicPr>
                  </pic:nvPicPr>
                  <pic:blipFill>
                    <a:blip r:embed="rId14"/>
                    <a:srcRect/>
                    <a:stretch>
                      <a:fillRect/>
                    </a:stretch>
                  </pic:blipFill>
                  <pic:spPr>
                    <a:xfrm>
                      <a:off x="0" y="0"/>
                      <a:ext cx="5236845" cy="2294890"/>
                    </a:xfrm>
                    <a:prstGeom prst="rect">
                      <a:avLst/>
                    </a:prstGeom>
                    <a:noFill/>
                    <a:ln>
                      <a:noFill/>
                    </a:ln>
                  </pic:spPr>
                </pic:pic>
              </a:graphicData>
            </a:graphic>
          </wp:inline>
        </w:drawing>
      </w:r>
    </w:p>
    <w:p>
      <w:pPr>
        <w:pStyle w:val="57"/>
      </w:pPr>
      <w:r>
        <w:t>图1.1 议题重要性分析流程</w:t>
      </w:r>
    </w:p>
    <w:p>
      <w:pPr>
        <w:pStyle w:val="5"/>
        <w:rPr>
          <w:rFonts w:hint="eastAsia" w:ascii="仿宋_GB2312" w:eastAsia="仿宋_GB2312"/>
          <w:kern w:val="0"/>
          <w:szCs w:val="30"/>
        </w:rPr>
      </w:pPr>
      <w:bookmarkStart w:id="68" w:name="_Toc897"/>
      <w:bookmarkStart w:id="69" w:name="_Toc82"/>
      <w:bookmarkStart w:id="70" w:name="_Toc180165216"/>
      <w:bookmarkStart w:id="71" w:name="_Toc30262"/>
      <w:bookmarkStart w:id="72" w:name="_Toc16955"/>
      <w:bookmarkStart w:id="73" w:name="_Toc1971"/>
      <w:bookmarkStart w:id="74" w:name="_Toc4065"/>
      <w:bookmarkStart w:id="75" w:name="_Toc18490"/>
      <w:r>
        <w:rPr>
          <w:rFonts w:hint="eastAsia"/>
        </w:rPr>
        <w:t>（一）步骤一：了解公司活动和业务关系背景</w:t>
      </w:r>
      <w:bookmarkEnd w:id="68"/>
      <w:bookmarkEnd w:id="69"/>
      <w:bookmarkEnd w:id="70"/>
      <w:bookmarkEnd w:id="71"/>
      <w:bookmarkEnd w:id="72"/>
      <w:bookmarkEnd w:id="73"/>
      <w:bookmarkEnd w:id="74"/>
      <w:bookmarkEnd w:id="75"/>
    </w:p>
    <w:p>
      <w:pPr>
        <w:rPr>
          <w:rFonts w:hint="eastAsia"/>
        </w:rPr>
      </w:pPr>
      <w:bookmarkStart w:id="76" w:name="OLE_LINK7"/>
      <w:r>
        <w:rPr>
          <w:rFonts w:hint="eastAsia"/>
        </w:rPr>
        <w:t>披露主体可以将全面了解公司活动和业务关系背景作为第一步，了解内部活动和业务关系、外部客观环境以及主要受影响的利益相关方。</w:t>
      </w:r>
      <w:bookmarkEnd w:id="76"/>
    </w:p>
    <w:p>
      <w:pPr>
        <w:pStyle w:val="57"/>
      </w:pPr>
      <w:r>
        <w:t>表1.4 了解公司活动及业务关系考虑因素</w:t>
      </w:r>
    </w:p>
    <w:tbl>
      <w:tblPr>
        <w:tblStyle w:val="22"/>
        <w:tblW w:w="4865"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lang w:eastAsia="zh-CN"/>
              </w:rPr>
              <w:t>了解</w:t>
            </w:r>
            <w:r>
              <w:rPr>
                <w:rFonts w:hint="eastAsia"/>
              </w:rPr>
              <w:t>公司活动和</w:t>
            </w:r>
            <w:r>
              <w:rPr>
                <w:rFonts w:hint="eastAsia"/>
                <w:lang w:eastAsia="zh-CN"/>
              </w:rPr>
              <w:t>业务</w:t>
            </w:r>
            <w:r>
              <w:rPr>
                <w:rFonts w:hint="eastAsia"/>
              </w:rPr>
              <w:t>关系</w:t>
            </w:r>
          </w:p>
        </w:tc>
        <w:tc>
          <w:tcPr>
            <w:tcW w:w="3630" w:type="pct"/>
            <w:vAlign w:val="center"/>
          </w:tcPr>
          <w:p>
            <w:pPr>
              <w:pStyle w:val="58"/>
              <w:rPr>
                <w:rFonts w:hint="eastAsia"/>
              </w:rPr>
            </w:pPr>
            <w:r>
              <w:t>1.分析公司的商业计划、战略、财务报表，并在适用的情况下，分析向投资者提供的其他信息；</w:t>
            </w:r>
          </w:p>
          <w:p>
            <w:pPr>
              <w:pStyle w:val="58"/>
              <w:rPr>
                <w:rFonts w:hint="eastAsia"/>
              </w:rPr>
            </w:pPr>
            <w:r>
              <w:t>2.考察公司的活动、产品和服务，以及这些活动的地理位置；</w:t>
            </w:r>
          </w:p>
          <w:p>
            <w:pPr>
              <w:pStyle w:val="58"/>
              <w:rPr>
                <w:rFonts w:hint="eastAsia"/>
              </w:rPr>
            </w:pPr>
            <w:r>
              <w:t>3.绘制公司的业务关系图，包括上游和下游价值链，以及业务关系的类型和性质。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了解外部客观环境</w:t>
            </w:r>
          </w:p>
        </w:tc>
        <w:tc>
          <w:tcPr>
            <w:tcW w:w="3630" w:type="pct"/>
            <w:vAlign w:val="center"/>
          </w:tcPr>
          <w:p>
            <w:pPr>
              <w:pStyle w:val="58"/>
              <w:rPr>
                <w:rFonts w:hint="eastAsia"/>
              </w:rPr>
            </w:pPr>
            <w:r>
              <w:t>1.分析与公司相关的法律和监管政策；</w:t>
            </w:r>
          </w:p>
          <w:p>
            <w:pPr>
              <w:pStyle w:val="58"/>
              <w:rPr>
                <w:rFonts w:hint="eastAsia"/>
              </w:rPr>
            </w:pPr>
            <w:r>
              <w:t>2.分析公开文件，如媒体报道、同业分析、特定行业标准、研究报告及出版物。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w:t>
            </w:r>
            <w:r>
              <w:rPr>
                <w:rFonts w:hint="eastAsia"/>
                <w:lang w:eastAsia="zh-CN"/>
              </w:rPr>
              <w:t>主要</w:t>
            </w:r>
            <w:r>
              <w:rPr>
                <w:rFonts w:hint="eastAsia"/>
              </w:rPr>
              <w:t>受影响利益相关方</w:t>
            </w:r>
          </w:p>
        </w:tc>
        <w:tc>
          <w:tcPr>
            <w:tcW w:w="3630" w:type="pct"/>
            <w:vAlign w:val="center"/>
          </w:tcPr>
          <w:p>
            <w:pPr>
              <w:pStyle w:val="58"/>
              <w:rPr>
                <w:rFonts w:hint="eastAsia"/>
              </w:rPr>
            </w:pPr>
            <w:r>
              <w:t>1.分析现有的利益相关者参与方式。例如，直接沟通、意见征询、信息提供等；</w:t>
            </w:r>
          </w:p>
          <w:p>
            <w:pPr>
              <w:pStyle w:val="58"/>
              <w:rPr>
                <w:rFonts w:hint="eastAsia"/>
              </w:rPr>
            </w:pPr>
            <w:r>
              <w:t>2.绘制公司在其活动和业务关系中受影响的利益相关方的分布图。可以根据活动、产品或服务来识别不同的受影响的利益相关方群体，并针对特定的议题进行优先级排序。</w:t>
            </w:r>
          </w:p>
        </w:tc>
      </w:tr>
    </w:tbl>
    <w:p>
      <w:pPr>
        <w:pStyle w:val="5"/>
        <w:rPr>
          <w:rFonts w:hint="eastAsia"/>
        </w:rPr>
      </w:pPr>
      <w:bookmarkStart w:id="77" w:name="_Toc24212"/>
      <w:bookmarkStart w:id="78" w:name="_Toc16014"/>
      <w:bookmarkStart w:id="79" w:name="_Toc30950"/>
      <w:bookmarkStart w:id="80" w:name="_Toc180165217"/>
      <w:bookmarkStart w:id="81" w:name="_Toc235"/>
      <w:bookmarkStart w:id="82" w:name="_Toc19274"/>
      <w:r>
        <w:rPr>
          <w:rFonts w:hint="eastAsia"/>
        </w:rPr>
        <w:t>（二）步骤二：建立议题清单</w:t>
      </w:r>
      <w:bookmarkEnd w:id="77"/>
      <w:bookmarkEnd w:id="78"/>
      <w:bookmarkEnd w:id="79"/>
      <w:bookmarkEnd w:id="80"/>
      <w:bookmarkEnd w:id="81"/>
      <w:bookmarkEnd w:id="82"/>
    </w:p>
    <w:p>
      <w:pPr>
        <w:rPr>
          <w:rFonts w:hint="eastAsia"/>
        </w:rPr>
      </w:pPr>
      <w:r>
        <w:rPr>
          <w:rFonts w:hint="eastAsia"/>
        </w:rPr>
        <w:t>披露主体应使用《指引》中设置的21个议题作为议题清单基础，结合所处行业特点、行业发展阶段、自身商业模式、所处价值链等情况，识别其他具有财务重要性或影响重要性的议题。公司可通过</w:t>
      </w:r>
      <w:r>
        <w:t>尽职调查</w:t>
      </w:r>
      <w:r>
        <w:rPr>
          <w:rFonts w:hint="eastAsia"/>
        </w:rPr>
        <w:t>、风险管理等内部流程，以及整理相关监管政策、规则、行业标准及发展趋势、同业分析等方式识别重要性议题，完善议题清单。</w:t>
      </w:r>
    </w:p>
    <w:p>
      <w:pPr>
        <w:pStyle w:val="57"/>
      </w:pPr>
      <w:r>
        <w:t>表1.5 建立议题清单的参考方式</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政策分析</w:t>
            </w:r>
          </w:p>
        </w:tc>
        <w:tc>
          <w:tcPr>
            <w:tcW w:w="6473" w:type="dxa"/>
          </w:tcPr>
          <w:p>
            <w:pPr>
              <w:pStyle w:val="58"/>
              <w:rPr>
                <w:rFonts w:hint="eastAsia"/>
              </w:rPr>
            </w:pPr>
            <w:r>
              <w:rPr>
                <w:rFonts w:hint="eastAsia"/>
              </w:rPr>
              <w:t>1.参考运营所在地的宏观政策（如国家出台的综合性法律法规等）对于公司运营的整体影响进行政策分析。</w:t>
            </w:r>
          </w:p>
          <w:p>
            <w:pPr>
              <w:pStyle w:val="58"/>
              <w:rPr>
                <w:rFonts w:hint="eastAsia"/>
              </w:rPr>
            </w:pPr>
            <w:r>
              <w:rPr>
                <w:rFonts w:hint="eastAsia"/>
              </w:rPr>
              <w:t>2.考虑所在行业和具体业务相关的特定政策法规（例如行业标准、国家出台的行业管理规范等）对于公司的特定影响，识别重要的行业特定议题。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规则与标准对标</w:t>
            </w:r>
          </w:p>
        </w:tc>
        <w:tc>
          <w:tcPr>
            <w:tcW w:w="6473" w:type="dxa"/>
          </w:tcPr>
          <w:p>
            <w:pPr>
              <w:pStyle w:val="58"/>
              <w:rPr>
                <w:rFonts w:hint="eastAsia"/>
              </w:rPr>
            </w:pPr>
            <w:r>
              <w:rPr>
                <w:rFonts w:hint="eastAsia"/>
              </w:rPr>
              <w:t>参考《指引》的21个议题</w:t>
            </w:r>
            <w:r>
              <w:rPr>
                <w:rFonts w:hint="eastAsia"/>
                <w:lang w:eastAsia="zh-CN"/>
              </w:rPr>
              <w:t>，</w:t>
            </w:r>
            <w:r>
              <w:rPr>
                <w:rFonts w:hint="eastAsia"/>
              </w:rPr>
              <w:t>也可同时参考境内外其他可持续发展相关标准、评级机构相关标准等，选取其中要求披露的议题开展重要性分析。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同业分析</w:t>
            </w:r>
          </w:p>
        </w:tc>
        <w:tc>
          <w:tcPr>
            <w:tcW w:w="6473" w:type="dxa"/>
          </w:tcPr>
          <w:p>
            <w:pPr>
              <w:pStyle w:val="58"/>
              <w:rPr>
                <w:rFonts w:hint="eastAsia"/>
              </w:rPr>
            </w:pPr>
            <w:r>
              <w:rPr>
                <w:rFonts w:hint="eastAsia"/>
              </w:rPr>
              <w:t>1.参考可持续发展长期表现较为优异的同业或价值链上下游公司的重要性议题设定方式和排序结果，筛选出值得关注的重要性议题。由于同业的背景、业务结构、可持续发展管理现状等均有一定的差别，建议公司广泛参考多家同业</w:t>
            </w:r>
            <w:r>
              <w:rPr>
                <w:rFonts w:hint="eastAsia"/>
                <w:lang w:eastAsia="zh-CN"/>
              </w:rPr>
              <w:t>公司</w:t>
            </w:r>
            <w:r>
              <w:rPr>
                <w:rFonts w:hint="eastAsia"/>
              </w:rPr>
              <w:t>的重要性议题，以得出较为一致、可靠的识别结果。</w:t>
            </w:r>
          </w:p>
          <w:p>
            <w:pPr>
              <w:pStyle w:val="58"/>
              <w:rPr>
                <w:rFonts w:hint="eastAsia"/>
              </w:rPr>
            </w:pPr>
            <w:r>
              <w:rPr>
                <w:rFonts w:hint="eastAsia"/>
              </w:rPr>
              <w:t>2.涉及同业较多、业务类型较为复杂的公司可以梳理并提炼同业关注度较高的重要性议题，作为辅助识别议题的决策依据。</w:t>
            </w:r>
          </w:p>
          <w:p>
            <w:pPr>
              <w:pStyle w:val="58"/>
              <w:rPr>
                <w:rFonts w:hint="eastAsia"/>
              </w:rPr>
            </w:pPr>
            <w:r>
              <w:rPr>
                <w:rFonts w:hint="eastAsia"/>
              </w:rPr>
              <w:t>3.新的公司活动、业务关系以及运营环境的重大变动都可能导致公司所在行业背景及其影响的改变，因此公司应持续评估其行业背景并及时更新重要性议题识别结果。</w:t>
            </w:r>
          </w:p>
        </w:tc>
      </w:tr>
    </w:tbl>
    <w:p>
      <w:pPr>
        <w:pStyle w:val="5"/>
        <w:rPr>
          <w:rFonts w:hint="eastAsia"/>
        </w:rPr>
      </w:pPr>
      <w:bookmarkStart w:id="83" w:name="_Toc180165218"/>
      <w:bookmarkStart w:id="84" w:name="_Toc27774"/>
      <w:bookmarkStart w:id="85" w:name="_Toc30930"/>
      <w:bookmarkStart w:id="86" w:name="_Toc13250"/>
      <w:bookmarkStart w:id="87" w:name="_Toc17628"/>
      <w:bookmarkStart w:id="88" w:name="_Toc15478"/>
      <w:r>
        <w:rPr>
          <w:rFonts w:hint="eastAsia"/>
        </w:rPr>
        <w:t>（三）步骤三：议题重要性的评估与确认</w:t>
      </w:r>
      <w:bookmarkEnd w:id="83"/>
      <w:bookmarkEnd w:id="84"/>
      <w:bookmarkEnd w:id="85"/>
      <w:bookmarkEnd w:id="86"/>
      <w:bookmarkEnd w:id="87"/>
      <w:bookmarkEnd w:id="88"/>
    </w:p>
    <w:p>
      <w:pPr>
        <w:rPr>
          <w:rFonts w:hint="eastAsia"/>
        </w:rPr>
      </w:pPr>
      <w:r>
        <w:rPr>
          <w:rFonts w:hint="eastAsia"/>
        </w:rPr>
        <w:t>披露主体可以结合自身所处行业和经营业务的特点等情况，判断步骤二议题清单中的议题是否具有财务重要性或影响重要性。评估重要性的方法包括定量分析和定性分析，公司可与利益相关方沟通，咨询相关的内外部专家。</w:t>
      </w:r>
    </w:p>
    <w:p>
      <w:pPr>
        <w:rPr>
          <w:rFonts w:hint="eastAsia"/>
        </w:rPr>
      </w:pPr>
      <w:r>
        <w:rPr>
          <w:rFonts w:hint="eastAsia"/>
        </w:rPr>
        <w:t>1.影响重要性评估</w:t>
      </w:r>
    </w:p>
    <w:p>
      <w:pPr>
        <w:rPr>
          <w:rFonts w:hint="eastAsia" w:ascii="黑体" w:hAnsi="黑体" w:eastAsia="黑体"/>
          <w:sz w:val="28"/>
          <w:szCs w:val="28"/>
          <w:lang w:bidi="ar"/>
        </w:rPr>
      </w:pPr>
      <w:r>
        <w:rPr>
          <w:rFonts w:hint="eastAsia"/>
        </w:rPr>
        <w:t>影响重要性信息主要为满足受影响利益相关方的信息需求，旨在提供有助于评估公司经营外部性的可持续发展相关信息。影响重要性评估的具体流程可参考以下四个步骤进行。</w:t>
      </w:r>
    </w:p>
    <w:p>
      <w:pPr>
        <w:pStyle w:val="57"/>
        <w:rPr>
          <w:rFonts w:ascii="仿宋_GB2312" w:eastAsia="仿宋_GB2312"/>
          <w:b/>
          <w:kern w:val="0"/>
          <w:szCs w:val="30"/>
        </w:rPr>
      </w:pPr>
      <w:r>
        <w:drawing>
          <wp:anchor distT="0" distB="0" distL="114935" distR="114935" simplePos="0" relativeHeight="251660288" behindDoc="0" locked="0" layoutInCell="1" allowOverlap="1">
            <wp:simplePos x="0" y="0"/>
            <wp:positionH relativeFrom="margin">
              <wp:posOffset>6985</wp:posOffset>
            </wp:positionH>
            <wp:positionV relativeFrom="paragraph">
              <wp:posOffset>635</wp:posOffset>
            </wp:positionV>
            <wp:extent cx="5267325" cy="2174240"/>
            <wp:effectExtent l="0" t="0" r="9525" b="16510"/>
            <wp:wrapTopAndBottom/>
            <wp:docPr id="311267882"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67882" name="图片 1" descr="日历&#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7325" cy="2178297"/>
                    </a:xfrm>
                    <a:prstGeom prst="rect">
                      <a:avLst/>
                    </a:prstGeom>
                    <a:noFill/>
                  </pic:spPr>
                </pic:pic>
              </a:graphicData>
            </a:graphic>
          </wp:anchor>
        </w:drawing>
      </w:r>
      <w:r>
        <w:t>图1.2 影响重要性评估流程</w:t>
      </w:r>
    </w:p>
    <w:p>
      <w:pPr>
        <w:rPr>
          <w:rFonts w:hint="eastAsia"/>
        </w:rPr>
      </w:pPr>
      <w:r>
        <w:rPr>
          <w:rFonts w:hint="eastAsia"/>
        </w:rPr>
        <w:t>（1）影响重要性评估因素</w:t>
      </w:r>
    </w:p>
    <w:p>
      <w:pPr>
        <w:rPr>
          <w:rFonts w:hint="eastAsia"/>
        </w:rPr>
      </w:pPr>
      <w:r>
        <w:rPr>
          <w:rFonts w:hint="eastAsia"/>
        </w:rPr>
        <w:t>对于负面影响，实际的负面影响的重要性取决于影响的规模、范围和不可补救性，潜在的负面影响的重要性取决于影响的规模、范围、不可补救性和</w:t>
      </w:r>
      <w:r>
        <w:rPr>
          <w:rFonts w:hint="eastAsia"/>
          <w:lang w:eastAsia="zh-CN"/>
        </w:rPr>
        <w:t>发生的</w:t>
      </w:r>
      <w:r>
        <w:rPr>
          <w:rFonts w:hint="eastAsia"/>
        </w:rPr>
        <w:t>可能性。</w:t>
      </w:r>
    </w:p>
    <w:p>
      <w:pPr>
        <w:rPr>
          <w:rFonts w:hint="eastAsia"/>
        </w:rPr>
      </w:pPr>
      <w:r>
        <w:rPr>
          <w:rFonts w:hint="eastAsia"/>
        </w:rPr>
        <w:t>对于正面影响，实际的正面影响的重要性取决于影响的规模和范围，潜在的正面影响的重要性取决于影响的规模、范围和发生的可能性。</w:t>
      </w:r>
    </w:p>
    <w:p>
      <w:pPr>
        <w:pStyle w:val="57"/>
      </w:pPr>
      <w:r>
        <w:t>表1.6 影响重要性评估因素定义与说明</w:t>
      </w:r>
    </w:p>
    <w:tbl>
      <w:tblPr>
        <w:tblStyle w:val="22"/>
        <w:tblW w:w="4852"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63" w:type="pct"/>
            <w:vAlign w:val="center"/>
          </w:tcPr>
          <w:p>
            <w:pPr>
              <w:pStyle w:val="58"/>
              <w:jc w:val="center"/>
              <w:rPr>
                <w:rFonts w:hint="eastAsia"/>
              </w:rPr>
            </w:pPr>
            <w:r>
              <w:rPr>
                <w:rFonts w:hint="eastAsia"/>
              </w:rPr>
              <w:t>因素</w:t>
            </w:r>
          </w:p>
        </w:tc>
        <w:tc>
          <w:tcPr>
            <w:tcW w:w="3636" w:type="pct"/>
            <w:vAlign w:val="center"/>
          </w:tcPr>
          <w:p>
            <w:pPr>
              <w:pStyle w:val="58"/>
              <w:jc w:val="center"/>
              <w:rPr>
                <w:rFonts w:hint="eastAsia"/>
              </w:rPr>
            </w:pPr>
            <w:r>
              <w:rPr>
                <w:rFonts w:hint="eastAsia"/>
              </w:rPr>
              <w:t>定义与说明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规模</w:t>
            </w:r>
          </w:p>
        </w:tc>
        <w:tc>
          <w:tcPr>
            <w:tcW w:w="3636" w:type="pct"/>
            <w:vAlign w:val="center"/>
          </w:tcPr>
          <w:p>
            <w:pPr>
              <w:pStyle w:val="58"/>
              <w:rPr>
                <w:rFonts w:hint="eastAsia"/>
              </w:rPr>
            </w:pPr>
            <w:r>
              <w:rPr>
                <w:rFonts w:hint="eastAsia"/>
              </w:rPr>
              <w:t>影响的大小程度。对于负面影响，其影响规模可能取决于是否导致公司违反应当遵守的法律法规等，也可能取决于影响发生的背景。对于正面影响，其影响规模是指有益或可能有益的程度。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范围</w:t>
            </w:r>
          </w:p>
        </w:tc>
        <w:tc>
          <w:tcPr>
            <w:tcW w:w="3636" w:type="pct"/>
            <w:vAlign w:val="center"/>
          </w:tcPr>
          <w:p>
            <w:pPr>
              <w:pStyle w:val="58"/>
              <w:rPr>
                <w:rFonts w:hint="eastAsia"/>
              </w:rPr>
            </w:pPr>
            <w:r>
              <w:rPr>
                <w:rFonts w:hint="eastAsia"/>
              </w:rPr>
              <w:t>影响的广泛程度。对于负面影响，其范围例如受影响的个人数量或环境破坏的区域范围。对于正面影响，其范围例如受到或可能受到正面影响的个人数量或环境资源范围。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不可补救性</w:t>
            </w:r>
          </w:p>
        </w:tc>
        <w:tc>
          <w:tcPr>
            <w:tcW w:w="3636" w:type="pct"/>
            <w:vAlign w:val="center"/>
          </w:tcPr>
          <w:p>
            <w:pPr>
              <w:pStyle w:val="58"/>
              <w:rPr>
                <w:rFonts w:hint="eastAsia"/>
              </w:rPr>
            </w:pPr>
            <w:r>
              <w:rPr>
                <w:rFonts w:hint="eastAsia"/>
              </w:rPr>
              <w:t>对于负面影响，其不可补救性</w:t>
            </w:r>
            <w:r>
              <w:rPr>
                <w:rFonts w:hint="eastAsia"/>
                <w:lang w:eastAsia="zh-CN"/>
              </w:rPr>
              <w:t>是</w:t>
            </w:r>
            <w:r>
              <w:rPr>
                <w:rFonts w:hint="eastAsia"/>
              </w:rPr>
              <w:t>指抵消或弥补伤害的难度。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可能性</w:t>
            </w:r>
          </w:p>
        </w:tc>
        <w:tc>
          <w:tcPr>
            <w:tcW w:w="3636" w:type="pct"/>
            <w:vAlign w:val="center"/>
          </w:tcPr>
          <w:p>
            <w:pPr>
              <w:pStyle w:val="58"/>
              <w:rPr>
                <w:rFonts w:hint="eastAsia"/>
              </w:rPr>
            </w:pPr>
            <w:r>
              <w:rPr>
                <w:rFonts w:hint="eastAsia"/>
              </w:rPr>
              <w:t>1.潜在负面影响或正面影响的可能性是指负面影响或正面影响发生的概率。</w:t>
            </w:r>
          </w:p>
          <w:p>
            <w:pPr>
              <w:pStyle w:val="58"/>
              <w:rPr>
                <w:rFonts w:hint="eastAsia"/>
              </w:rPr>
            </w:pPr>
            <w:r>
              <w:rPr>
                <w:rFonts w:hint="eastAsia"/>
              </w:rPr>
              <w:t>2.影响的可能性可以定性衡量（例如，采用“非常有可能”、“很可能”、“一般可能”、“不可能”等的一般术语；采用“每年一次”、“三年一次”、“五年一次”等频率）或定量衡量（例如，采用</w:t>
            </w:r>
            <w:r>
              <w:t>0-100%</w:t>
            </w:r>
            <w:r>
              <w:rPr>
                <w:rFonts w:hint="eastAsia"/>
              </w:rPr>
              <w:t>的概率法）。</w:t>
            </w:r>
          </w:p>
        </w:tc>
      </w:tr>
    </w:tbl>
    <w:p>
      <w:pPr>
        <w:pStyle w:val="57"/>
      </w:pPr>
      <w:r>
        <w:t>表1.7 负面影响重要性评估因素打分示例</w:t>
      </w:r>
    </w:p>
    <w:tbl>
      <w:tblPr>
        <w:tblStyle w:val="56"/>
        <w:tblW w:w="4862"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741"/>
        <w:gridCol w:w="1415"/>
        <w:gridCol w:w="760"/>
        <w:gridCol w:w="1517"/>
        <w:gridCol w:w="748"/>
        <w:gridCol w:w="122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规模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范围</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不可补救性</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可能性</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不可能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极小</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有限</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短期内相对容易补救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轻微可能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轻度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集中</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可努力补救（需要时间和成本）</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一般可能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难以补救或需要在中期内补救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很可能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高度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广泛</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很难补救或需要在长期内补救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非常有可能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十分严重</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全球</w:t>
            </w:r>
            <w:r>
              <w:t>/</w:t>
            </w:r>
            <w:r>
              <w:rPr>
                <w:rFonts w:hint="eastAsia"/>
              </w:rPr>
              <w:t>全部</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无法补救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可能性极高</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5</w:t>
            </w:r>
          </w:p>
        </w:tc>
      </w:tr>
    </w:tbl>
    <w:p>
      <w:pPr>
        <w:pStyle w:val="58"/>
        <w:rPr>
          <w:rFonts w:hint="eastAsia"/>
        </w:rPr>
      </w:pPr>
      <w:r>
        <w:rPr>
          <w:rFonts w:hint="eastAsia"/>
        </w:rPr>
        <w:t>注：表格中文字、数值仅供示例参考，公司应结合自身情况确定。</w:t>
      </w:r>
    </w:p>
    <w:p>
      <w:pPr>
        <w:rPr>
          <w:rFonts w:hint="eastAsia"/>
        </w:rPr>
      </w:pPr>
      <w:r>
        <w:rPr>
          <w:rFonts w:hint="eastAsia"/>
        </w:rPr>
        <w:t>（2）关键利益相关方与专家的参与</w:t>
      </w:r>
    </w:p>
    <w:p>
      <w:pPr>
        <w:rPr>
          <w:rFonts w:hint="eastAsia"/>
        </w:rPr>
      </w:pPr>
      <w:r>
        <w:rPr>
          <w:rFonts w:hint="eastAsia"/>
        </w:rPr>
        <w:t>披露主体可以与关键受影响的利益相关方（如员工代表等）进行沟通，了解利益相关方可能受到的影响，深入评估影响的规模、范围和可能性。利益相关方调研是公司得出影响重要性分析结果的重要方式，其主要流程包括确定关键利益相关方、搜集相关方意见、确定利益相关方的权重、综合形成调研结果等。公司可以采用问卷的方式开展利益相关方调研，</w:t>
      </w:r>
      <w:r>
        <w:rPr>
          <w:rFonts w:hint="eastAsia"/>
          <w:lang w:eastAsia="zh-CN"/>
        </w:rPr>
        <w:t>并</w:t>
      </w:r>
      <w:r>
        <w:rPr>
          <w:rFonts w:hint="eastAsia"/>
        </w:rPr>
        <w:t>通过利益相关方座谈会等方式提升调研结果的精确性和平衡性</w:t>
      </w:r>
      <w:r>
        <w:rPr>
          <w:rFonts w:hint="eastAsia"/>
          <w:lang w:eastAsia="zh-CN"/>
        </w:rPr>
        <w:t>，</w:t>
      </w:r>
      <w:r>
        <w:rPr>
          <w:rFonts w:hint="eastAsia"/>
        </w:rPr>
        <w:t>也可以采用不同背景的专家评分方式，作为调研的替代方案。</w:t>
      </w:r>
    </w:p>
    <w:p>
      <w:pPr>
        <w:rPr>
          <w:rFonts w:hint="eastAsia"/>
        </w:rPr>
      </w:pPr>
      <w:r>
        <w:rPr>
          <w:rFonts w:hint="eastAsia"/>
        </w:rPr>
        <w:t>（3）设置判定影响重要性的阈值</w:t>
      </w:r>
    </w:p>
    <w:p>
      <w:pPr>
        <w:rPr>
          <w:rFonts w:hint="eastAsia"/>
        </w:rPr>
      </w:pPr>
      <w:r>
        <w:rPr>
          <w:rFonts w:hint="eastAsia"/>
        </w:rPr>
        <w:t>披露主体可充分考虑利益相关方和专家的意见，设置适当的阈值来评估实际和潜在影响是否重大，根据影响的重要性排定优先顺序，进一步提供优先级排序结果。</w:t>
      </w:r>
    </w:p>
    <w:p>
      <w:pPr>
        <w:rPr>
          <w:rFonts w:hint="eastAsia"/>
        </w:rPr>
      </w:pPr>
      <w:r>
        <w:rPr>
          <w:rFonts w:hint="eastAsia"/>
        </w:rPr>
        <w:t>（4）形成影响重要性评估结论</w:t>
      </w:r>
    </w:p>
    <w:p>
      <w:pPr>
        <w:rPr>
          <w:rFonts w:hint="eastAsia"/>
        </w:rPr>
      </w:pPr>
      <w:r>
        <w:rPr>
          <w:rFonts w:hint="eastAsia"/>
        </w:rPr>
        <w:t>基于利益相关方调研或专家评分结果等方式，将各议题影响重要性评分与阈值进行比较，</w:t>
      </w:r>
      <w:r>
        <w:rPr>
          <w:rFonts w:hint="eastAsia"/>
          <w:lang w:eastAsia="zh-CN"/>
        </w:rPr>
        <w:t>披露主体</w:t>
      </w:r>
      <w:r>
        <w:rPr>
          <w:rFonts w:hint="eastAsia"/>
        </w:rPr>
        <w:t>可以得出议题影响重要性的分析结果。</w:t>
      </w:r>
    </w:p>
    <w:p>
      <w:pPr>
        <w:rPr>
          <w:rFonts w:hint="eastAsia"/>
        </w:rPr>
      </w:pPr>
      <w:r>
        <w:rPr>
          <w:rFonts w:hint="eastAsia"/>
        </w:rPr>
        <w:t>当特定议题的影响重要性已成为行业共识时，</w:t>
      </w:r>
      <w:r>
        <w:rPr>
          <w:rFonts w:hint="eastAsia"/>
          <w:lang w:eastAsia="zh-CN"/>
        </w:rPr>
        <w:t>披露主体</w:t>
      </w:r>
      <w:r>
        <w:rPr>
          <w:rFonts w:hint="eastAsia"/>
        </w:rPr>
        <w:t>可以认为这种影响是重要的，而无须对其规模、范围和不可补救性再进行深入分析，但仍需对其他潜在议题按照披露主体自身的影响进行分析。</w:t>
      </w:r>
    </w:p>
    <w:p>
      <w:pPr>
        <w:rPr>
          <w:rFonts w:hint="eastAsia"/>
        </w:rPr>
      </w:pPr>
      <w:r>
        <w:rPr>
          <w:rFonts w:hint="eastAsia"/>
        </w:rPr>
        <w:t>2.财务重要性评估</w:t>
      </w:r>
    </w:p>
    <w:p>
      <w:pPr>
        <w:rPr>
          <w:rFonts w:hint="eastAsia"/>
        </w:rPr>
      </w:pPr>
      <w:r>
        <w:rPr>
          <w:rFonts w:hint="eastAsia"/>
        </w:rPr>
        <w:t>财务重要性信息主要满足通用目的财务报告主要使用者的信息需求。财务重要性评估首先需要识别影响或可能影响公司业务运营、财务状况、经营成果、现金流等的风险和机遇，然后评估是否产生重大财务影响。</w:t>
      </w:r>
    </w:p>
    <w:p>
      <w:pPr>
        <w:rPr>
          <w:rFonts w:hint="eastAsia"/>
        </w:rPr>
      </w:pPr>
      <w:r>
        <w:rPr>
          <w:rFonts w:hint="eastAsia"/>
        </w:rPr>
        <w:t>（1）财务重要性评估因素</w:t>
      </w:r>
    </w:p>
    <w:p>
      <w:pPr>
        <w:rPr>
          <w:rFonts w:hint="eastAsia"/>
        </w:rPr>
      </w:pPr>
      <w:r>
        <w:rPr>
          <w:rFonts w:hint="eastAsia"/>
        </w:rPr>
        <w:t>财务重要性评估要结合财务影响发生的可能性、财务影响的程度判断。其中，财务影响的程度可从对于资源和关系的依赖和影响角度进行分析，如水资源、矿产等自然资源，员工等人力资源，投资者、上游供应商、下游客户等社会关系。</w:t>
      </w:r>
      <w:r>
        <w:rPr>
          <w:rFonts w:hint="eastAsia"/>
          <w:lang w:eastAsia="zh-CN"/>
        </w:rPr>
        <w:t>例</w:t>
      </w:r>
      <w:r>
        <w:rPr>
          <w:rFonts w:hint="eastAsia"/>
        </w:rPr>
        <w:t>如</w:t>
      </w:r>
      <w:r>
        <w:rPr>
          <w:rFonts w:hint="eastAsia"/>
          <w:lang w:eastAsia="zh-CN"/>
        </w:rPr>
        <w:t>，</w:t>
      </w:r>
      <w:r>
        <w:rPr>
          <w:rFonts w:hint="eastAsia"/>
        </w:rPr>
        <w:t>在评估“水资源利用”议题时，</w:t>
      </w:r>
      <w:r>
        <w:rPr>
          <w:rFonts w:hint="eastAsia"/>
          <w:lang w:eastAsia="zh-CN"/>
        </w:rPr>
        <w:t>可</w:t>
      </w:r>
      <w:r>
        <w:rPr>
          <w:rFonts w:hint="eastAsia"/>
        </w:rPr>
        <w:t>考虑未来水资源可用供给、价格对公司产品定价和利润的影响程度；在评估“产品和服务安全与质量”议题时，</w:t>
      </w:r>
      <w:r>
        <w:rPr>
          <w:rFonts w:hint="eastAsia"/>
          <w:lang w:eastAsia="zh-CN"/>
        </w:rPr>
        <w:t>可</w:t>
      </w:r>
      <w:r>
        <w:rPr>
          <w:rFonts w:hint="eastAsia"/>
        </w:rPr>
        <w:t>考虑与客户的关系中，产品和服务安全与质量问题对于品牌声誉、产品销量、收入等的影响程度。公司可深入考虑和识别议题进一步对公司财务报表（例如收入、成本、总资产、净资产、利润、现金流等）可能产生的正面或负面影响。</w:t>
      </w:r>
    </w:p>
    <w:p>
      <w:pPr>
        <w:pStyle w:val="57"/>
      </w:pPr>
      <w:r>
        <w:t>表1.</w:t>
      </w:r>
      <w:r>
        <w:rPr>
          <w:rFonts w:hint="eastAsia"/>
          <w:lang w:val="en-US" w:eastAsia="zh-CN"/>
        </w:rPr>
        <w:t>8</w:t>
      </w:r>
      <w:r>
        <w:t xml:space="preserve"> 财务影响程度分析示例</w:t>
      </w:r>
    </w:p>
    <w:tbl>
      <w:tblPr>
        <w:tblStyle w:val="56"/>
        <w:tblW w:w="484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229"/>
        <w:gridCol w:w="1938"/>
        <w:gridCol w:w="1100"/>
        <w:gridCol w:w="109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资源的依赖/影响</w:t>
            </w: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c>
          <w:tcPr>
            <w:tcW w:w="666"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关系的依赖</w:t>
            </w:r>
            <w:r>
              <w:rPr>
                <w:rFonts w:hint="eastAsia"/>
                <w:lang w:val="en-US" w:eastAsia="zh-CN"/>
              </w:rPr>
              <w:t>/影响</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7"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例如，能源利用、水资源利用等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短期、中期和长期内都没有影响（影响极小）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c>
          <w:tcPr>
            <w:tcW w:w="666"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w:t>
            </w:r>
            <w:r>
              <w:rPr>
                <w:rFonts w:hint="eastAsia"/>
                <w:lang w:eastAsia="zh-CN"/>
              </w:rPr>
              <w:t>员工、</w:t>
            </w:r>
            <w:r>
              <w:rPr>
                <w:rFonts w:hint="eastAsia"/>
              </w:rPr>
              <w:t>产品和服务安全与质量、创新驱动、供应链安全、反不正当竞争等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目前中立，未来可能有</w:t>
            </w:r>
            <w:r>
              <w:rPr>
                <w:rFonts w:hint="eastAsia"/>
                <w:lang w:eastAsia="zh-CN"/>
              </w:rPr>
              <w:t>影响</w:t>
            </w:r>
            <w:r>
              <w:rPr>
                <w:rFonts w:hint="eastAsia"/>
              </w:rPr>
              <w:t>（影响极小）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在短期、中期和长期内可能有影响（影响较小）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目前或将来有消极</w:t>
            </w:r>
            <w:r>
              <w:rPr>
                <w:rFonts w:hint="eastAsia"/>
                <w:lang w:eastAsia="zh-CN"/>
              </w:rPr>
              <w:t>影响</w:t>
            </w:r>
            <w:r>
              <w:rPr>
                <w:rFonts w:hint="eastAsia"/>
              </w:rPr>
              <w:t>（影响较小）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短期内可能有影响，中期内使用成本高昂，长期内使用成本非常高昂（影响中等）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目前有消极</w:t>
            </w:r>
            <w:r>
              <w:rPr>
                <w:rFonts w:hint="eastAsia"/>
                <w:lang w:eastAsia="zh-CN"/>
              </w:rPr>
              <w:t>影响</w:t>
            </w:r>
            <w:r>
              <w:rPr>
                <w:rFonts w:hint="eastAsia"/>
              </w:rPr>
              <w:t>，将来可能出现负面</w:t>
            </w:r>
            <w:r>
              <w:rPr>
                <w:rFonts w:hint="eastAsia"/>
                <w:lang w:eastAsia="zh-CN"/>
              </w:rPr>
              <w:t>影响</w:t>
            </w:r>
            <w:r>
              <w:rPr>
                <w:rFonts w:hint="eastAsia"/>
              </w:rPr>
              <w:t>（影响中等）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短期内可能使用但成本高昂，中期内资源匮乏或成本非常高昂，长期不可能使用（影响较大）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目前有负面</w:t>
            </w:r>
            <w:r>
              <w:rPr>
                <w:rFonts w:hint="eastAsia"/>
                <w:lang w:eastAsia="zh-CN"/>
              </w:rPr>
              <w:t>影响</w:t>
            </w:r>
            <w:r>
              <w:rPr>
                <w:rFonts w:hint="eastAsia"/>
              </w:rPr>
              <w:t>，将来可能出现强烈的负面</w:t>
            </w:r>
            <w:r>
              <w:rPr>
                <w:rFonts w:hint="eastAsia"/>
                <w:lang w:eastAsia="zh-CN"/>
              </w:rPr>
              <w:t>影响</w:t>
            </w:r>
            <w:r>
              <w:rPr>
                <w:rFonts w:hint="eastAsia"/>
              </w:rPr>
              <w:t>（影响较大）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不可能使用，成本非常高昂，或在短期内无法获得（影响极大）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c>
          <w:tcPr>
            <w:tcW w:w="666"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目前或将来很可能出现强烈的负面</w:t>
            </w:r>
            <w:r>
              <w:rPr>
                <w:rFonts w:hint="eastAsia"/>
                <w:lang w:eastAsia="zh-CN"/>
              </w:rPr>
              <w:t>影响</w:t>
            </w:r>
            <w:r>
              <w:rPr>
                <w:rFonts w:hint="eastAsia"/>
              </w:rPr>
              <w:t>（影响极大）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rPr>
          <w:rFonts w:hint="eastAsia"/>
        </w:rPr>
      </w:pPr>
      <w:r>
        <w:rPr>
          <w:rFonts w:hint="eastAsia"/>
        </w:rPr>
        <w:t>此外，财务报表主要反映历史信息，可持续发展报告中财务重要性评估还需考虑未来信息，两者时间跨度不一致。公司可能需要考虑可持续议题在较长时间内对收入、成本等财务因素累积的影响。同样，对于财务影响发生的可能性，也需要考虑一段时间内累积的概率，以涵盖长期范围。</w:t>
      </w:r>
    </w:p>
    <w:p>
      <w:pPr>
        <w:rPr>
          <w:rFonts w:hint="eastAsia"/>
        </w:rPr>
      </w:pPr>
      <w:r>
        <w:rPr>
          <w:rFonts w:hint="eastAsia"/>
        </w:rPr>
        <w:t>（</w:t>
      </w:r>
      <w:r>
        <w:rPr>
          <w:rFonts w:hint="eastAsia"/>
          <w:lang w:val="en-US" w:eastAsia="zh-CN"/>
        </w:rPr>
        <w:t>2</w:t>
      </w:r>
      <w:r>
        <w:rPr>
          <w:rFonts w:hint="eastAsia"/>
        </w:rPr>
        <w:t>）利益相关方与专家参与</w:t>
      </w:r>
    </w:p>
    <w:p>
      <w:pPr>
        <w:rPr>
          <w:rFonts w:hint="eastAsia"/>
        </w:rPr>
      </w:pPr>
      <w:r>
        <w:rPr>
          <w:rFonts w:hint="eastAsia"/>
        </w:rPr>
        <w:t>通过对公司</w:t>
      </w:r>
      <w:r>
        <w:rPr>
          <w:rFonts w:hint="eastAsia"/>
          <w:lang w:eastAsia="zh-CN"/>
        </w:rPr>
        <w:t>内部相关部门及管理层，以及</w:t>
      </w:r>
      <w:r>
        <w:rPr>
          <w:rFonts w:hint="eastAsia"/>
        </w:rPr>
        <w:t>股东、投资者和债权人等利益相关方开展调研，就财务重要性议题进行沟通，可以帮助公司确定财务重要性议题，也可通过采用不同背景的专家评分方式，作为利益相关方调研的替代方案。</w:t>
      </w:r>
    </w:p>
    <w:p>
      <w:pPr>
        <w:rPr>
          <w:rFonts w:hint="eastAsia"/>
        </w:rPr>
      </w:pPr>
      <w:r>
        <w:rPr>
          <w:rFonts w:hint="eastAsia"/>
        </w:rPr>
        <w:t>（</w:t>
      </w:r>
      <w:r>
        <w:rPr>
          <w:rFonts w:hint="eastAsia"/>
          <w:lang w:val="en-US" w:eastAsia="zh-CN"/>
        </w:rPr>
        <w:t>3</w:t>
      </w:r>
      <w:r>
        <w:rPr>
          <w:rFonts w:hint="eastAsia"/>
        </w:rPr>
        <w:t>）设置判定财务重要性的阈值</w:t>
      </w:r>
    </w:p>
    <w:p>
      <w:pPr>
        <w:rPr>
          <w:rFonts w:hint="eastAsia"/>
        </w:rPr>
      </w:pPr>
      <w:r>
        <w:rPr>
          <w:rFonts w:hint="eastAsia"/>
        </w:rPr>
        <w:t>定量和定性因素均可被作为财务重要性的判断阈值。如某项可持续议题在当前无法量化其财务影响，其阈值可以依据定性因素和可能影响的范围（高</w:t>
      </w:r>
      <w:r>
        <w:t>/</w:t>
      </w:r>
      <w:r>
        <w:rPr>
          <w:rFonts w:hint="eastAsia"/>
        </w:rPr>
        <w:t>中</w:t>
      </w:r>
      <w:r>
        <w:t>/</w:t>
      </w:r>
      <w:r>
        <w:rPr>
          <w:rFonts w:hint="eastAsia"/>
        </w:rPr>
        <w:t>低）进行评估。例如，根据公司所在的行业、其商业模式的特点或运营情况，公司可能面临特定的声誉风险，虽然现金流影响难以量化，但声誉风险可能会影响资金可得性或融资成本，因此可能具有财务重要性。</w:t>
      </w:r>
    </w:p>
    <w:p>
      <w:pPr>
        <w:pStyle w:val="57"/>
      </w:pPr>
      <w:r>
        <w:t>表1.</w:t>
      </w:r>
      <w:r>
        <w:rPr>
          <w:rFonts w:hint="eastAsia"/>
          <w:lang w:val="en-US" w:eastAsia="zh-CN"/>
        </w:rPr>
        <w:t>9</w:t>
      </w:r>
      <w:r>
        <w:t xml:space="preserve"> 定性阈值判断示例</w:t>
      </w:r>
    </w:p>
    <w:tbl>
      <w:tblPr>
        <w:tblStyle w:val="22"/>
        <w:tblpPr w:leftFromText="180" w:rightFromText="180" w:vertAnchor="text" w:horzAnchor="page" w:tblpX="1793" w:tblpY="160"/>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shd w:val="clear" w:color="auto" w:fill="auto"/>
            <w:vAlign w:val="center"/>
          </w:tcPr>
          <w:p>
            <w:pPr>
              <w:pStyle w:val="58"/>
              <w:jc w:val="center"/>
              <w:rPr>
                <w:rFonts w:hint="eastAsia"/>
              </w:rPr>
            </w:pPr>
            <w:r>
              <w:rPr>
                <w:rFonts w:hint="eastAsia"/>
              </w:rPr>
              <w:t>财务影响</w:t>
            </w:r>
          </w:p>
        </w:tc>
        <w:tc>
          <w:tcPr>
            <w:tcW w:w="3386" w:type="pct"/>
            <w:vAlign w:val="center"/>
          </w:tcPr>
          <w:p>
            <w:pPr>
              <w:pStyle w:val="58"/>
              <w:jc w:val="center"/>
              <w:rPr>
                <w:rFonts w:hint="eastAsia"/>
              </w:rPr>
            </w:pPr>
            <w:r>
              <w:rPr>
                <w:rFonts w:hint="eastAsia"/>
              </w:rPr>
              <w:t>是否具有财务重要性（假设阈值为“中等”）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3" w:type="pct"/>
            <w:vAlign w:val="center"/>
          </w:tcPr>
          <w:p>
            <w:pPr>
              <w:pStyle w:val="58"/>
              <w:jc w:val="center"/>
              <w:rPr>
                <w:rFonts w:hint="eastAsia"/>
              </w:rPr>
            </w:pPr>
            <w:r>
              <w:rPr>
                <w:rFonts w:hint="eastAsia"/>
              </w:rPr>
              <w:t>中等</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较大</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极大</w:t>
            </w:r>
          </w:p>
        </w:tc>
        <w:tc>
          <w:tcPr>
            <w:tcW w:w="3386" w:type="pct"/>
            <w:vAlign w:val="center"/>
          </w:tcPr>
          <w:p>
            <w:pPr>
              <w:pStyle w:val="58"/>
              <w:jc w:val="center"/>
              <w:rPr>
                <w:rFonts w:hint="eastAsia"/>
              </w:rPr>
            </w:pPr>
            <w:r>
              <w:rPr>
                <w:rFonts w:hint="eastAsia"/>
              </w:rPr>
              <w:t>是</w:t>
            </w:r>
          </w:p>
        </w:tc>
      </w:tr>
    </w:tbl>
    <w:p>
      <w:pPr>
        <w:pStyle w:val="58"/>
        <w:rPr>
          <w:rFonts w:hint="eastAsia" w:eastAsia="仿宋_GB2312"/>
          <w:szCs w:val="30"/>
          <w:lang w:bidi="ar"/>
        </w:rPr>
      </w:pPr>
      <w:r>
        <w:rPr>
          <w:rFonts w:hint="eastAsia"/>
        </w:rPr>
        <w:t>注：表格中文字、数值仅供示例参考，公司应结合自身情况确定。</w:t>
      </w:r>
    </w:p>
    <w:p>
      <w:pPr>
        <w:rPr>
          <w:rFonts w:hint="eastAsia"/>
        </w:rPr>
      </w:pPr>
      <w:r>
        <w:rPr>
          <w:rFonts w:hint="eastAsia"/>
        </w:rPr>
        <w:t>定量角度下，公司可考虑设定绝对货币阈值或相对阈值，例如与其主要财务报表的收入、成本、总资产、净资产、利润等项目相对应的金额的百分比，以便判断影响的重大程度。示例如下：</w:t>
      </w:r>
    </w:p>
    <w:p>
      <w:pPr>
        <w:pStyle w:val="57"/>
      </w:pPr>
      <w:r>
        <w:t>表1.1</w:t>
      </w:r>
      <w:r>
        <w:rPr>
          <w:rFonts w:hint="eastAsia"/>
          <w:lang w:val="en-US" w:eastAsia="zh-CN"/>
        </w:rPr>
        <w:t>0</w:t>
      </w:r>
      <w:r>
        <w:t xml:space="preserve"> 定量阈值判断示例1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3201"/>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shd w:val="clear" w:color="auto" w:fill="auto"/>
            <w:vAlign w:val="center"/>
          </w:tcPr>
          <w:p>
            <w:pPr>
              <w:pStyle w:val="58"/>
              <w:rPr>
                <w:rFonts w:hint="eastAsia"/>
              </w:rPr>
            </w:pPr>
            <w:r>
              <w:rPr>
                <w:rFonts w:hint="eastAsia"/>
              </w:rPr>
              <w:t>项目</w:t>
            </w:r>
          </w:p>
        </w:tc>
        <w:tc>
          <w:tcPr>
            <w:tcW w:w="1878" w:type="pct"/>
            <w:shd w:val="clear" w:color="auto" w:fill="auto"/>
            <w:vAlign w:val="center"/>
          </w:tcPr>
          <w:p>
            <w:pPr>
              <w:pStyle w:val="58"/>
              <w:rPr>
                <w:rFonts w:hint="eastAsia"/>
              </w:rPr>
            </w:pPr>
            <w:r>
              <w:rPr>
                <w:rFonts w:hint="eastAsia"/>
              </w:rPr>
              <w:t>货币价值（万元）</w:t>
            </w:r>
          </w:p>
        </w:tc>
        <w:tc>
          <w:tcPr>
            <w:tcW w:w="1843"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restart"/>
            <w:vAlign w:val="center"/>
          </w:tcPr>
          <w:p>
            <w:pPr>
              <w:pStyle w:val="58"/>
              <w:rPr>
                <w:rFonts w:hint="eastAsia"/>
              </w:rPr>
            </w:pPr>
            <w:r>
              <w:rPr>
                <w:rFonts w:hint="eastAsia"/>
              </w:rPr>
              <w:t>可持续风险和机遇预期可能在收入、成本、净利润、总资产、净资产等</w:t>
            </w:r>
            <w:r>
              <w:rPr>
                <w:rFonts w:hint="eastAsia"/>
                <w:lang w:eastAsia="zh-CN"/>
              </w:rPr>
              <w:t>方面</w:t>
            </w:r>
            <w:r>
              <w:rPr>
                <w:rFonts w:hint="eastAsia"/>
              </w:rPr>
              <w:t>产生的</w:t>
            </w:r>
            <w:r>
              <w:rPr>
                <w:rFonts w:hint="eastAsia"/>
                <w:lang w:eastAsia="zh-CN"/>
              </w:rPr>
              <w:t>财务</w:t>
            </w:r>
            <w:r>
              <w:rPr>
                <w:rFonts w:hint="eastAsia"/>
              </w:rPr>
              <w:t>影响</w:t>
            </w:r>
          </w:p>
        </w:tc>
        <w:tc>
          <w:tcPr>
            <w:tcW w:w="1878" w:type="pct"/>
            <w:vAlign w:val="center"/>
          </w:tcPr>
          <w:p>
            <w:pPr>
              <w:pStyle w:val="58"/>
              <w:rPr>
                <w:rFonts w:hint="eastAsia"/>
              </w:rPr>
            </w:pPr>
            <w:r>
              <w:rPr>
                <w:rFonts w:hint="eastAsia"/>
              </w:rPr>
              <w:t>&lt;100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100～500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500～1000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1000～5000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highlight w:val="none"/>
                <w:lang w:eastAsia="zh-CN"/>
              </w:rPr>
              <w:t>&gt;</w:t>
            </w:r>
            <w:r>
              <w:rPr>
                <w:rFonts w:hint="eastAsia"/>
              </w:rPr>
              <w:t>5000</w:t>
            </w:r>
          </w:p>
        </w:tc>
        <w:tc>
          <w:tcPr>
            <w:tcW w:w="1843" w:type="pct"/>
            <w:vAlign w:val="center"/>
          </w:tcPr>
          <w:p>
            <w:pPr>
              <w:pStyle w:val="58"/>
              <w:rPr>
                <w:rFonts w:hint="eastAsia"/>
              </w:rPr>
            </w:pPr>
            <w:r>
              <w:rPr>
                <w:rFonts w:hint="eastAsia"/>
              </w:rPr>
              <w:t>是</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pStyle w:val="57"/>
      </w:pPr>
      <w:r>
        <w:t>表1.1</w:t>
      </w:r>
      <w:r>
        <w:rPr>
          <w:rFonts w:hint="eastAsia"/>
          <w:lang w:val="en-US" w:eastAsia="zh-CN"/>
        </w:rPr>
        <w:t>1</w:t>
      </w:r>
      <w:r>
        <w:t xml:space="preserve"> 定量阈值判断示例2</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200"/>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shd w:val="clear" w:color="auto" w:fill="auto"/>
            <w:vAlign w:val="center"/>
          </w:tcPr>
          <w:p>
            <w:pPr>
              <w:pStyle w:val="58"/>
              <w:jc w:val="center"/>
              <w:rPr>
                <w:rFonts w:hint="eastAsia"/>
              </w:rPr>
            </w:pPr>
            <w:r>
              <w:rPr>
                <w:rFonts w:hint="eastAsia"/>
              </w:rPr>
              <w:t>项目</w:t>
            </w:r>
          </w:p>
        </w:tc>
        <w:tc>
          <w:tcPr>
            <w:tcW w:w="1878" w:type="pct"/>
            <w:shd w:val="clear" w:color="auto" w:fill="auto"/>
            <w:vAlign w:val="center"/>
          </w:tcPr>
          <w:p>
            <w:pPr>
              <w:pStyle w:val="58"/>
              <w:jc w:val="center"/>
              <w:rPr>
                <w:rFonts w:hint="eastAsia"/>
              </w:rPr>
            </w:pPr>
            <w:r>
              <w:rPr>
                <w:rFonts w:hint="eastAsia"/>
              </w:rPr>
              <w:t>百分比</w:t>
            </w:r>
          </w:p>
        </w:tc>
        <w:tc>
          <w:tcPr>
            <w:tcW w:w="1845"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（假设阈值为“净利润的</w:t>
            </w:r>
            <w: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restart"/>
          </w:tcPr>
          <w:p>
            <w:pPr>
              <w:pStyle w:val="58"/>
              <w:rPr>
                <w:rFonts w:hint="eastAsia" w:eastAsia="仿宋"/>
                <w:lang w:eastAsia="zh-CN"/>
              </w:rPr>
            </w:pPr>
            <w:r>
              <w:rPr>
                <w:rFonts w:hint="eastAsia"/>
              </w:rPr>
              <w:t>可持续风险和机遇预期可能</w:t>
            </w:r>
            <w:r>
              <w:rPr>
                <w:rFonts w:hint="eastAsia"/>
                <w:lang w:eastAsia="zh-CN"/>
              </w:rPr>
              <w:t>对</w:t>
            </w:r>
            <w:r>
              <w:rPr>
                <w:rFonts w:hint="eastAsia"/>
              </w:rPr>
              <w:t>净利润的</w:t>
            </w:r>
            <w:r>
              <w:rPr>
                <w:rFonts w:hint="eastAsia"/>
                <w:lang w:eastAsia="zh-CN"/>
              </w:rPr>
              <w:t>影响</w:t>
            </w:r>
          </w:p>
        </w:tc>
        <w:tc>
          <w:tcPr>
            <w:tcW w:w="1878" w:type="pct"/>
          </w:tcPr>
          <w:p>
            <w:pPr>
              <w:pStyle w:val="58"/>
              <w:rPr>
                <w:rFonts w:hint="eastAsia"/>
              </w:rPr>
            </w:pPr>
            <w:r>
              <w:rPr>
                <w:rFonts w:hint="eastAsia"/>
              </w:rPr>
              <w:t>&lt;净利润的1%</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1%-5%</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5%-10%</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10%-</w:t>
            </w:r>
            <w:r>
              <w:rPr>
                <w:rFonts w:hint="eastAsia"/>
              </w:rPr>
              <w:t>15</w:t>
            </w:r>
            <w:r>
              <w:t>%</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shd w:val="clear" w:color="auto" w:fill="auto"/>
          </w:tcPr>
          <w:p>
            <w:pPr>
              <w:pStyle w:val="58"/>
              <w:rPr>
                <w:rFonts w:hint="eastAsia"/>
              </w:rPr>
            </w:pPr>
            <w:r>
              <w:rPr>
                <w:rFonts w:hint="eastAsia"/>
              </w:rPr>
              <w:t>&gt;净利润的15%</w:t>
            </w:r>
          </w:p>
        </w:tc>
        <w:tc>
          <w:tcPr>
            <w:tcW w:w="1845" w:type="pct"/>
            <w:vAlign w:val="center"/>
          </w:tcPr>
          <w:p>
            <w:pPr>
              <w:pStyle w:val="58"/>
              <w:rPr>
                <w:rFonts w:hint="eastAsia"/>
              </w:rPr>
            </w:pPr>
            <w:r>
              <w:rPr>
                <w:rFonts w:hint="eastAsia"/>
              </w:rPr>
              <w:t>是</w:t>
            </w:r>
          </w:p>
        </w:tc>
      </w:tr>
    </w:tbl>
    <w:p>
      <w:pPr>
        <w:pStyle w:val="58"/>
        <w:rPr>
          <w:rFonts w:hint="eastAsia" w:ascii="仿宋_GB2312" w:eastAsia="仿宋_GB2312"/>
          <w:szCs w:val="30"/>
          <w:lang w:bidi="ar"/>
        </w:rPr>
      </w:pPr>
      <w:r>
        <w:rPr>
          <w:rFonts w:hint="eastAsia"/>
        </w:rPr>
        <w:t>注：表格中文字、数值仅供示例参考，公司应结合自身情况确定。</w:t>
      </w:r>
    </w:p>
    <w:p>
      <w:pPr>
        <w:rPr>
          <w:rFonts w:hint="eastAsia"/>
        </w:rPr>
      </w:pPr>
      <w:r>
        <w:rPr>
          <w:rFonts w:hint="eastAsia"/>
        </w:rPr>
        <w:t>在合理预期下，某项可持续风险和机遇信息的忽略、错报或模糊处理会影响信息使用者据此作出决策的，该信息具有重要性。在实践中，用于评估财务报表编制中项目重要性的类似方法可以作为财务重要性评估阈值的参考。</w:t>
      </w:r>
    </w:p>
    <w:p>
      <w:pPr>
        <w:rPr>
          <w:rFonts w:hint="eastAsia"/>
        </w:rPr>
      </w:pPr>
      <w:r>
        <w:rPr>
          <w:rFonts w:hint="eastAsia"/>
        </w:rPr>
        <w:t>此外，公司也可以与公司股东、投资者和债权人等利益相关方进行沟通，以确定阈值设置的合理性。</w:t>
      </w:r>
    </w:p>
    <w:p>
      <w:pPr>
        <w:rPr>
          <w:rFonts w:hint="eastAsia"/>
        </w:rPr>
      </w:pPr>
      <w:r>
        <w:rPr>
          <w:rFonts w:hint="eastAsia"/>
        </w:rPr>
        <w:t>（4）形成财务重要性评估结论</w:t>
      </w:r>
    </w:p>
    <w:p>
      <w:pPr>
        <w:rPr>
          <w:rFonts w:hint="eastAsia"/>
        </w:rPr>
      </w:pPr>
      <w:r>
        <w:rPr>
          <w:rFonts w:hint="eastAsia"/>
        </w:rPr>
        <w:t>基于利益相关方调研或专家评分结果等方式，公司可以得出财务重要性评估的量化分析结果。就特定议题形成的财务重要性评估结果与设置的重要性阈值进行比较，确定该议题是否具有财务重要性。</w:t>
      </w:r>
    </w:p>
    <w:p>
      <w:pPr>
        <w:rPr>
          <w:rFonts w:hint="eastAsia"/>
        </w:rPr>
      </w:pPr>
      <w:r>
        <w:rPr>
          <w:rFonts w:hint="eastAsia"/>
        </w:rPr>
        <w:t>3.整合影响与财务重要性结果</w:t>
      </w:r>
    </w:p>
    <w:p>
      <w:pPr>
        <w:rPr>
          <w:rFonts w:hint="eastAsia"/>
        </w:rPr>
      </w:pPr>
      <w:r>
        <w:rPr>
          <w:rFonts w:hint="eastAsia"/>
        </w:rPr>
        <w:drawing>
          <wp:anchor distT="0" distB="0" distL="114300" distR="114300" simplePos="0" relativeHeight="251659264" behindDoc="0" locked="0" layoutInCell="1" allowOverlap="1">
            <wp:simplePos x="0" y="0"/>
            <wp:positionH relativeFrom="margin">
              <wp:posOffset>858520</wp:posOffset>
            </wp:positionH>
            <wp:positionV relativeFrom="paragraph">
              <wp:posOffset>1508125</wp:posOffset>
            </wp:positionV>
            <wp:extent cx="3716655" cy="3462020"/>
            <wp:effectExtent l="0" t="0" r="0" b="5080"/>
            <wp:wrapTopAndBottom/>
            <wp:docPr id="1499821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21184"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6655" cy="3462020"/>
                    </a:xfrm>
                    <a:prstGeom prst="rect">
                      <a:avLst/>
                    </a:prstGeom>
                    <a:noFill/>
                  </pic:spPr>
                </pic:pic>
              </a:graphicData>
            </a:graphic>
          </wp:anchor>
        </w:drawing>
      </w:r>
      <w:r>
        <w:rPr>
          <w:rFonts w:hint="eastAsia"/>
        </w:rPr>
        <w:t>在评估了各议题的影响、风险与机遇后，公司需要对结果进行汇总</w:t>
      </w:r>
      <w:r>
        <w:rPr>
          <w:rFonts w:hint="eastAsia"/>
          <w:lang w:eastAsia="zh-CN"/>
        </w:rPr>
        <w:t>分析</w:t>
      </w:r>
      <w:r>
        <w:rPr>
          <w:rFonts w:hint="eastAsia"/>
        </w:rPr>
        <w:t>。公司可根据识别出各议题是否具备“重要性”，以及具体的“财务重要性”或“影响重要性”评分，用类似图示法予以体现。</w:t>
      </w:r>
    </w:p>
    <w:p>
      <w:pPr>
        <w:pStyle w:val="57"/>
      </w:pPr>
      <w:bookmarkStart w:id="89" w:name="_Toc19350"/>
      <w:bookmarkStart w:id="90" w:name="_Toc9593"/>
      <w:bookmarkStart w:id="91" w:name="_Toc5714"/>
      <w:bookmarkStart w:id="92" w:name="_Toc11757"/>
      <w:bookmarkStart w:id="93" w:name="_Toc30790"/>
      <w:bookmarkStart w:id="94" w:name="_Toc3359"/>
      <w:bookmarkStart w:id="95" w:name="_Toc32013"/>
      <w:bookmarkStart w:id="96" w:name="_Toc26312"/>
      <w:r>
        <w:t>图1.3 影响与财务重要性整合结果</w:t>
      </w:r>
    </w:p>
    <w:p>
      <w:pPr>
        <w:pStyle w:val="5"/>
        <w:rPr>
          <w:rFonts w:hint="eastAsia" w:eastAsia="仿宋_GB2312"/>
          <w:b/>
          <w:bCs/>
          <w:kern w:val="0"/>
          <w:szCs w:val="30"/>
        </w:rPr>
      </w:pPr>
      <w:bookmarkStart w:id="97" w:name="_Toc180165219"/>
      <w:r>
        <w:rPr>
          <w:rFonts w:hint="eastAsia"/>
        </w:rPr>
        <w:t>（四）步骤四：议题重要性信息披露</w:t>
      </w:r>
      <w:bookmarkEnd w:id="89"/>
      <w:bookmarkEnd w:id="90"/>
      <w:bookmarkEnd w:id="91"/>
      <w:bookmarkEnd w:id="92"/>
      <w:bookmarkEnd w:id="93"/>
      <w:bookmarkEnd w:id="94"/>
      <w:bookmarkEnd w:id="95"/>
      <w:bookmarkEnd w:id="96"/>
      <w:bookmarkEnd w:id="97"/>
    </w:p>
    <w:p>
      <w:pPr>
        <w:rPr>
          <w:rFonts w:hint="eastAsia" w:ascii="仿宋_GB2312" w:hAnsi="仿宋_GB2312" w:eastAsia="仿宋_GB2312" w:cs="仿宋_GB2312"/>
          <w:szCs w:val="30"/>
          <w:lang w:bidi="ar"/>
        </w:rPr>
      </w:pPr>
      <w:r>
        <w:rPr>
          <w:rFonts w:hint="eastAsia"/>
        </w:rPr>
        <w:t>在完成重要性评估流程后，公司应当披露议题重要性的分析过程及其结果。</w:t>
      </w:r>
    </w:p>
    <w:p>
      <w:pPr>
        <w:widowControl/>
        <w:ind w:firstLine="0" w:firstLineChars="0"/>
        <w:rPr>
          <w:rFonts w:hint="eastAsia" w:ascii="黑体" w:hAnsi="黑体" w:eastAsia="黑体"/>
          <w:sz w:val="28"/>
          <w:szCs w:val="28"/>
          <w:lang w:bidi="ar"/>
        </w:rPr>
      </w:pPr>
    </w:p>
    <w:p>
      <w:pPr>
        <w:ind w:firstLine="602"/>
        <w:rPr>
          <w:rFonts w:hint="eastAsia" w:eastAsia="黑体"/>
          <w:b/>
          <w:bCs/>
          <w:sz w:val="30"/>
          <w:szCs w:val="30"/>
        </w:rPr>
      </w:pPr>
      <w:bookmarkStart w:id="98" w:name="_Toc180164953"/>
      <w:r>
        <w:rPr>
          <w:rFonts w:hint="eastAsia" w:eastAsia="黑体"/>
          <w:b/>
          <w:bCs/>
          <w:sz w:val="30"/>
          <w:szCs w:val="30"/>
        </w:rPr>
        <w:br w:type="page"/>
      </w:r>
    </w:p>
    <w:p>
      <w:pPr>
        <w:pStyle w:val="3"/>
        <w:rPr>
          <w:rFonts w:hint="eastAsia"/>
        </w:rPr>
      </w:pPr>
      <w:bookmarkStart w:id="99" w:name="_Toc16324"/>
      <w:r>
        <w:rPr>
          <w:rFonts w:hint="eastAsia"/>
        </w:rPr>
        <w:t>第三节 治理</w:t>
      </w:r>
      <w:bookmarkEnd w:id="98"/>
      <w:bookmarkEnd w:id="99"/>
    </w:p>
    <w:p>
      <w:pPr>
        <w:pStyle w:val="4"/>
        <w:rPr>
          <w:rFonts w:hint="eastAsia"/>
        </w:rPr>
      </w:pPr>
      <w:bookmarkStart w:id="100" w:name="_Toc5202"/>
      <w:bookmarkStart w:id="101" w:name="_Toc28238"/>
      <w:bookmarkStart w:id="102" w:name="_Toc180164957"/>
      <w:bookmarkStart w:id="103" w:name="_Toc18514"/>
      <w:bookmarkStart w:id="104" w:name="_Toc14597"/>
      <w:bookmarkStart w:id="105" w:name="_Toc28628"/>
      <w:bookmarkStart w:id="106" w:name="_Toc28384"/>
      <w:r>
        <w:rPr>
          <w:rFonts w:hint="eastAsia"/>
        </w:rPr>
        <w:t>一、建立可持续发展/ESG治理架构</w:t>
      </w:r>
      <w:bookmarkEnd w:id="100"/>
      <w:bookmarkEnd w:id="101"/>
      <w:bookmarkEnd w:id="102"/>
      <w:bookmarkEnd w:id="103"/>
      <w:bookmarkEnd w:id="104"/>
      <w:bookmarkEnd w:id="105"/>
      <w:bookmarkEnd w:id="106"/>
    </w:p>
    <w:p>
      <w:pPr>
        <w:pStyle w:val="5"/>
        <w:rPr>
          <w:rFonts w:hint="eastAsia"/>
        </w:rPr>
      </w:pPr>
      <w:r>
        <w:rPr>
          <w:rFonts w:hint="eastAsia"/>
        </w:rPr>
        <w:t>（一）常见的公司可持续发展治理架构</w:t>
      </w:r>
    </w:p>
    <w:p>
      <w:pPr>
        <w:rPr>
          <w:rFonts w:hint="eastAsia"/>
        </w:rPr>
      </w:pPr>
      <w:r>
        <w:rPr>
          <w:rFonts w:hint="eastAsia"/>
        </w:rPr>
        <w:t>披露主体应当建立健全公司可持续发展相关治理架构，明确负责管理、监督可持续发展相关影响、风险和机遇的机构（例如董事会及其专门委员会等）以及管理层设置。披露主体应当加强董事会层面的ESG战略整合与监督，强化ESG专门委员会的职能和权限，优化管理层与执行层的执行能力与资源配置。</w:t>
      </w:r>
    </w:p>
    <w:p>
      <w:pPr>
        <w:rPr>
          <w:rFonts w:hint="eastAsia"/>
        </w:rPr>
      </w:pPr>
      <w:r>
        <w:rPr>
          <w:rFonts w:hint="eastAsia"/>
        </w:rPr>
        <w:t>可持续发展相关治理架构一般分为决策层、管理层及执行层三级。常见的可持续发展</w:t>
      </w:r>
      <w:r>
        <w:t>/ESG</w:t>
      </w:r>
      <w:r>
        <w:rPr>
          <w:rFonts w:hint="eastAsia"/>
        </w:rPr>
        <w:t>治理架构设计中，董事会在决策层中发挥核心作用，直接参与</w:t>
      </w:r>
      <w:r>
        <w:t>ESG</w:t>
      </w:r>
      <w:r>
        <w:rPr>
          <w:rFonts w:hint="eastAsia"/>
        </w:rPr>
        <w:t>治理。决策层主要包括</w:t>
      </w:r>
      <w:r>
        <w:rPr>
          <w:rFonts w:hint="eastAsia"/>
          <w:lang w:eastAsia="zh-CN"/>
        </w:rPr>
        <w:t>以下</w:t>
      </w:r>
      <w:r>
        <w:rPr>
          <w:rFonts w:hint="eastAsia"/>
        </w:rPr>
        <w:t>类型：</w:t>
      </w:r>
      <w:r>
        <w:t>ESG</w:t>
      </w:r>
      <w:r>
        <w:rPr>
          <w:rFonts w:hint="eastAsia"/>
        </w:rPr>
        <w:t>决策工作由董事会整体统筹负责、董事会授权现有专门委员会负责、董事会下设置</w:t>
      </w:r>
      <w:r>
        <w:t>ESG</w:t>
      </w:r>
      <w:r>
        <w:rPr>
          <w:rFonts w:hint="eastAsia"/>
        </w:rPr>
        <w:t>专门委员会</w:t>
      </w:r>
      <w:r>
        <w:rPr>
          <w:rFonts w:hint="eastAsia"/>
          <w:lang w:eastAsia="zh-CN"/>
        </w:rPr>
        <w:t>等</w:t>
      </w:r>
      <w:r>
        <w:rPr>
          <w:rFonts w:hint="eastAsia"/>
        </w:rPr>
        <w:t>。</w:t>
      </w:r>
    </w:p>
    <w:p>
      <w:pPr>
        <w:rPr>
          <w:rFonts w:hint="eastAsia"/>
        </w:rPr>
      </w:pPr>
      <w:r>
        <w:rPr>
          <w:rFonts w:hint="eastAsia"/>
        </w:rPr>
        <w:t>（</w:t>
      </w:r>
      <w:r>
        <w:t>1</w:t>
      </w:r>
      <w:r>
        <w:rPr>
          <w:rFonts w:hint="eastAsia"/>
        </w:rPr>
        <w:t>）董事会可直接统筹可持续发展</w:t>
      </w:r>
      <w:r>
        <w:t>/ESG</w:t>
      </w:r>
      <w:r>
        <w:rPr>
          <w:rFonts w:hint="eastAsia"/>
        </w:rPr>
        <w:t>治理工作，同时维持现有专门委员会架构及职责。</w:t>
      </w:r>
    </w:p>
    <w:p>
      <w:pPr>
        <w:rPr>
          <w:rFonts w:hint="eastAsia"/>
        </w:rPr>
      </w:pPr>
      <w:r>
        <w:rPr>
          <w:rFonts w:hint="eastAsia"/>
        </w:rPr>
        <w:t>（</w:t>
      </w:r>
      <w:r>
        <w:t>2</w:t>
      </w:r>
      <w:r>
        <w:rPr>
          <w:rFonts w:hint="eastAsia"/>
        </w:rPr>
        <w:t>）董事会授权某个</w:t>
      </w:r>
      <w:r>
        <w:rPr>
          <w:rFonts w:hint="eastAsia"/>
          <w:lang w:eastAsia="zh-CN"/>
        </w:rPr>
        <w:t>或多个</w:t>
      </w:r>
      <w:r>
        <w:rPr>
          <w:rFonts w:hint="eastAsia"/>
        </w:rPr>
        <w:t>现有专门委员会统筹可持续发展工作。例如，将“战略委员会”调整为“战略与可持续发展委员会”或“战略与</w:t>
      </w:r>
      <w:r>
        <w:t>ESG</w:t>
      </w:r>
      <w:r>
        <w:rPr>
          <w:rFonts w:hint="eastAsia"/>
        </w:rPr>
        <w:t>委员会”，委员会成员兼顾战略及可持续发展</w:t>
      </w:r>
      <w:r>
        <w:t>/ESG</w:t>
      </w:r>
      <w:r>
        <w:rPr>
          <w:rFonts w:hint="eastAsia"/>
        </w:rPr>
        <w:t>背景，使战略与可持续发展</w:t>
      </w:r>
      <w:r>
        <w:t>/ESG</w:t>
      </w:r>
      <w:r>
        <w:rPr>
          <w:rFonts w:hint="eastAsia"/>
        </w:rPr>
        <w:t>治理相融合</w:t>
      </w:r>
      <w:r>
        <w:rPr>
          <w:rFonts w:hint="eastAsia"/>
          <w:lang w:eastAsia="zh-CN"/>
        </w:rPr>
        <w:t>，</w:t>
      </w:r>
      <w:r>
        <w:rPr>
          <w:rFonts w:hint="eastAsia"/>
        </w:rPr>
        <w:t>或授权审计委员会负责评估ESG相关风险、审查ESG政策和程序；ESG委员会或战略委员会负责制定ESG战略、审议ESG相关提案等。</w:t>
      </w:r>
    </w:p>
    <w:p>
      <w:pPr>
        <w:rPr>
          <w:rFonts w:hint="eastAsia"/>
        </w:rPr>
      </w:pPr>
      <w:r>
        <w:rPr>
          <w:rFonts w:hint="eastAsia"/>
        </w:rPr>
        <w:t>（</w:t>
      </w:r>
      <w:r>
        <w:t>3</w:t>
      </w:r>
      <w:r>
        <w:rPr>
          <w:rFonts w:hint="eastAsia"/>
        </w:rPr>
        <w:t>）董事会下</w:t>
      </w:r>
      <w:r>
        <w:rPr>
          <w:rFonts w:hint="eastAsia"/>
          <w:lang w:eastAsia="zh-CN"/>
        </w:rPr>
        <w:t>新</w:t>
      </w:r>
      <w:r>
        <w:rPr>
          <w:rFonts w:hint="eastAsia"/>
        </w:rPr>
        <w:t>设“</w:t>
      </w:r>
      <w:r>
        <w:t>ESG</w:t>
      </w:r>
      <w:r>
        <w:rPr>
          <w:rFonts w:hint="eastAsia"/>
        </w:rPr>
        <w:t>委员会”，在组成上可更多考虑成员</w:t>
      </w:r>
      <w:r>
        <w:t>ESG</w:t>
      </w:r>
      <w:r>
        <w:rPr>
          <w:rFonts w:hint="eastAsia"/>
        </w:rPr>
        <w:t>相关背景及多元化因素，单独或者与其他董事会专门委员会联合协助董事会开展</w:t>
      </w:r>
      <w:r>
        <w:t>ESG</w:t>
      </w:r>
      <w:r>
        <w:rPr>
          <w:rFonts w:hint="eastAsia"/>
        </w:rPr>
        <w:t>治理工作，提高决策效率。</w:t>
      </w:r>
    </w:p>
    <w:p>
      <w:pPr>
        <w:rPr>
          <w:rFonts w:hint="eastAsia"/>
        </w:rPr>
      </w:pPr>
      <w:r>
        <w:rPr>
          <w:rFonts w:hint="eastAsia"/>
        </w:rPr>
        <w:t>管理层和执行层的选择较为多元，包括在管理层设立</w:t>
      </w:r>
      <w:r>
        <w:t>ESG</w:t>
      </w:r>
      <w:r>
        <w:rPr>
          <w:rFonts w:hint="eastAsia"/>
        </w:rPr>
        <w:t>管理委员会，在执行层设立</w:t>
      </w:r>
      <w:r>
        <w:t>ESG</w:t>
      </w:r>
      <w:r>
        <w:rPr>
          <w:rFonts w:hint="eastAsia"/>
        </w:rPr>
        <w:t>执行小组、专项部门或专职岗位，公司可以结合内部管理情况设计</w:t>
      </w:r>
      <w:r>
        <w:rPr>
          <w:rFonts w:hint="eastAsia"/>
          <w:lang w:eastAsia="zh-CN"/>
        </w:rPr>
        <w:t>可持续发展治理</w:t>
      </w:r>
      <w:r>
        <w:rPr>
          <w:rFonts w:hint="eastAsia"/>
        </w:rPr>
        <w:t>架构。</w:t>
      </w:r>
    </w:p>
    <w:p>
      <w:pPr>
        <w:pStyle w:val="57"/>
      </w:pPr>
      <w:r>
        <w:t>表1.1</w:t>
      </w:r>
      <w:r>
        <w:rPr>
          <w:rFonts w:hint="eastAsia"/>
          <w:lang w:val="en-US" w:eastAsia="zh-CN"/>
        </w:rPr>
        <w:t>2</w:t>
      </w:r>
      <w:r>
        <w:t xml:space="preserve"> 常见的可持续发展/ESG治理架构</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3"/>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类型</w:t>
            </w:r>
          </w:p>
        </w:tc>
        <w:tc>
          <w:tcPr>
            <w:tcW w:w="3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架构（示意图）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类型一：董事会直接领导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11680" cy="1826895"/>
                  <wp:effectExtent l="0" t="0" r="7620" b="1905"/>
                  <wp:docPr id="1056555066"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5066" name="图片 9" descr="图示&#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6604" cy="18590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类型二：董事会授权现有的某个或多个专门委员会领导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pPr>
            <w:r>
              <w:drawing>
                <wp:inline distT="0" distB="0" distL="0" distR="0">
                  <wp:extent cx="2162175" cy="1946910"/>
                  <wp:effectExtent l="0" t="0" r="9525" b="15240"/>
                  <wp:docPr id="316705590"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5590" name="图片 8" descr="图示&#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74757" cy="1957823"/>
                          </a:xfrm>
                          <a:prstGeom prst="rect">
                            <a:avLst/>
                          </a:prstGeom>
                          <a:noFill/>
                          <a:ln>
                            <a:noFill/>
                          </a:ln>
                        </pic:spPr>
                      </pic:pic>
                    </a:graphicData>
                  </a:graphic>
                </wp:inline>
              </w:drawing>
            </w:r>
          </w:p>
          <w:p>
            <w:pPr>
              <w:ind w:firstLine="0" w:firstLineChars="0"/>
              <w:jc w:val="center"/>
              <w:rPr>
                <w:rFonts w:hint="eastAsia" w:cs="仿宋"/>
                <w:sz w:val="24"/>
                <w:lang w:eastAsia="zh-CN"/>
              </w:rPr>
            </w:pPr>
            <w:r>
              <w:rPr>
                <w:rFonts w:hint="eastAsia" w:cs="仿宋"/>
                <w:sz w:val="24"/>
                <w:lang w:eastAsia="zh-CN"/>
              </w:rPr>
              <w:t>或</w:t>
            </w:r>
          </w:p>
          <w:p>
            <w:pPr>
              <w:spacing w:line="240" w:lineRule="auto"/>
              <w:ind w:firstLine="0" w:firstLineChars="0"/>
              <w:jc w:val="center"/>
              <w:rPr>
                <w:rFonts w:hint="eastAsia" w:cs="仿宋"/>
                <w:sz w:val="24"/>
                <w:lang w:eastAsia="zh-CN"/>
              </w:rPr>
            </w:pPr>
            <w:r>
              <w:rPr>
                <w:rFonts w:hint="eastAsia" w:cs="仿宋"/>
                <w:sz w:val="24"/>
                <w:lang w:eastAsia="zh-CN"/>
              </w:rPr>
              <w:drawing>
                <wp:inline distT="0" distB="0" distL="0" distR="0">
                  <wp:extent cx="1835785" cy="1537335"/>
                  <wp:effectExtent l="0" t="0" r="12065" b="5715"/>
                  <wp:docPr id="2136151070"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51070" name="图片 6" descr="图示&#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6582" cy="1554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类型三：董事会</w:t>
            </w:r>
            <w:r>
              <w:rPr>
                <w:rFonts w:hint="eastAsia"/>
                <w:lang w:eastAsia="zh-CN"/>
              </w:rPr>
              <w:t>下设</w:t>
            </w:r>
            <w:r>
              <w:rPr>
                <w:rFonts w:hint="eastAsia"/>
              </w:rPr>
              <w:t>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78355" cy="1732915"/>
                  <wp:effectExtent l="0" t="0" r="17145" b="635"/>
                  <wp:docPr id="1228335843"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5843" name="图片 7" descr="图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b="4669"/>
                          <a:stretch>
                            <a:fillRect/>
                          </a:stretch>
                        </pic:blipFill>
                        <pic:spPr>
                          <a:xfrm>
                            <a:off x="0" y="0"/>
                            <a:ext cx="2101076" cy="1752110"/>
                          </a:xfrm>
                          <a:prstGeom prst="rect">
                            <a:avLst/>
                          </a:prstGeom>
                          <a:noFill/>
                          <a:ln>
                            <a:noFill/>
                          </a:ln>
                        </pic:spPr>
                      </pic:pic>
                    </a:graphicData>
                  </a:graphic>
                </wp:inline>
              </w:drawing>
            </w:r>
          </w:p>
        </w:tc>
      </w:tr>
    </w:tbl>
    <w:p>
      <w:pPr>
        <w:pStyle w:val="57"/>
        <w:bidi w:val="0"/>
        <w:jc w:val="left"/>
        <w:rPr>
          <w:rFonts w:hint="eastAsia"/>
        </w:rPr>
      </w:pPr>
      <w:r>
        <w:rPr>
          <w:rFonts w:hint="eastAsia"/>
        </w:rPr>
        <w:t>注：以上仅为名称示例，公司根据自身实际情况对管理架构的名称自行定义，规定相关职责。</w:t>
      </w:r>
    </w:p>
    <w:p>
      <w:pPr>
        <w:pStyle w:val="5"/>
        <w:rPr>
          <w:rFonts w:hint="eastAsia" w:eastAsia="仿宋"/>
          <w:lang w:eastAsia="zh-CN"/>
        </w:rPr>
      </w:pPr>
      <w:r>
        <w:rPr>
          <w:rFonts w:hint="eastAsia"/>
          <w:lang w:eastAsia="zh-CN"/>
        </w:rPr>
        <w:t>（二）具体治理安排</w:t>
      </w:r>
    </w:p>
    <w:p>
      <w:pPr>
        <w:rPr>
          <w:rFonts w:hint="eastAsia"/>
        </w:rPr>
      </w:pPr>
      <w:r>
        <w:rPr>
          <w:rFonts w:hint="eastAsia"/>
        </w:rPr>
        <w:t>披露主体应当明确可持续发展相关治理架构各层级的人员构成、职</w:t>
      </w:r>
      <w:r>
        <w:rPr>
          <w:rFonts w:hint="eastAsia"/>
          <w:lang w:eastAsia="zh-CN"/>
        </w:rPr>
        <w:t>责</w:t>
      </w:r>
      <w:r>
        <w:rPr>
          <w:rFonts w:hint="eastAsia"/>
        </w:rPr>
        <w:t>范围、工作任务及目标，并确保机构和人员在执行、监督可持续发展相关影响、风险和机遇的战略、制度等方面的专业技能和能力。</w:t>
      </w:r>
    </w:p>
    <w:p>
      <w:pPr>
        <w:rPr>
          <w:rFonts w:hint="eastAsia"/>
        </w:rPr>
      </w:pPr>
      <w:r>
        <w:rPr>
          <w:rFonts w:hint="eastAsia"/>
        </w:rPr>
        <w:t>（1）人员构成及职权范围</w:t>
      </w:r>
    </w:p>
    <w:p>
      <w:pPr>
        <w:rPr>
          <w:rFonts w:hint="eastAsia"/>
        </w:rPr>
      </w:pPr>
      <w:r>
        <w:rPr>
          <w:rFonts w:hint="eastAsia"/>
        </w:rPr>
        <w:t>常见的决策层、管理层和执行层三级治理架构中，各层级人员构成和职</w:t>
      </w:r>
      <w:r>
        <w:rPr>
          <w:rFonts w:hint="eastAsia"/>
          <w:lang w:eastAsia="zh-CN"/>
        </w:rPr>
        <w:t>责</w:t>
      </w:r>
      <w:r>
        <w:rPr>
          <w:rFonts w:hint="eastAsia"/>
        </w:rPr>
        <w:t>范围示例如下。</w:t>
      </w:r>
    </w:p>
    <w:p>
      <w:pPr>
        <w:pStyle w:val="57"/>
      </w:pPr>
      <w:r>
        <w:t>表1.1</w:t>
      </w:r>
      <w:r>
        <w:rPr>
          <w:rFonts w:hint="eastAsia"/>
          <w:lang w:val="en-US" w:eastAsia="zh-CN"/>
        </w:rPr>
        <w:t>3</w:t>
      </w:r>
      <w:r>
        <w:t xml:space="preserve"> 常见可持续发展/ESG治理架构人员构成及职</w:t>
      </w:r>
      <w:r>
        <w:rPr>
          <w:rFonts w:hint="eastAsia"/>
          <w:lang w:eastAsia="zh-CN"/>
        </w:rPr>
        <w:t>责</w:t>
      </w:r>
      <w:r>
        <w:t>范围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136"/>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层级</w:t>
            </w:r>
          </w:p>
        </w:tc>
        <w:tc>
          <w:tcPr>
            <w:tcW w:w="3136" w:type="dxa"/>
            <w:shd w:val="clear" w:color="auto" w:fill="auto"/>
            <w:vAlign w:val="center"/>
          </w:tcPr>
          <w:p>
            <w:pPr>
              <w:pStyle w:val="58"/>
              <w:jc w:val="center"/>
              <w:rPr>
                <w:rFonts w:hint="eastAsia"/>
              </w:rPr>
            </w:pPr>
            <w:r>
              <w:rPr>
                <w:rFonts w:hint="eastAsia"/>
              </w:rPr>
              <w:t>人员构成</w:t>
            </w:r>
          </w:p>
        </w:tc>
        <w:tc>
          <w:tcPr>
            <w:tcW w:w="4013" w:type="dxa"/>
            <w:shd w:val="clear" w:color="auto" w:fill="auto"/>
            <w:vAlign w:val="center"/>
          </w:tcPr>
          <w:p>
            <w:pPr>
              <w:pStyle w:val="58"/>
              <w:jc w:val="center"/>
              <w:rPr>
                <w:rFonts w:hint="eastAsia"/>
              </w:rPr>
            </w:pPr>
            <w:r>
              <w:rPr>
                <w:rFonts w:hint="eastAsia"/>
              </w:rPr>
              <w:t>职</w:t>
            </w:r>
            <w:r>
              <w:rPr>
                <w:rFonts w:hint="eastAsia"/>
                <w:lang w:eastAsia="zh-CN"/>
              </w:rPr>
              <w:t>责</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决策层</w:t>
            </w:r>
          </w:p>
        </w:tc>
        <w:tc>
          <w:tcPr>
            <w:tcW w:w="3136" w:type="dxa"/>
            <w:shd w:val="clear" w:color="auto" w:fill="auto"/>
            <w:vAlign w:val="center"/>
          </w:tcPr>
          <w:p>
            <w:pPr>
              <w:pStyle w:val="58"/>
              <w:rPr>
                <w:rFonts w:hint="eastAsia"/>
              </w:rPr>
            </w:pPr>
            <w:r>
              <w:rPr>
                <w:rFonts w:hint="eastAsia"/>
              </w:rPr>
              <w:t>由公司董事会成员组成。</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了解、分析和掌握国际国内行业现状和可持续发展相关政策，了解并掌握公司经营管理的全面情况；监督公司的可持续发展相关影响、风险和机遇的评估；指导及审阅公司可持续发展方针、战略及目标；定期监督可持续发展相关目标进展及完成情况；审批公司《可持续发展报告》；对可持续发展相关工作执行情况进行监督检查，并适时提出指导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管理层</w:t>
            </w:r>
          </w:p>
        </w:tc>
        <w:tc>
          <w:tcPr>
            <w:tcW w:w="3136" w:type="dxa"/>
            <w:shd w:val="clear" w:color="auto" w:fill="auto"/>
            <w:vAlign w:val="center"/>
          </w:tcPr>
          <w:p>
            <w:pPr>
              <w:pStyle w:val="58"/>
              <w:rPr>
                <w:rFonts w:hint="eastAsia"/>
              </w:rPr>
            </w:pPr>
            <w:r>
              <w:rPr>
                <w:rFonts w:hint="eastAsia"/>
              </w:rPr>
              <w:t>成员包括具备可持续发展相关知识的高级管理人员、各相关职能部门及子公司相关负责人。</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可包括管理重要性议题以提供分析、建议供决策层讨论，以确保董事会进行监督；确定及管理为识别、减缓、管理及监察可持续发展相关影响、风险和机遇所需分配的成本及资源（如员工、技术）</w:t>
            </w:r>
            <w:r>
              <w:rPr>
                <w:rFonts w:hint="eastAsia"/>
                <w:lang w:eastAsia="zh-CN"/>
              </w:rPr>
              <w:t>、</w:t>
            </w:r>
            <w:r>
              <w:rPr>
                <w:rFonts w:hint="eastAsia"/>
              </w:rPr>
              <w:t>拟定可持续发展工作计划，以及可持续发展激励及考核制度</w:t>
            </w:r>
            <w:r>
              <w:rPr>
                <w:rFonts w:hint="eastAsia"/>
                <w:lang w:eastAsia="zh-CN"/>
              </w:rPr>
              <w:t>，以及</w:t>
            </w:r>
            <w:r>
              <w:rPr>
                <w:rFonts w:hint="eastAsia"/>
              </w:rPr>
              <w:t>其他可持续发展相关的事项。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执行层</w:t>
            </w:r>
          </w:p>
        </w:tc>
        <w:tc>
          <w:tcPr>
            <w:tcW w:w="3136" w:type="dxa"/>
            <w:shd w:val="clear" w:color="auto" w:fill="auto"/>
            <w:vAlign w:val="center"/>
          </w:tcPr>
          <w:p>
            <w:pPr>
              <w:pStyle w:val="58"/>
              <w:rPr>
                <w:rFonts w:hint="eastAsia"/>
              </w:rPr>
            </w:pPr>
            <w:r>
              <w:rPr>
                <w:rFonts w:hint="eastAsia"/>
              </w:rPr>
              <w:t>设立ESG执行小组，成员包括具体工作人员以及对ESG及公司业务有充分认识的员工，也可以是专兼职岗位。</w:t>
            </w:r>
          </w:p>
        </w:tc>
        <w:tc>
          <w:tcPr>
            <w:tcW w:w="4013" w:type="dxa"/>
            <w:shd w:val="clear" w:color="auto" w:fill="auto"/>
            <w:vAlign w:val="center"/>
          </w:tcPr>
          <w:p>
            <w:pPr>
              <w:pStyle w:val="58"/>
              <w:rPr>
                <w:rFonts w:hint="eastAsia"/>
              </w:rPr>
            </w:pPr>
            <w:r>
              <w:rPr>
                <w:rFonts w:hint="eastAsia"/>
              </w:rPr>
              <w:t>职责范围可包括制定利益相关方参与计划，组织利益相关方沟通活动；协调编制可持续发展报告；负责公司可持续相关管理、数据统计与分析、投资者及研究机构沟通等方面的能力构建；完善可持续发展相关管理制度，执行可持续发展工作计划</w:t>
            </w:r>
            <w:r>
              <w:rPr>
                <w:rFonts w:hint="eastAsia"/>
                <w:lang w:eastAsia="zh-CN"/>
              </w:rPr>
              <w:t>；</w:t>
            </w:r>
            <w:r>
              <w:rPr>
                <w:rFonts w:hint="eastAsia"/>
              </w:rPr>
              <w:t>定期工作成果向管理层汇报</w:t>
            </w:r>
            <w:r>
              <w:rPr>
                <w:rFonts w:hint="eastAsia"/>
                <w:lang w:eastAsia="zh-CN"/>
              </w:rPr>
              <w:t>；其他可持续发展相关的事项</w:t>
            </w:r>
            <w:r>
              <w:rPr>
                <w:rFonts w:hint="eastAsia"/>
              </w:rPr>
              <w:t>。</w:t>
            </w:r>
          </w:p>
        </w:tc>
      </w:tr>
    </w:tbl>
    <w:p>
      <w:pPr>
        <w:rPr>
          <w:rFonts w:hint="eastAsia"/>
        </w:rPr>
      </w:pPr>
      <w:r>
        <w:rPr>
          <w:rFonts w:hint="eastAsia"/>
        </w:rPr>
        <w:t>（2）工作任务及目标设定</w:t>
      </w:r>
    </w:p>
    <w:p>
      <w:pPr>
        <w:rPr>
          <w:rFonts w:hint="eastAsia"/>
        </w:rPr>
      </w:pPr>
      <w:r>
        <w:rPr>
          <w:rFonts w:hint="eastAsia"/>
        </w:rPr>
        <w:t>公司各层级的工作任务可结合职权范围以及公司制定的战略规划进行分配，例如报告期内，公司董事会定期审查公司在可持续发展方面的绩效，并根据结果提出建议。</w:t>
      </w:r>
    </w:p>
    <w:p>
      <w:pPr>
        <w:rPr>
          <w:rFonts w:hint="eastAsia"/>
        </w:rPr>
      </w:pPr>
      <w:r>
        <w:rPr>
          <w:rFonts w:hint="eastAsia"/>
        </w:rPr>
        <w:t>目标一般包括定性或定量目标。公司可以结合相关法律法规、《指引》要求以及自身需要，参考我国乡村全面振兴、碳达峰碳中和、联合国可持续发展目标（</w:t>
      </w:r>
      <w:r>
        <w:t>SDGs</w:t>
      </w:r>
      <w:r>
        <w:rPr>
          <w:rFonts w:hint="eastAsia"/>
        </w:rPr>
        <w:t>）、《巴黎协定》等设定可持续发展相关目标。具体目标设定的要求，详见本章第六节。</w:t>
      </w:r>
    </w:p>
    <w:p>
      <w:pPr>
        <w:rPr>
          <w:rFonts w:hint="eastAsia"/>
          <w:lang w:eastAsia="zh-CN"/>
        </w:rPr>
      </w:pPr>
      <w:r>
        <w:rPr>
          <w:rFonts w:hint="eastAsia"/>
        </w:rPr>
        <w:t>（3）</w:t>
      </w:r>
      <w:r>
        <w:rPr>
          <w:rFonts w:hint="eastAsia"/>
          <w:lang w:eastAsia="zh-CN"/>
        </w:rPr>
        <w:t>专业技能及胜任能力</w:t>
      </w:r>
    </w:p>
    <w:p>
      <w:pPr>
        <w:rPr>
          <w:rFonts w:hint="eastAsia"/>
        </w:rPr>
      </w:pPr>
      <w:r>
        <w:rPr>
          <w:rFonts w:hint="eastAsia"/>
        </w:rPr>
        <w:t>确保公司相关人员具备足够的专业技能和能力，可通过如下方式：一是选聘具有相关领域背景的专业人士，公司可以聘用具备环境或社会领域相关专业知识的独立董事，对公司开展气候变化等重要性议题研究工作提供专业支持和指导；二是制定提升相关人员可持续发展领域专业技能的培训计划、课程等。例如，邀请行业资深专家对最新ESG政策背景、发展趋势、行业优秀实践进行培训，以确保董事会及管理层获悉ESG最新发展情况，掌握ESG专业知识。</w:t>
      </w:r>
      <w:bookmarkStart w:id="107" w:name="_Toc2227"/>
    </w:p>
    <w:p>
      <w:pPr>
        <w:pStyle w:val="4"/>
        <w:rPr>
          <w:rFonts w:hint="eastAsia" w:cs="黑体"/>
          <w:szCs w:val="30"/>
        </w:rPr>
      </w:pPr>
      <w:bookmarkStart w:id="108" w:name="_Toc180164958"/>
      <w:r>
        <w:rPr>
          <w:rFonts w:hint="eastAsia"/>
        </w:rPr>
        <w:t>二、建立可持续发展相关信息报告、监督</w:t>
      </w:r>
      <w:bookmarkEnd w:id="107"/>
      <w:r>
        <w:rPr>
          <w:rFonts w:hint="eastAsia"/>
        </w:rPr>
        <w:t>机制</w:t>
      </w:r>
      <w:bookmarkEnd w:id="108"/>
    </w:p>
    <w:p>
      <w:pPr>
        <w:pStyle w:val="5"/>
        <w:rPr>
          <w:rFonts w:hint="eastAsia" w:eastAsia="仿宋_GB2312"/>
          <w:szCs w:val="30"/>
          <w:lang w:bidi="ar"/>
        </w:rPr>
      </w:pPr>
      <w:bookmarkStart w:id="109" w:name="_Toc180165226"/>
      <w:r>
        <w:rPr>
          <w:rFonts w:hint="eastAsia"/>
        </w:rPr>
        <w:t>（一）关于信息报告机制</w:t>
      </w:r>
      <w:bookmarkEnd w:id="109"/>
    </w:p>
    <w:p>
      <w:pPr>
        <w:rPr>
          <w:rFonts w:hint="eastAsia"/>
        </w:rPr>
      </w:pPr>
      <w:r>
        <w:rPr>
          <w:rFonts w:hint="eastAsia"/>
        </w:rPr>
        <w:t>披露主体应当建立可持续发展信息的内部报告机制，明确报告方式和报告频率，保障治理架构各层级人员及时获取相关信息。</w:t>
      </w:r>
    </w:p>
    <w:p>
      <w:pPr>
        <w:rPr>
          <w:rFonts w:hint="eastAsia" w:eastAsia="仿宋_GB2312"/>
          <w:szCs w:val="30"/>
          <w:lang w:bidi="ar"/>
        </w:rPr>
      </w:pPr>
      <w:r>
        <w:rPr>
          <w:rFonts w:hint="eastAsia"/>
        </w:rPr>
        <w:t>报告方式可包括专项报告、进展报表</w:t>
      </w:r>
      <w:r>
        <w:rPr>
          <w:rFonts w:hint="eastAsia"/>
          <w:lang w:eastAsia="zh-CN"/>
        </w:rPr>
        <w:t>、汇报会议</w:t>
      </w:r>
      <w:r>
        <w:rPr>
          <w:rFonts w:hint="eastAsia"/>
        </w:rPr>
        <w:t>等方式，报告频率可依据自身情况设定，如季度、半年度、年度等。</w:t>
      </w:r>
    </w:p>
    <w:p>
      <w:pPr>
        <w:pStyle w:val="5"/>
        <w:rPr>
          <w:rFonts w:hint="eastAsia" w:ascii="仿宋_GB2312" w:eastAsia="仿宋_GB2312"/>
          <w:b/>
          <w:bCs/>
          <w:kern w:val="0"/>
          <w:szCs w:val="30"/>
        </w:rPr>
      </w:pPr>
      <w:bookmarkStart w:id="110" w:name="_Toc180165227"/>
      <w:r>
        <w:rPr>
          <w:rFonts w:hint="eastAsia"/>
        </w:rPr>
        <w:t>（二）关于监督机制</w:t>
      </w:r>
      <w:bookmarkEnd w:id="110"/>
    </w:p>
    <w:p>
      <w:pPr>
        <w:rPr>
          <w:rFonts w:hint="eastAsia"/>
        </w:rPr>
      </w:pPr>
      <w:r>
        <w:rPr>
          <w:rFonts w:hint="eastAsia"/>
        </w:rPr>
        <w:t>披露主体应当建立可持续发展监督机制，并披露相关机构和人员监督管理可持续发展相关目标设定、战略执行、目标实现进展的情况，包括内部控制制度、监督程序、监督措施及考核情况等。</w:t>
      </w:r>
    </w:p>
    <w:p>
      <w:pPr>
        <w:rPr>
          <w:rFonts w:hint="eastAsia"/>
        </w:rPr>
      </w:pPr>
      <w:r>
        <w:rPr>
          <w:rFonts w:hint="eastAsia"/>
        </w:rPr>
        <w:t>例如，董事会可以通过审批战略、评估风险、设定目标、监督执行、审查绩效和确保透明沟通等方式来监督公司可持续发展相关的影响、风险和机遇。</w:t>
      </w:r>
    </w:p>
    <w:p>
      <w:pPr>
        <w:pStyle w:val="57"/>
        <w:rPr>
          <w:rFonts w:ascii="黑体" w:hAnsi="黑体" w:eastAsia="黑体"/>
          <w:szCs w:val="28"/>
          <w:lang w:bidi="ar"/>
        </w:rPr>
      </w:pPr>
      <w:r>
        <w:t>表1.1</w:t>
      </w:r>
      <w:r>
        <w:rPr>
          <w:rFonts w:hint="eastAsia"/>
          <w:lang w:val="en-US" w:eastAsia="zh-CN"/>
        </w:rPr>
        <w:t>4</w:t>
      </w:r>
      <w:r>
        <w:t xml:space="preserve"> 建立董事会监督机制的流程参考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步骤一</w:t>
            </w:r>
          </w:p>
        </w:tc>
        <w:tc>
          <w:tcPr>
            <w:tcW w:w="6741" w:type="dxa"/>
          </w:tcPr>
          <w:p>
            <w:pPr>
              <w:pStyle w:val="58"/>
              <w:rPr>
                <w:rFonts w:hint="eastAsia"/>
              </w:rPr>
            </w:pPr>
            <w:r>
              <w:rPr>
                <w:rFonts w:hint="eastAsia"/>
              </w:rPr>
              <w:t>建立可持续发展相关治理架构：确保已就可持续发展/ESG相关事项建立稳健的治理架构。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步骤二</w:t>
            </w:r>
          </w:p>
        </w:tc>
        <w:tc>
          <w:tcPr>
            <w:tcW w:w="6741" w:type="dxa"/>
          </w:tcPr>
          <w:p>
            <w:pPr>
              <w:pStyle w:val="58"/>
              <w:rPr>
                <w:rFonts w:hint="eastAsia"/>
              </w:rPr>
            </w:pPr>
            <w:r>
              <w:rPr>
                <w:rFonts w:hint="eastAsia"/>
              </w:rPr>
              <w:t>评估重要性：审议公司重要性议题清单和相关的影响、风险和机遇。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步骤三</w:t>
            </w:r>
          </w:p>
        </w:tc>
        <w:tc>
          <w:tcPr>
            <w:tcW w:w="6741" w:type="dxa"/>
          </w:tcPr>
          <w:p>
            <w:pPr>
              <w:pStyle w:val="58"/>
              <w:rPr>
                <w:rFonts w:hint="eastAsia"/>
              </w:rPr>
            </w:pPr>
            <w:r>
              <w:rPr>
                <w:rFonts w:hint="eastAsia"/>
              </w:rPr>
              <w:t>讨论已识别的可持续发展相关影响、风险和机遇如何影响公司整体发展战略。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步骤四</w:t>
            </w:r>
          </w:p>
        </w:tc>
        <w:tc>
          <w:tcPr>
            <w:tcW w:w="6741" w:type="dxa"/>
          </w:tcPr>
          <w:p>
            <w:pPr>
              <w:pStyle w:val="58"/>
              <w:rPr>
                <w:rFonts w:hint="eastAsia"/>
              </w:rPr>
            </w:pPr>
            <w:r>
              <w:rPr>
                <w:rFonts w:hint="eastAsia"/>
              </w:rPr>
              <w:t>在业务策略及风险管理程序中加入重要风险因素。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步骤五</w:t>
            </w:r>
          </w:p>
        </w:tc>
        <w:tc>
          <w:tcPr>
            <w:tcW w:w="6741" w:type="dxa"/>
          </w:tcPr>
          <w:p>
            <w:pPr>
              <w:pStyle w:val="58"/>
              <w:rPr>
                <w:rFonts w:hint="eastAsia"/>
              </w:rPr>
            </w:pPr>
            <w:r>
              <w:rPr>
                <w:rFonts w:hint="eastAsia"/>
              </w:rPr>
              <w:t>建立内部机制以监察及监督可持续发展/ESG相关事项的管理，例如在公司章程中明确董事会的监督责任。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步骤六</w:t>
            </w:r>
          </w:p>
        </w:tc>
        <w:tc>
          <w:tcPr>
            <w:tcW w:w="6741" w:type="dxa"/>
          </w:tcPr>
          <w:p>
            <w:pPr>
              <w:pStyle w:val="58"/>
              <w:rPr>
                <w:rFonts w:hint="eastAsia"/>
              </w:rPr>
            </w:pPr>
            <w:r>
              <w:rPr>
                <w:rFonts w:hint="eastAsia"/>
              </w:rPr>
              <w:t>确保已适当披露所面临的可持续发展相关的影响、风险和机遇、已采取的措施及目标的完成进度；审阅公司《可持续发展报告》并向利益相关方披露。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步骤七</w:t>
            </w:r>
          </w:p>
        </w:tc>
        <w:tc>
          <w:tcPr>
            <w:tcW w:w="6741" w:type="dxa"/>
          </w:tcPr>
          <w:p>
            <w:pPr>
              <w:pStyle w:val="58"/>
              <w:rPr>
                <w:rFonts w:hint="eastAsia"/>
              </w:rPr>
            </w:pPr>
            <w:r>
              <w:rPr>
                <w:rFonts w:hint="eastAsia"/>
              </w:rPr>
              <w:t>在必要时更新、完善并改进。</w:t>
            </w:r>
          </w:p>
        </w:tc>
      </w:tr>
    </w:tbl>
    <w:p>
      <w:pPr>
        <w:rPr>
          <w:rFonts w:hint="eastAsia"/>
        </w:rPr>
      </w:pPr>
      <w:r>
        <w:rPr>
          <w:rFonts w:hint="eastAsia"/>
        </w:rPr>
        <w:t>公司可决定是否以及如何将可持续发展相关目标纳入考核制度，明确该制度涵盖的人员范围，如高管或更广泛的员工。</w:t>
      </w:r>
      <w:r>
        <w:t>为激励管理层优化资源分配，实现既定的可持续发展目标</w:t>
      </w:r>
      <w:r>
        <w:rPr>
          <w:rFonts w:hint="eastAsia"/>
        </w:rPr>
        <w:t>，公司可考虑将管理层考核与相关可持续发展议题表现挂钩。</w:t>
      </w:r>
    </w:p>
    <w:p>
      <w:pPr>
        <w:pStyle w:val="57"/>
      </w:pPr>
      <w:r>
        <w:t>表1.1</w:t>
      </w:r>
      <w:r>
        <w:rPr>
          <w:rFonts w:hint="eastAsia"/>
          <w:lang w:val="en-US" w:eastAsia="zh-CN"/>
        </w:rPr>
        <w:t>5</w:t>
      </w:r>
      <w:r>
        <w:t xml:space="preserve"> 公司可持续发展/ESG治理机制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540"/>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09" w:type="dxa"/>
          </w:tcPr>
          <w:p>
            <w:pPr>
              <w:pStyle w:val="58"/>
              <w:jc w:val="center"/>
              <w:rPr>
                <w:rFonts w:hint="eastAsia"/>
              </w:rPr>
            </w:pPr>
            <w:r>
              <w:rPr>
                <w:rFonts w:hint="eastAsia"/>
              </w:rPr>
              <w:t>机制内容</w:t>
            </w:r>
          </w:p>
        </w:tc>
        <w:tc>
          <w:tcPr>
            <w:tcW w:w="3540" w:type="dxa"/>
          </w:tcPr>
          <w:p>
            <w:pPr>
              <w:pStyle w:val="58"/>
              <w:jc w:val="center"/>
              <w:rPr>
                <w:rFonts w:hint="eastAsia"/>
              </w:rPr>
            </w:pPr>
            <w:r>
              <w:rPr>
                <w:rFonts w:hint="eastAsia"/>
              </w:rPr>
              <w:t>具体行动</w:t>
            </w:r>
          </w:p>
        </w:tc>
        <w:tc>
          <w:tcPr>
            <w:tcW w:w="3247" w:type="dxa"/>
          </w:tcPr>
          <w:p>
            <w:pPr>
              <w:pStyle w:val="58"/>
              <w:jc w:val="center"/>
              <w:rPr>
                <w:rFonts w:hint="eastAsia"/>
              </w:rPr>
            </w:pPr>
            <w:r>
              <w:rPr>
                <w:rFonts w:hint="eastAsia"/>
              </w:rPr>
              <w:t>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信息报告机制</w:t>
            </w:r>
          </w:p>
        </w:tc>
        <w:tc>
          <w:tcPr>
            <w:tcW w:w="3540" w:type="dxa"/>
            <w:vAlign w:val="center"/>
          </w:tcPr>
          <w:p>
            <w:pPr>
              <w:pStyle w:val="58"/>
              <w:rPr>
                <w:rFonts w:hint="eastAsia"/>
              </w:rPr>
            </w:pPr>
            <w:r>
              <w:rPr>
                <w:rFonts w:hint="eastAsia"/>
              </w:rPr>
              <w:t>董事会于董事会会议期间，每半年监管可持续相关影响、风险和机遇，并确保其纳入公司战略。</w:t>
            </w:r>
          </w:p>
        </w:tc>
        <w:tc>
          <w:tcPr>
            <w:tcW w:w="3247" w:type="dxa"/>
          </w:tcPr>
          <w:p>
            <w:pPr>
              <w:pStyle w:val="58"/>
              <w:rPr>
                <w:rFonts w:hint="eastAsia"/>
              </w:rPr>
            </w:pPr>
            <w:r>
              <w:rPr>
                <w:rFonts w:hint="eastAsia"/>
              </w:rPr>
              <w:t>例如，管理层每季度向董事会报告一次可持续发展相关目标进展。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vAlign w:val="center"/>
          </w:tcPr>
          <w:p>
            <w:pPr>
              <w:pStyle w:val="58"/>
              <w:rPr>
                <w:rFonts w:hint="eastAsia"/>
              </w:rPr>
            </w:pPr>
            <w:r>
              <w:rPr>
                <w:rFonts w:hint="eastAsia"/>
              </w:rPr>
              <w:t>监督程序及措施</w:t>
            </w:r>
          </w:p>
        </w:tc>
        <w:tc>
          <w:tcPr>
            <w:tcW w:w="3540" w:type="dxa"/>
            <w:vAlign w:val="center"/>
          </w:tcPr>
          <w:p>
            <w:pPr>
              <w:pStyle w:val="58"/>
              <w:rPr>
                <w:rFonts w:hint="eastAsia"/>
              </w:rPr>
            </w:pPr>
            <w:r>
              <w:rPr>
                <w:rFonts w:hint="eastAsia"/>
              </w:rPr>
              <w:t>监督层定期进行会面，以识别、评估、监察及报告相关议题的影响、风险和机遇。</w:t>
            </w:r>
          </w:p>
        </w:tc>
        <w:tc>
          <w:tcPr>
            <w:tcW w:w="3247" w:type="dxa"/>
          </w:tcPr>
          <w:p>
            <w:pPr>
              <w:pStyle w:val="58"/>
              <w:rPr>
                <w:rFonts w:hint="eastAsia"/>
              </w:rPr>
            </w:pPr>
            <w:r>
              <w:rPr>
                <w:rFonts w:hint="eastAsia"/>
              </w:rPr>
              <w:t>例如，公司可持续发展委员会共计召开多次专门会议，探讨可持续发展相关影响、风险和机遇的优先级，决议和审核公司可持续发展战略中的中期目标和绩效指标。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9" w:type="dxa"/>
            <w:vAlign w:val="center"/>
          </w:tcPr>
          <w:p>
            <w:pPr>
              <w:pStyle w:val="58"/>
              <w:rPr>
                <w:rFonts w:hint="eastAsia"/>
              </w:rPr>
            </w:pPr>
            <w:r>
              <w:rPr>
                <w:rFonts w:hint="eastAsia"/>
              </w:rPr>
              <w:t>考核情况</w:t>
            </w:r>
          </w:p>
        </w:tc>
        <w:tc>
          <w:tcPr>
            <w:tcW w:w="3540" w:type="dxa"/>
            <w:vAlign w:val="center"/>
          </w:tcPr>
          <w:p>
            <w:pPr>
              <w:pStyle w:val="58"/>
              <w:rPr>
                <w:rFonts w:hint="eastAsia"/>
              </w:rPr>
            </w:pPr>
            <w:r>
              <w:rPr>
                <w:rFonts w:hint="eastAsia"/>
              </w:rPr>
              <w:t>公司将具体部门的可持续发展相关/ESG目标纳入考核。</w:t>
            </w:r>
          </w:p>
        </w:tc>
        <w:tc>
          <w:tcPr>
            <w:tcW w:w="3247" w:type="dxa"/>
          </w:tcPr>
          <w:p>
            <w:pPr>
              <w:pStyle w:val="58"/>
              <w:rPr>
                <w:rFonts w:hint="eastAsia"/>
              </w:rPr>
            </w:pPr>
            <w:r>
              <w:rPr>
                <w:rFonts w:hint="eastAsia"/>
              </w:rPr>
              <w:t>例如，将报告期内温室气体减排作为相关负责人的考核指标。</w:t>
            </w:r>
          </w:p>
        </w:tc>
      </w:tr>
    </w:tbl>
    <w:p>
      <w:pPr>
        <w:rPr>
          <w:rFonts w:hint="eastAsia"/>
        </w:rPr>
      </w:pPr>
      <w:bookmarkStart w:id="111" w:name="_Toc180164959"/>
    </w:p>
    <w:p>
      <w:pPr>
        <w:widowControl/>
        <w:ind w:firstLine="602"/>
        <w:jc w:val="left"/>
        <w:rPr>
          <w:rFonts w:hint="eastAsia" w:eastAsia="黑体"/>
          <w:b/>
          <w:bCs/>
          <w:sz w:val="30"/>
          <w:szCs w:val="30"/>
        </w:rPr>
      </w:pPr>
      <w:r>
        <w:rPr>
          <w:rFonts w:eastAsia="黑体"/>
          <w:b/>
          <w:bCs/>
          <w:sz w:val="30"/>
          <w:szCs w:val="30"/>
        </w:rPr>
        <w:br w:type="page"/>
      </w:r>
    </w:p>
    <w:p>
      <w:pPr>
        <w:pStyle w:val="3"/>
        <w:rPr>
          <w:rFonts w:hint="eastAsia"/>
        </w:rPr>
      </w:pPr>
      <w:bookmarkStart w:id="112" w:name="_Toc24743"/>
      <w:r>
        <w:rPr>
          <w:rFonts w:hint="eastAsia"/>
        </w:rPr>
        <w:t>第四节 战略</w:t>
      </w:r>
      <w:bookmarkEnd w:id="111"/>
      <w:bookmarkEnd w:id="112"/>
    </w:p>
    <w:p>
      <w:pPr>
        <w:pStyle w:val="4"/>
        <w:rPr>
          <w:rFonts w:hint="eastAsia"/>
        </w:rPr>
      </w:pPr>
      <w:bookmarkStart w:id="113" w:name="_Toc180164965"/>
      <w:r>
        <w:rPr>
          <w:rFonts w:hint="eastAsia"/>
        </w:rPr>
        <w:t>一、识别可持续发展相关风险和机遇对公司的影响</w:t>
      </w:r>
      <w:bookmarkEnd w:id="113"/>
    </w:p>
    <w:p>
      <w:pPr>
        <w:rPr>
          <w:rFonts w:hint="eastAsia"/>
        </w:rPr>
      </w:pPr>
      <w:r>
        <w:rPr>
          <w:rFonts w:hint="eastAsia"/>
        </w:rPr>
        <w:t>1.</w:t>
      </w:r>
      <w:r>
        <w:t>披露主体应识别可持续发展相关风险和机遇，以及相关风险和机遇对公司造成重大影响的时间范围。同时，应明确对短期、中期和长期的定义，以及相关定义与公司的发展战略规划和资源分配计划的匹配情况。</w:t>
      </w:r>
    </w:p>
    <w:p>
      <w:pPr>
        <w:rPr>
          <w:rFonts w:hint="eastAsia"/>
        </w:rPr>
      </w:pPr>
      <w:r>
        <w:t>公司可结合行业及公司实际情况对“短期”“中期”和“长期”的时间范围进行定义，并与公司用于战略规划的时间范围相关联。</w:t>
      </w:r>
    </w:p>
    <w:p>
      <w:pPr>
        <w:spacing w:line="400" w:lineRule="exact"/>
        <w:ind w:firstLine="0" w:firstLineChars="0"/>
        <w:jc w:val="center"/>
        <w:rPr>
          <w:rFonts w:hint="eastAsia"/>
          <w:sz w:val="28"/>
        </w:rPr>
      </w:pPr>
      <w:r>
        <w:rPr>
          <w:rFonts w:hint="eastAsia"/>
          <w:sz w:val="28"/>
        </w:rPr>
        <w:t>表1.1</w:t>
      </w:r>
      <w:r>
        <w:rPr>
          <w:rFonts w:hint="eastAsia"/>
          <w:sz w:val="28"/>
          <w:lang w:val="en-US" w:eastAsia="zh-CN"/>
        </w:rPr>
        <w:t>6</w:t>
      </w:r>
      <w:r>
        <w:rPr>
          <w:rFonts w:hint="eastAsia"/>
          <w:sz w:val="28"/>
        </w:rPr>
        <w:t xml:space="preserve"> 短中长期的定义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一般是指公司可持续信息报告期间结束后1年以内（含1年）。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一般是指公司可持续信息报告期间结束后1年至5年（含5年）。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长期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一般是指公司可持续信息报告期间结束后5年以上。</w:t>
            </w:r>
          </w:p>
        </w:tc>
      </w:tr>
    </w:tbl>
    <w:p>
      <w:pPr>
        <w:rPr>
          <w:rFonts w:hint="eastAsia"/>
        </w:rPr>
      </w:pPr>
      <w:r>
        <w:t>短期、中期和长期的时间范围可能因公司而异，并取决于众多因素，包括行业特征</w:t>
      </w:r>
      <w:r>
        <w:rPr>
          <w:rFonts w:hint="eastAsia"/>
        </w:rPr>
        <w:t>、投资周期和资本配置、</w:t>
      </w:r>
      <w:r>
        <w:t>相关政策的法律管辖区域、风险或机遇的性质、资产使用寿命等。</w:t>
      </w:r>
    </w:p>
    <w:p>
      <w:pPr>
        <w:pStyle w:val="57"/>
      </w:pPr>
      <w:r>
        <w:t>表1.1</w:t>
      </w:r>
      <w:r>
        <w:rPr>
          <w:rFonts w:hint="eastAsia"/>
          <w:lang w:val="en-US" w:eastAsia="zh-CN"/>
        </w:rPr>
        <w:t>7</w:t>
      </w:r>
      <w:r>
        <w:t xml:space="preserve"> 评估影响的时间范围的因素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087"/>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jc w:val="center"/>
              <w:rPr>
                <w:rFonts w:hint="eastAsia"/>
              </w:rPr>
            </w:pPr>
            <w:r>
              <w:rPr>
                <w:rFonts w:hint="eastAsia"/>
              </w:rPr>
              <w:t>类型</w:t>
            </w:r>
          </w:p>
        </w:tc>
        <w:tc>
          <w:tcPr>
            <w:tcW w:w="3087" w:type="dxa"/>
            <w:vAlign w:val="center"/>
          </w:tcPr>
          <w:p>
            <w:pPr>
              <w:pStyle w:val="58"/>
              <w:jc w:val="center"/>
              <w:rPr>
                <w:rFonts w:hint="eastAsia"/>
              </w:rPr>
            </w:pPr>
            <w:r>
              <w:rPr>
                <w:rFonts w:hint="eastAsia"/>
              </w:rPr>
              <w:t>说明</w:t>
            </w:r>
          </w:p>
        </w:tc>
        <w:tc>
          <w:tcPr>
            <w:tcW w:w="3371"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行业特征</w:t>
            </w:r>
          </w:p>
        </w:tc>
        <w:tc>
          <w:tcPr>
            <w:tcW w:w="3087" w:type="dxa"/>
            <w:vAlign w:val="center"/>
          </w:tcPr>
          <w:p>
            <w:pPr>
              <w:pStyle w:val="58"/>
              <w:rPr>
                <w:rFonts w:hint="eastAsia"/>
              </w:rPr>
            </w:pPr>
            <w:r>
              <w:rPr>
                <w:rFonts w:hint="eastAsia"/>
              </w:rPr>
              <w:t>公司可结合所在行业的现金流特征、投资和业务周期来判断时间范围。</w:t>
            </w:r>
          </w:p>
        </w:tc>
        <w:tc>
          <w:tcPr>
            <w:tcW w:w="3371" w:type="dxa"/>
            <w:vAlign w:val="center"/>
          </w:tcPr>
          <w:p>
            <w:pPr>
              <w:pStyle w:val="58"/>
              <w:rPr>
                <w:rFonts w:hint="eastAsia"/>
              </w:rPr>
            </w:pPr>
            <w:r>
              <w:rPr>
                <w:rFonts w:hint="eastAsia"/>
              </w:rPr>
              <w:t>例如房地产行业或采用较长的时间范围，因其地产及基础设施项目规划存续时间长，而部分消费类行业的规划时间可能较短。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38" w:type="dxa"/>
            <w:vAlign w:val="center"/>
          </w:tcPr>
          <w:p>
            <w:pPr>
              <w:pStyle w:val="58"/>
              <w:rPr>
                <w:rFonts w:hint="eastAsia"/>
              </w:rPr>
            </w:pPr>
            <w:r>
              <w:rPr>
                <w:rFonts w:hint="eastAsia"/>
              </w:rPr>
              <w:t>投资周期和资本配置</w:t>
            </w:r>
          </w:p>
        </w:tc>
        <w:tc>
          <w:tcPr>
            <w:tcW w:w="3087" w:type="dxa"/>
            <w:vAlign w:val="center"/>
          </w:tcPr>
          <w:p>
            <w:pPr>
              <w:pStyle w:val="58"/>
              <w:rPr>
                <w:rFonts w:hint="eastAsia"/>
              </w:rPr>
            </w:pPr>
            <w:r>
              <w:rPr>
                <w:rFonts w:hint="eastAsia"/>
              </w:rPr>
              <w:t>公司可考虑其惯常的投资持有期限，并根据投资周期调整时间范围。</w:t>
            </w:r>
          </w:p>
        </w:tc>
        <w:tc>
          <w:tcPr>
            <w:tcW w:w="3371" w:type="dxa"/>
            <w:vAlign w:val="center"/>
          </w:tcPr>
          <w:p>
            <w:pPr>
              <w:pStyle w:val="58"/>
              <w:rPr>
                <w:rFonts w:hint="eastAsia"/>
              </w:rPr>
            </w:pPr>
            <w:r>
              <w:rPr>
                <w:rFonts w:hint="eastAsia"/>
              </w:rPr>
              <w:t>例如一家投资公司通常持有其股权投资项目的期限为3年至5年（中期投资周期），可根据中期投资周期调整时间范围。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38" w:type="dxa"/>
            <w:vAlign w:val="center"/>
          </w:tcPr>
          <w:p>
            <w:pPr>
              <w:pStyle w:val="58"/>
              <w:rPr>
                <w:rFonts w:hint="eastAsia"/>
              </w:rPr>
            </w:pPr>
            <w:r>
              <w:rPr>
                <w:rFonts w:hint="eastAsia"/>
              </w:rPr>
              <w:t>相关政策的法律管辖区域</w:t>
            </w:r>
          </w:p>
        </w:tc>
        <w:tc>
          <w:tcPr>
            <w:tcW w:w="3087" w:type="dxa"/>
            <w:vAlign w:val="center"/>
          </w:tcPr>
          <w:p>
            <w:pPr>
              <w:pStyle w:val="58"/>
              <w:rPr>
                <w:rFonts w:hint="eastAsia"/>
              </w:rPr>
            </w:pPr>
            <w:r>
              <w:rPr>
                <w:rFonts w:hint="eastAsia"/>
              </w:rPr>
              <w:t>以中国内地作为主要运营地的公司，其时间范围设计可匹配中国碳达峰碳中和目标的时间规划。</w:t>
            </w:r>
          </w:p>
        </w:tc>
        <w:tc>
          <w:tcPr>
            <w:tcW w:w="3371" w:type="dxa"/>
            <w:vAlign w:val="center"/>
          </w:tcPr>
          <w:p>
            <w:pPr>
              <w:pStyle w:val="58"/>
              <w:rPr>
                <w:rFonts w:hint="eastAsia"/>
              </w:rPr>
            </w:pPr>
            <w:r>
              <w:rPr>
                <w:rFonts w:hint="eastAsia"/>
              </w:rPr>
              <w:t>例如公司在2030年之前实现“碳达峰”，2060年之前实现“碳中和”。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风险或机遇的性质</w:t>
            </w:r>
          </w:p>
        </w:tc>
        <w:tc>
          <w:tcPr>
            <w:tcW w:w="3087" w:type="dxa"/>
            <w:vAlign w:val="center"/>
          </w:tcPr>
          <w:p>
            <w:pPr>
              <w:pStyle w:val="58"/>
              <w:rPr>
                <w:rFonts w:hint="eastAsia"/>
              </w:rPr>
            </w:pPr>
            <w:r>
              <w:rPr>
                <w:rFonts w:hint="eastAsia"/>
              </w:rPr>
              <w:t>公司可根据识别出的风险或机遇类型来确定时间范围。</w:t>
            </w:r>
          </w:p>
        </w:tc>
        <w:tc>
          <w:tcPr>
            <w:tcW w:w="3371" w:type="dxa"/>
            <w:vAlign w:val="center"/>
          </w:tcPr>
          <w:p>
            <w:pPr>
              <w:pStyle w:val="58"/>
              <w:rPr>
                <w:rFonts w:hint="eastAsia"/>
              </w:rPr>
            </w:pPr>
            <w:r>
              <w:rPr>
                <w:rFonts w:hint="eastAsia"/>
              </w:rPr>
              <w:t>例如海平面上升及流域水资源短缺等气候相关的长期物理风险的影响，可能需要较长的时间范围。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资产使用寿命</w:t>
            </w:r>
          </w:p>
        </w:tc>
        <w:tc>
          <w:tcPr>
            <w:tcW w:w="3087" w:type="dxa"/>
            <w:vAlign w:val="center"/>
          </w:tcPr>
          <w:p>
            <w:pPr>
              <w:pStyle w:val="58"/>
              <w:rPr>
                <w:rFonts w:hint="eastAsia"/>
              </w:rPr>
            </w:pPr>
            <w:r>
              <w:rPr>
                <w:rFonts w:hint="eastAsia"/>
              </w:rPr>
              <w:t>持有资产的公司可考虑设立匹配其资产使用寿命的时间范围。</w:t>
            </w:r>
          </w:p>
        </w:tc>
        <w:tc>
          <w:tcPr>
            <w:tcW w:w="3371" w:type="dxa"/>
            <w:vAlign w:val="center"/>
          </w:tcPr>
          <w:p>
            <w:pPr>
              <w:pStyle w:val="58"/>
              <w:rPr>
                <w:rFonts w:hint="eastAsia"/>
              </w:rPr>
            </w:pPr>
            <w:r>
              <w:rPr>
                <w:rFonts w:hint="eastAsia"/>
              </w:rPr>
              <w:t>公司可结合资产折旧的最低年限来判断。例如电子设备最低折旧年限为3年；房屋、建筑物等最低折旧年限为20年。</w:t>
            </w:r>
          </w:p>
        </w:tc>
      </w:tr>
    </w:tbl>
    <w:p>
      <w:pPr>
        <w:rPr>
          <w:rFonts w:hint="eastAsia"/>
        </w:rPr>
      </w:pPr>
      <w:r>
        <w:rPr>
          <w:rFonts w:hint="eastAsia"/>
        </w:rPr>
        <w:t>2.</w:t>
      </w:r>
      <w:r>
        <w:t>披露主体可以结合实际披露可持续发展相关风险和机遇在当期对公司商业模式、主要供应商和其他利益相关方产生的影响，以及相关风险和机遇集中的区域、设施或资产类型等，并</w:t>
      </w:r>
      <w:r>
        <w:rPr>
          <w:rFonts w:hint="eastAsia"/>
          <w:lang w:eastAsia="zh-CN"/>
        </w:rPr>
        <w:t>评估和披露对</w:t>
      </w:r>
      <w:r>
        <w:t>未来的影响。同时，披露主体应当充分识别、评估公司的采购、生产、销售、服务、内部管理、对外投资、社会活动等对经济、社会、环境是否存在重大影响。</w:t>
      </w:r>
    </w:p>
    <w:p>
      <w:pPr>
        <w:rPr>
          <w:rFonts w:hint="eastAsia"/>
        </w:rPr>
      </w:pPr>
      <w:r>
        <w:t>关于可持续相关影响、风险和机遇识别及评估结果详见“第二</w:t>
      </w:r>
      <w:r>
        <w:rPr>
          <w:rFonts w:hint="eastAsia"/>
        </w:rPr>
        <w:t>节</w:t>
      </w:r>
      <w:r>
        <w:t xml:space="preserve"> 重要性议题识别</w:t>
      </w:r>
      <w:r>
        <w:rPr>
          <w:rFonts w:hint="eastAsia"/>
          <w:lang w:eastAsia="zh-CN"/>
        </w:rPr>
        <w:t>与</w:t>
      </w:r>
      <w:r>
        <w:t>分析”。</w:t>
      </w:r>
    </w:p>
    <w:p>
      <w:pPr>
        <w:pStyle w:val="4"/>
        <w:rPr>
          <w:rFonts w:hint="eastAsia"/>
        </w:rPr>
      </w:pPr>
      <w:bookmarkStart w:id="114" w:name="_Toc180164966"/>
      <w:bookmarkStart w:id="115" w:name="_Toc12854"/>
      <w:r>
        <w:t>二、制定应对“影响、风险和机遇”的策略、方法和规划</w:t>
      </w:r>
      <w:bookmarkEnd w:id="114"/>
    </w:p>
    <w:p>
      <w:pPr>
        <w:rPr>
          <w:rFonts w:hint="eastAsia"/>
        </w:rPr>
      </w:pPr>
      <w:r>
        <w:t>披露主体应当分析可持续发展相关影响、风险和机遇对公司战略和决策的影响，包括但不限于：</w:t>
      </w:r>
    </w:p>
    <w:p>
      <w:pPr>
        <w:rPr>
          <w:rFonts w:hint="eastAsia"/>
        </w:rPr>
      </w:pPr>
      <w:r>
        <w:t>1.公司在战略制定和重大决策过程中为应对可持续发展相关影响、风险和机遇所采用的方法，如战略决策机制、管理办法等。</w:t>
      </w:r>
    </w:p>
    <w:p>
      <w:pPr>
        <w:rPr>
          <w:rFonts w:hint="eastAsia"/>
        </w:rPr>
      </w:pPr>
      <w:r>
        <w:t>2.公司为实现相关战略目标而制定的计划以及衡量计划进展的定性、定量信息。</w:t>
      </w:r>
    </w:p>
    <w:p>
      <w:pPr>
        <w:rPr>
          <w:rFonts w:hint="eastAsia"/>
        </w:rPr>
      </w:pPr>
      <w:r>
        <w:t>应对方法可以包括:公司已经或将来计划在其战略决策纳入可持续发展相关影响、风险及机遇信息；公司计划如何实现其所设定的可持续发展相关的目标；为应对相关影响、风险和机遇就公司业务模式（包括资源分配等）</w:t>
      </w:r>
      <w:r>
        <w:rPr>
          <w:rFonts w:hint="eastAsia"/>
          <w:lang w:eastAsia="zh-CN"/>
        </w:rPr>
        <w:t>所</w:t>
      </w:r>
      <w:r>
        <w:t>作出的调整；已经或预期将进行的适应或减缓措施等。</w:t>
      </w:r>
    </w:p>
    <w:p>
      <w:pPr>
        <w:rPr>
          <w:rFonts w:hint="eastAsia"/>
        </w:rPr>
      </w:pPr>
      <w:r>
        <w:t>公司可以将公司可持续发展目标融入公司战略，并由董事会审议批准，转化为执行计划并分配对应资源。管理层通过定期监督与评估确保战略实施效果，并根据反馈调整计划，以应对未来挑战并促进可持续发展。</w:t>
      </w:r>
    </w:p>
    <w:p>
      <w:pPr>
        <w:rPr>
          <w:rFonts w:hint="eastAsia"/>
        </w:rPr>
      </w:pPr>
      <w:r>
        <w:t>公司对可持续发展相关影响、风险和机遇的评估、判断情况详见“第二</w:t>
      </w:r>
      <w:r>
        <w:rPr>
          <w:rFonts w:hint="eastAsia"/>
        </w:rPr>
        <w:t>节</w:t>
      </w:r>
      <w:r>
        <w:t xml:space="preserve"> 重要性议题识别</w:t>
      </w:r>
      <w:r>
        <w:rPr>
          <w:rFonts w:hint="eastAsia"/>
          <w:lang w:eastAsia="zh-CN"/>
        </w:rPr>
        <w:t>与</w:t>
      </w:r>
      <w:r>
        <w:t>分析”，为衡量计划进展制定的定性、定量信息详见“第六</w:t>
      </w:r>
      <w:r>
        <w:rPr>
          <w:rFonts w:hint="eastAsia"/>
        </w:rPr>
        <w:t>节</w:t>
      </w:r>
      <w:r>
        <w:t xml:space="preserve"> 指标与目标”。</w:t>
      </w:r>
    </w:p>
    <w:p>
      <w:pPr>
        <w:pStyle w:val="4"/>
        <w:rPr>
          <w:rFonts w:hint="eastAsia"/>
        </w:rPr>
      </w:pPr>
      <w:bookmarkStart w:id="116" w:name="_Toc180164967"/>
      <w:r>
        <w:t>三、评估当期和预期财务影响</w:t>
      </w:r>
      <w:bookmarkEnd w:id="115"/>
      <w:bookmarkEnd w:id="116"/>
    </w:p>
    <w:p>
      <w:pPr>
        <w:rPr>
          <w:rFonts w:hint="eastAsia"/>
        </w:rPr>
      </w:pPr>
      <w:r>
        <w:rPr>
          <w:rFonts w:hint="eastAsia"/>
        </w:rPr>
        <w:t>1.</w:t>
      </w:r>
      <w:r>
        <w:t>披露主体应当分析可持续发展相关风险和机遇如何影响公司当期财务状况、经营成果、现金流，以及是否会对公司下一年度财务状况、经营成果、现金流产生重大影响。</w:t>
      </w:r>
    </w:p>
    <w:p>
      <w:pPr>
        <w:rPr>
          <w:rFonts w:hint="eastAsia"/>
        </w:rPr>
      </w:pPr>
      <w:r>
        <w:t>公司分析当期财务影响，可对财务状况具体分析，包括总资产、净资产、总负债等项目，经营成果可具体分析包括收入、成本、净利润等项目。例如：</w:t>
      </w:r>
    </w:p>
    <w:p>
      <w:pPr>
        <w:rPr>
          <w:rFonts w:hint="eastAsia"/>
        </w:rPr>
      </w:pPr>
      <w:r>
        <w:t>（1）气候事件对资产造成的物理损坏所产生的成本与资产减值。</w:t>
      </w:r>
    </w:p>
    <w:p>
      <w:pPr>
        <w:rPr>
          <w:rFonts w:hint="eastAsia"/>
        </w:rPr>
      </w:pPr>
      <w:r>
        <w:t>（2）低碳经济背景下产品或服务所带来的收入增长。</w:t>
      </w:r>
    </w:p>
    <w:p>
      <w:pPr>
        <w:rPr>
          <w:rFonts w:hint="eastAsia"/>
        </w:rPr>
      </w:pPr>
      <w:r>
        <w:t>（3）为应对水资源或能源短缺风险，用水或用能效率提升所带来的营运开支变动。</w:t>
      </w:r>
    </w:p>
    <w:p>
      <w:pPr>
        <w:rPr>
          <w:rFonts w:hint="eastAsia"/>
        </w:rPr>
      </w:pPr>
      <w:r>
        <w:t>（4）人力资本管理良好，员工创新能力提高，技术和产品革新带来收入的增加。</w:t>
      </w:r>
    </w:p>
    <w:p>
      <w:pPr>
        <w:rPr>
          <w:rFonts w:hint="eastAsia"/>
        </w:rPr>
      </w:pPr>
      <w:r>
        <w:t>（5）发生贿赂及贪污事件，可能因调查或诉讼导致运营暂停，面临巨额罚款和诉讼成本。</w:t>
      </w:r>
    </w:p>
    <w:p>
      <w:pPr>
        <w:rPr>
          <w:rFonts w:hint="eastAsia"/>
        </w:rPr>
      </w:pPr>
      <w:r>
        <w:rPr>
          <w:rFonts w:hint="eastAsia"/>
        </w:rPr>
        <w:t>2.本所</w:t>
      </w:r>
      <w:r>
        <w:t>鼓励披露主体基于</w:t>
      </w:r>
      <w:r>
        <w:rPr>
          <w:rFonts w:hint="eastAsia"/>
          <w:lang w:eastAsia="zh-CN"/>
        </w:rPr>
        <w:t>公司管理</w:t>
      </w:r>
      <w:r>
        <w:t>相关</w:t>
      </w:r>
      <w:r>
        <w:rPr>
          <w:rFonts w:hint="eastAsia"/>
        </w:rPr>
        <w:t>风险和机遇的</w:t>
      </w:r>
      <w:r>
        <w:t>战略，预计公司财务状况、经营成果、现金流</w:t>
      </w:r>
      <w:r>
        <w:rPr>
          <w:rFonts w:hint="eastAsia"/>
          <w:lang w:eastAsia="zh-CN"/>
        </w:rPr>
        <w:t>在</w:t>
      </w:r>
      <w:r>
        <w:t>短期、中期和长期的变化趋势。</w:t>
      </w:r>
    </w:p>
    <w:p>
      <w:pPr>
        <w:rPr>
          <w:rFonts w:hint="eastAsia"/>
        </w:rPr>
      </w:pPr>
      <w:r>
        <w:t>公司基于相关战略分析预期财务影响时，战略可具体包括如资本性支出计划、重大收购和撤资、业务转型、新业务领域拓展、资产报废等方面，</w:t>
      </w:r>
      <w:r>
        <w:rPr>
          <w:rFonts w:hint="eastAsia"/>
        </w:rPr>
        <w:t>例如</w:t>
      </w:r>
      <w:r>
        <w:t>：</w:t>
      </w:r>
    </w:p>
    <w:p>
      <w:pPr>
        <w:rPr>
          <w:rFonts w:hint="eastAsia"/>
        </w:rPr>
      </w:pPr>
      <w:r>
        <w:t>（1）下一年购买生产新型可持续包装的机械设备发生的支出变动。</w:t>
      </w:r>
    </w:p>
    <w:p>
      <w:pPr>
        <w:rPr>
          <w:rFonts w:hint="eastAsia"/>
        </w:rPr>
      </w:pPr>
      <w:r>
        <w:t>（2）未来3年为建造绿色建筑进行的可持续融资安排的融资成本变动。</w:t>
      </w:r>
    </w:p>
    <w:p>
      <w:pPr>
        <w:rPr>
          <w:rFonts w:hint="eastAsia"/>
        </w:rPr>
      </w:pPr>
      <w:r>
        <w:t>（3）未来3年内推出符合净零排放目标的新产品带来的收入变动。</w:t>
      </w:r>
    </w:p>
    <w:p>
      <w:pPr>
        <w:rPr>
          <w:rFonts w:hint="eastAsia"/>
        </w:rPr>
      </w:pPr>
      <w:r>
        <w:t>（4）与气候适应或减缓相关的支出变动，如未来3年内购买节能设备</w:t>
      </w:r>
      <w:r>
        <w:rPr>
          <w:rFonts w:hint="eastAsia"/>
          <w:lang w:eastAsia="zh-CN"/>
        </w:rPr>
        <w:t>（</w:t>
      </w:r>
      <w:r>
        <w:t>如LED灯</w:t>
      </w:r>
      <w:r>
        <w:rPr>
          <w:rFonts w:hint="eastAsia"/>
          <w:lang w:eastAsia="zh-CN"/>
        </w:rPr>
        <w:t>）</w:t>
      </w:r>
      <w:r>
        <w:t>的支出等。</w:t>
      </w:r>
    </w:p>
    <w:p>
      <w:pPr>
        <w:rPr>
          <w:rFonts w:hint="eastAsia"/>
        </w:rPr>
      </w:pPr>
      <w:r>
        <w:t>（5）未来5年以纯电汽车代替燃油车的收入及支出变动。</w:t>
      </w:r>
    </w:p>
    <w:p>
      <w:pPr>
        <w:rPr>
          <w:rFonts w:hint="eastAsia"/>
        </w:rPr>
      </w:pPr>
      <w:r>
        <w:t>（6）未来将生效的</w:t>
      </w:r>
      <w:r>
        <w:rPr>
          <w:rFonts w:hint="eastAsia"/>
          <w:lang w:eastAsia="zh-CN"/>
        </w:rPr>
        <w:t>法律</w:t>
      </w:r>
      <w:r>
        <w:t>法规或税收政策导致公司税费增加、产品难以满足市场需求，或可能导致利润下降等。</w:t>
      </w:r>
    </w:p>
    <w:p>
      <w:pPr>
        <w:rPr>
          <w:rFonts w:hint="eastAsia" w:eastAsia="仿宋_GB2312"/>
          <w:szCs w:val="30"/>
          <w:lang w:bidi="ar"/>
        </w:rPr>
      </w:pPr>
      <w:r>
        <w:t>公司可持续风险和机遇的当期财务影响和预期财务影响，往往与财务报表信息</w:t>
      </w:r>
      <w:r>
        <w:rPr>
          <w:rFonts w:hint="eastAsia"/>
          <w:lang w:eastAsia="zh-CN"/>
        </w:rPr>
        <w:t>具有</w:t>
      </w:r>
      <w:r>
        <w:t>关联</w:t>
      </w:r>
      <w:r>
        <w:rPr>
          <w:rFonts w:hint="eastAsia"/>
          <w:lang w:eastAsia="zh-CN"/>
        </w:rPr>
        <w:t>，公司可以</w:t>
      </w:r>
      <w:r>
        <w:t>通过交叉索引等方式与公司当期的</w:t>
      </w:r>
      <w:r>
        <w:rPr>
          <w:rFonts w:hint="eastAsia"/>
          <w:lang w:eastAsia="zh-CN"/>
        </w:rPr>
        <w:t>财务报告相</w:t>
      </w:r>
      <w:r>
        <w:t>关联。</w:t>
      </w:r>
    </w:p>
    <w:p>
      <w:pPr>
        <w:pStyle w:val="4"/>
        <w:rPr>
          <w:rFonts w:hint="eastAsia"/>
          <w:szCs w:val="30"/>
        </w:rPr>
      </w:pPr>
      <w:bookmarkStart w:id="117" w:name="_Toc180164968"/>
      <w:r>
        <w:t>四、评估战略和业务模式对可持续相关风险的适应性</w:t>
      </w:r>
      <w:bookmarkEnd w:id="117"/>
    </w:p>
    <w:p>
      <w:pPr>
        <w:rPr>
          <w:rFonts w:hint="eastAsia"/>
        </w:rPr>
      </w:pPr>
      <w:r>
        <w:rPr>
          <w:rFonts w:hint="eastAsia"/>
        </w:rPr>
        <w:t>本所</w:t>
      </w:r>
      <w:r>
        <w:t>鼓励披露主体评估公司的战略及商业模式对可持续发展相关风险的适应性。</w:t>
      </w:r>
    </w:p>
    <w:p>
      <w:pPr>
        <w:rPr>
          <w:rFonts w:hint="eastAsia"/>
        </w:rPr>
      </w:pPr>
      <w:r>
        <w:t>有条件的公司可以采用情景分析等方式对可持续相关风险的不确定性进行评估</w:t>
      </w:r>
      <w:r>
        <w:rPr>
          <w:rFonts w:hint="eastAsia"/>
          <w:lang w:eastAsia="zh-CN"/>
        </w:rPr>
        <w:t>，</w:t>
      </w:r>
      <w:r>
        <w:rPr>
          <w:rFonts w:hint="eastAsia"/>
        </w:rPr>
        <w:t>及时对公司的战略和业务模式作出调整，旨在帮助信息使用者了解和评估公司在不同情景下应对和抵御可持续风险的适应性</w:t>
      </w:r>
      <w:r>
        <w:t>。</w:t>
      </w:r>
    </w:p>
    <w:p>
      <w:pPr>
        <w:rPr>
          <w:rFonts w:hint="eastAsia" w:eastAsia="仿宋_GB2312"/>
          <w:szCs w:val="30"/>
          <w:lang w:bidi="ar"/>
        </w:rPr>
      </w:pPr>
      <w:r>
        <w:t>关于战略的披露框架可详见第七</w:t>
      </w:r>
      <w:r>
        <w:rPr>
          <w:rFonts w:hint="eastAsia"/>
        </w:rPr>
        <w:t>节</w:t>
      </w:r>
      <w:r>
        <w:t>相关内容。</w:t>
      </w:r>
    </w:p>
    <w:p>
      <w:pPr>
        <w:widowControl/>
        <w:ind w:firstLine="602"/>
        <w:jc w:val="left"/>
        <w:rPr>
          <w:rFonts w:hint="eastAsia" w:eastAsia="黑体"/>
          <w:b/>
          <w:bCs/>
          <w:sz w:val="30"/>
          <w:szCs w:val="30"/>
        </w:rPr>
      </w:pPr>
    </w:p>
    <w:p>
      <w:pPr>
        <w:widowControl/>
        <w:ind w:firstLine="0" w:firstLineChars="0"/>
        <w:jc w:val="center"/>
        <w:outlineLvl w:val="1"/>
        <w:rPr>
          <w:rStyle w:val="28"/>
          <w:rFonts w:hint="eastAsia"/>
        </w:rPr>
      </w:pPr>
      <w:r>
        <w:rPr>
          <w:rFonts w:eastAsia="黑体"/>
          <w:b/>
          <w:bCs/>
          <w:sz w:val="30"/>
          <w:szCs w:val="30"/>
        </w:rPr>
        <w:br w:type="page"/>
      </w:r>
      <w:bookmarkStart w:id="118" w:name="_Toc180164969"/>
      <w:bookmarkStart w:id="119" w:name="_Toc30522"/>
      <w:r>
        <w:rPr>
          <w:rStyle w:val="28"/>
          <w:rFonts w:hint="eastAsia"/>
        </w:rPr>
        <w:t>第五节 影响、风险和机遇管理</w:t>
      </w:r>
      <w:bookmarkEnd w:id="118"/>
      <w:bookmarkEnd w:id="119"/>
    </w:p>
    <w:p>
      <w:pPr>
        <w:pStyle w:val="4"/>
        <w:rPr>
          <w:rFonts w:hint="eastAsia"/>
        </w:rPr>
      </w:pPr>
      <w:bookmarkStart w:id="120" w:name="_Toc180164973"/>
      <w:r>
        <w:rPr>
          <w:rFonts w:hint="eastAsia"/>
        </w:rPr>
        <w:t>一、识别、评估“影响、风险和机遇”的</w:t>
      </w:r>
      <w:bookmarkEnd w:id="120"/>
      <w:r>
        <w:rPr>
          <w:rFonts w:hint="eastAsia"/>
        </w:rPr>
        <w:t>流程</w:t>
      </w:r>
    </w:p>
    <w:p>
      <w:pPr>
        <w:rPr>
          <w:rFonts w:hint="eastAsia"/>
        </w:rPr>
      </w:pPr>
      <w:r>
        <w:rPr>
          <w:rFonts w:hint="eastAsia"/>
        </w:rPr>
        <w:t>披露主体应当</w:t>
      </w:r>
      <w:r>
        <w:rPr>
          <w:rFonts w:hint="eastAsia"/>
          <w:lang w:eastAsia="zh-CN"/>
        </w:rPr>
        <w:t>披露</w:t>
      </w:r>
      <w:r>
        <w:rPr>
          <w:rFonts w:hint="eastAsia"/>
        </w:rPr>
        <w:t>识别、评估可持续发展相关影响、风险和机遇的方法，以及评估这些影响、风险和机遇发生的可能性、大小和影响的途径。披露主体应当明确对可持续发展相关影响、风险与机遇的优先级排序及排序标准。</w:t>
      </w:r>
    </w:p>
    <w:p>
      <w:pPr>
        <w:rPr>
          <w:rFonts w:hint="eastAsia"/>
        </w:rPr>
      </w:pPr>
      <w:r>
        <w:rPr>
          <w:rFonts w:hint="eastAsia"/>
        </w:rPr>
        <w:t>流程可以包括用于识别、评估潜在和实际影响的流程和用于识别、评估具有或可能具有财务影响的风险和机遇的流程，如明确采用的方法和关键假设，使用的输入值和参数及其来源，评估性质、可能性和规模的方法，如何考虑优先级，与前期相比这些流程是否发生变化</w:t>
      </w:r>
      <w:r>
        <w:rPr>
          <w:rFonts w:hint="eastAsia"/>
          <w:lang w:eastAsia="zh-CN"/>
        </w:rPr>
        <w:t>等</w:t>
      </w:r>
      <w:r>
        <w:rPr>
          <w:rFonts w:hint="eastAsia"/>
        </w:rPr>
        <w:t>。</w:t>
      </w:r>
    </w:p>
    <w:p>
      <w:pPr>
        <w:rPr>
          <w:rFonts w:hint="eastAsia"/>
        </w:rPr>
      </w:pPr>
      <w:r>
        <w:rPr>
          <w:rFonts w:hint="eastAsia"/>
        </w:rPr>
        <w:t>关于识别、评估可持续发展相关影响、风险和机遇的流程、方法以及优先级排序，详见“第二节 重要性议题识别</w:t>
      </w:r>
      <w:r>
        <w:rPr>
          <w:rFonts w:hint="eastAsia"/>
          <w:lang w:eastAsia="zh-CN"/>
        </w:rPr>
        <w:t>与</w:t>
      </w:r>
      <w:r>
        <w:rPr>
          <w:rFonts w:hint="eastAsia"/>
        </w:rPr>
        <w:t>分析”。</w:t>
      </w:r>
    </w:p>
    <w:p>
      <w:pPr>
        <w:pStyle w:val="4"/>
        <w:rPr>
          <w:rFonts w:hint="eastAsia"/>
        </w:rPr>
      </w:pPr>
      <w:bookmarkStart w:id="121" w:name="_Toc180164975"/>
      <w:r>
        <w:rPr>
          <w:rFonts w:hint="eastAsia"/>
        </w:rPr>
        <w:t>二、监测与管理影响、风险和机遇</w:t>
      </w:r>
      <w:bookmarkEnd w:id="121"/>
    </w:p>
    <w:p>
      <w:pPr>
        <w:rPr>
          <w:rFonts w:hint="eastAsia"/>
        </w:rPr>
      </w:pPr>
      <w:r>
        <w:rPr>
          <w:rFonts w:hint="eastAsia"/>
        </w:rPr>
        <w:t>披露主体应当监测可持续发展相关影响、风险和机遇的情况，如建立管理机制、流程等。同时，应当将可持续发展相关影响、风险和机遇管理流程融入内部管理流程。</w:t>
      </w:r>
    </w:p>
    <w:p>
      <w:pPr>
        <w:rPr>
          <w:rFonts w:hint="eastAsia"/>
        </w:rPr>
      </w:pPr>
      <w:r>
        <w:rPr>
          <w:rFonts w:hint="eastAsia"/>
        </w:rPr>
        <w:t>披露主体针对可持续相关风险和机遇进行统一管理的，可以就风险管理进行整合披露，无需披露单个议题的相关信息。</w:t>
      </w:r>
    </w:p>
    <w:p>
      <w:pPr>
        <w:rPr>
          <w:rFonts w:hint="eastAsia" w:eastAsia="仿宋_GB2312"/>
          <w:kern w:val="0"/>
          <w:szCs w:val="30"/>
        </w:rPr>
      </w:pPr>
      <w:r>
        <w:rPr>
          <w:rFonts w:hint="eastAsia"/>
        </w:rPr>
        <w:t>公司监测与管理影响、风险和机遇可以通过制定管理制度、明确监测流程以及采取管理措施的步骤开展工作。</w:t>
      </w:r>
    </w:p>
    <w:p>
      <w:pPr>
        <w:pStyle w:val="5"/>
        <w:rPr>
          <w:rFonts w:hint="eastAsia" w:eastAsia="仿宋_GB2312"/>
          <w:b/>
          <w:bCs/>
          <w:kern w:val="0"/>
          <w:szCs w:val="30"/>
        </w:rPr>
      </w:pPr>
      <w:r>
        <w:rPr>
          <w:rFonts w:hint="eastAsia"/>
        </w:rPr>
        <w:t>步骤一：制定管理制度</w:t>
      </w:r>
    </w:p>
    <w:p>
      <w:pPr>
        <w:rPr>
          <w:rFonts w:hint="eastAsia"/>
        </w:rPr>
      </w:pPr>
      <w:r>
        <w:t>公司为预防、减轻和补救实际和潜在影响、应对风险和寻求机遇而制定的管理制度，包括：</w:t>
      </w:r>
    </w:p>
    <w:p>
      <w:pPr>
        <w:rPr>
          <w:rFonts w:hint="eastAsia"/>
        </w:rPr>
      </w:pPr>
      <w:r>
        <w:t>1.明确制度的一般目标（如有），制度涉及哪些重大影响、风险或机遇；</w:t>
      </w:r>
    </w:p>
    <w:p>
      <w:pPr>
        <w:rPr>
          <w:rFonts w:hint="eastAsia"/>
        </w:rPr>
      </w:pPr>
      <w:r>
        <w:t>2.明确制度适用的范围（或制度的排除范围），包括所覆盖的业务活动、上下游价值链、地理区域、受影响的利益相关方；</w:t>
      </w:r>
    </w:p>
    <w:p>
      <w:pPr>
        <w:rPr>
          <w:rFonts w:hint="eastAsia"/>
        </w:rPr>
      </w:pPr>
      <w:r>
        <w:t>3.明确公司内部负责实施制度的最高管理级别；</w:t>
      </w:r>
    </w:p>
    <w:p>
      <w:pPr>
        <w:rPr>
          <w:rFonts w:hint="eastAsia"/>
        </w:rPr>
      </w:pPr>
      <w:r>
        <w:t>4.公司在制定制度时如何考虑关键利益相关方；</w:t>
      </w:r>
    </w:p>
    <w:p>
      <w:pPr>
        <w:rPr>
          <w:rFonts w:hint="eastAsia"/>
        </w:rPr>
      </w:pPr>
      <w:r>
        <w:t>5.公司将制度告知潜在的受影响的利益相关方的方式，明确需要帮助实施制度的利益相关方。</w:t>
      </w:r>
    </w:p>
    <w:p>
      <w:pPr>
        <w:pStyle w:val="5"/>
        <w:rPr>
          <w:rFonts w:hint="eastAsia"/>
        </w:rPr>
      </w:pPr>
      <w:r>
        <w:t>步骤二：建立影响、风险和机遇的监测流程</w:t>
      </w:r>
    </w:p>
    <w:p>
      <w:pPr>
        <w:rPr>
          <w:rFonts w:hint="eastAsia"/>
        </w:rPr>
      </w:pPr>
      <w:r>
        <w:t>1.公司监测影响、风险和机遇的流程；</w:t>
      </w:r>
    </w:p>
    <w:p>
      <w:pPr>
        <w:rPr>
          <w:rFonts w:hint="eastAsia"/>
        </w:rPr>
      </w:pPr>
      <w:r>
        <w:t>2.影响、风险和机遇管理流程是否融入公司内部管理流程；</w:t>
      </w:r>
    </w:p>
    <w:p>
      <w:pPr>
        <w:rPr>
          <w:rFonts w:hint="eastAsia"/>
        </w:rPr>
      </w:pPr>
      <w:r>
        <w:t>3.公司可以使用</w:t>
      </w:r>
      <w:r>
        <w:rPr>
          <w:rFonts w:hint="eastAsia"/>
          <w:lang w:eastAsia="zh-CN"/>
        </w:rPr>
        <w:t>的</w:t>
      </w:r>
      <w:r>
        <w:t>风险监测工具，包括使用信息化手段优化管理流程，记录和保存相关信息，运用大数据等工具，对影响、风险和机遇情况的监控和风险分析；</w:t>
      </w:r>
    </w:p>
    <w:p>
      <w:pPr>
        <w:rPr>
          <w:rFonts w:hint="eastAsia" w:eastAsia="仿宋_GB2312"/>
          <w:kern w:val="0"/>
          <w:szCs w:val="30"/>
        </w:rPr>
      </w:pPr>
      <w:r>
        <w:t>4.明确公司监测影响、风险和机遇的频率并在《可持续发展报告》中披露在报告期内的监测结果。</w:t>
      </w:r>
    </w:p>
    <w:p>
      <w:pPr>
        <w:pStyle w:val="5"/>
        <w:rPr>
          <w:rFonts w:hint="eastAsia"/>
        </w:rPr>
      </w:pPr>
      <w:r>
        <w:t>步骤三：采取管理措施</w:t>
      </w:r>
    </w:p>
    <w:p>
      <w:pPr>
        <w:rPr>
          <w:rFonts w:hint="eastAsia"/>
        </w:rPr>
      </w:pPr>
      <w:r>
        <w:t>1.制定公司已采取措施和未来拟采取的措施清单，明确预期结果以及采取的措施如何实现目标</w:t>
      </w:r>
      <w:r>
        <w:rPr>
          <w:rFonts w:hint="eastAsia"/>
          <w:lang w:eastAsia="zh-CN"/>
        </w:rPr>
        <w:t>，</w:t>
      </w:r>
      <w:r>
        <w:t>以及计划完成每个措施的时间范围；</w:t>
      </w:r>
    </w:p>
    <w:p>
      <w:pPr>
        <w:rPr>
          <w:rFonts w:hint="eastAsia"/>
        </w:rPr>
      </w:pPr>
      <w:r>
        <w:t>2.明确关键措施的范围（如覆盖的业务活动、地理区域和受影响的利益相关方）；</w:t>
      </w:r>
    </w:p>
    <w:p>
      <w:pPr>
        <w:rPr>
          <w:rFonts w:hint="eastAsia"/>
        </w:rPr>
      </w:pPr>
      <w:r>
        <w:t>3.公司就已造成的实际重大影响以及为受到实际重大影响的群体提供的补救措施；</w:t>
      </w:r>
    </w:p>
    <w:p>
      <w:pPr>
        <w:rPr>
          <w:rFonts w:hint="eastAsia" w:ascii="仿宋_GB2312" w:eastAsia="仿宋_GB2312"/>
          <w:kern w:val="0"/>
          <w:sz w:val="30"/>
          <w:szCs w:val="30"/>
        </w:rPr>
      </w:pPr>
      <w:r>
        <w:t>4.公司对措施计划进展情况进行</w:t>
      </w:r>
      <w:r>
        <w:rPr>
          <w:rFonts w:hint="eastAsia"/>
        </w:rPr>
        <w:t>的</w:t>
      </w:r>
      <w:r>
        <w:t>定性和定量分析，包括监测目标完成情况、明确采取措施所投入的资源（人力和财力）等。</w:t>
      </w:r>
      <w:bookmarkStart w:id="122" w:name="_Toc22669"/>
      <w:bookmarkStart w:id="123" w:name="_Toc27063"/>
      <w:bookmarkStart w:id="124" w:name="_Toc24541"/>
      <w:bookmarkStart w:id="125" w:name="_Toc30744"/>
      <w:r>
        <w:rPr>
          <w:rFonts w:ascii="仿宋_GB2312" w:eastAsia="仿宋_GB2312"/>
          <w:kern w:val="0"/>
          <w:sz w:val="30"/>
          <w:szCs w:val="30"/>
        </w:rPr>
        <w:br w:type="page"/>
      </w:r>
    </w:p>
    <w:p>
      <w:pPr>
        <w:pStyle w:val="3"/>
        <w:rPr>
          <w:rFonts w:hint="eastAsia"/>
        </w:rPr>
      </w:pPr>
      <w:bookmarkStart w:id="126" w:name="_Toc180164976"/>
      <w:bookmarkStart w:id="127" w:name="_Toc18944"/>
      <w:r>
        <w:rPr>
          <w:rFonts w:hint="eastAsia"/>
        </w:rPr>
        <w:t>第六节</w:t>
      </w:r>
      <w:r>
        <w:t xml:space="preserve"> </w:t>
      </w:r>
      <w:r>
        <w:rPr>
          <w:rFonts w:hint="eastAsia"/>
        </w:rPr>
        <w:t>指标与目标</w:t>
      </w:r>
      <w:bookmarkEnd w:id="122"/>
      <w:bookmarkEnd w:id="123"/>
      <w:bookmarkEnd w:id="124"/>
      <w:bookmarkEnd w:id="125"/>
      <w:bookmarkEnd w:id="126"/>
      <w:bookmarkEnd w:id="127"/>
    </w:p>
    <w:p>
      <w:pPr>
        <w:rPr>
          <w:rFonts w:hint="eastAsia"/>
        </w:rPr>
      </w:pPr>
      <w:bookmarkStart w:id="128" w:name="_Toc18685"/>
      <w:bookmarkStart w:id="129" w:name="_Toc30374"/>
      <w:bookmarkStart w:id="130" w:name="_Toc5559"/>
      <w:bookmarkStart w:id="131" w:name="_Toc27082"/>
      <w:r>
        <w:rPr>
          <w:rFonts w:hint="eastAsia"/>
        </w:rPr>
        <w:t>指标与目标，即公司用于计量、管理、监督、评价其应对可持续发展相关影响、风险和机遇的指标和目标。披露可持续发展相关指标与目标信息，有助于报告使用者了解披露主体在可持续发展相关影响、风险和机遇方面的管理成果及目标取得进展。</w:t>
      </w:r>
    </w:p>
    <w:p>
      <w:pPr>
        <w:rPr>
          <w:rFonts w:hint="eastAsia"/>
        </w:rPr>
      </w:pPr>
      <w:r>
        <w:rPr>
          <w:rFonts w:hint="eastAsia"/>
        </w:rPr>
        <w:t>披露主体应当根据相关法律法规、《指引》要求以及自身需要设定可持续发展目标及相关指标，并跟踪报告期末相关目标实现情况以及报告期内的进展情况。公司可参考本指南相关内容进行可持续发展目标及相关指标的设定和管理。</w:t>
      </w:r>
    </w:p>
    <w:p>
      <w:pPr>
        <w:rPr>
          <w:rFonts w:hint="eastAsia"/>
        </w:rPr>
      </w:pPr>
      <w:r>
        <w:rPr>
          <w:rFonts w:hint="eastAsia"/>
        </w:rPr>
        <w:t>公司可以先设定可持续发展目标，并根据目标定义等信息，拆解出可持续发展指标，以监测和审查目标实现进展。如公司暂未设定可持续发展目标，也可设定在相关可持续发展议题下的指标，对公司可持续发展绩效开展监测和管理，并为后续目标设定工作提供基础信息。</w:t>
      </w:r>
    </w:p>
    <w:p>
      <w:pPr>
        <w:pStyle w:val="4"/>
        <w:rPr>
          <w:rFonts w:hint="eastAsia"/>
        </w:rPr>
      </w:pPr>
      <w:bookmarkStart w:id="132" w:name="_Toc180164982"/>
      <w:r>
        <w:rPr>
          <w:rFonts w:hint="eastAsia"/>
        </w:rPr>
        <w:t>一、设定和管理目标</w:t>
      </w:r>
      <w:bookmarkEnd w:id="132"/>
    </w:p>
    <w:p>
      <w:pPr>
        <w:pStyle w:val="5"/>
        <w:rPr>
          <w:rFonts w:hint="eastAsia" w:ascii="仿宋_GB2312" w:eastAsia="仿宋_GB2312"/>
          <w:b/>
          <w:bCs/>
          <w:szCs w:val="30"/>
          <w:lang w:bidi="ar"/>
        </w:rPr>
      </w:pPr>
      <w:bookmarkStart w:id="133" w:name="_Toc180165252"/>
      <w:r>
        <w:rPr>
          <w:rFonts w:hint="eastAsia"/>
        </w:rPr>
        <w:t>（一）设定目标</w:t>
      </w:r>
      <w:bookmarkEnd w:id="133"/>
    </w:p>
    <w:p>
      <w:pPr>
        <w:rPr>
          <w:rFonts w:hint="eastAsia"/>
        </w:rPr>
      </w:pPr>
      <w:r>
        <w:rPr>
          <w:rFonts w:hint="eastAsia"/>
        </w:rPr>
        <w:t>公司可以根据相关法律法规、《指引》要求以及自身需要设定可持续发展相关目标。目标来源、说明及参考示例如下表所示。</w:t>
      </w:r>
    </w:p>
    <w:p>
      <w:pPr>
        <w:pStyle w:val="57"/>
      </w:pPr>
      <w:r>
        <w:t>表1.1</w:t>
      </w:r>
      <w:r>
        <w:rPr>
          <w:rFonts w:hint="eastAsia"/>
          <w:lang w:val="en-US" w:eastAsia="zh-CN"/>
        </w:rPr>
        <w:t>8</w:t>
      </w:r>
      <w:r>
        <w:t xml:space="preserve"> 目标来源、说明及参考示例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26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jc w:val="center"/>
              <w:rPr>
                <w:rFonts w:hint="eastAsia"/>
              </w:rPr>
            </w:pPr>
            <w:r>
              <w:rPr>
                <w:rFonts w:hint="eastAsia"/>
              </w:rPr>
              <w:t>目标来源</w:t>
            </w:r>
          </w:p>
        </w:tc>
        <w:tc>
          <w:tcPr>
            <w:tcW w:w="3261" w:type="dxa"/>
            <w:vAlign w:val="center"/>
          </w:tcPr>
          <w:p>
            <w:pPr>
              <w:pStyle w:val="58"/>
              <w:jc w:val="center"/>
              <w:rPr>
                <w:rFonts w:hint="eastAsia"/>
              </w:rPr>
            </w:pPr>
            <w:r>
              <w:rPr>
                <w:rFonts w:hint="eastAsia"/>
              </w:rPr>
              <w:t>说明</w:t>
            </w:r>
          </w:p>
        </w:tc>
        <w:tc>
          <w:tcPr>
            <w:tcW w:w="3339"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法律法规、国家标准等要求披露的目标</w:t>
            </w:r>
          </w:p>
        </w:tc>
        <w:tc>
          <w:tcPr>
            <w:tcW w:w="3261" w:type="dxa"/>
            <w:vAlign w:val="center"/>
          </w:tcPr>
          <w:p>
            <w:pPr>
              <w:pStyle w:val="58"/>
              <w:rPr>
                <w:rFonts w:hint="eastAsia"/>
              </w:rPr>
            </w:pPr>
            <w:r>
              <w:rPr>
                <w:rFonts w:hint="eastAsia"/>
              </w:rPr>
              <w:t>在一些可持续发展议题方面，公司根据法律法规、国家标准等要求而需要披露的目标，这类目标通常具有议题特征或行业特征。</w:t>
            </w:r>
          </w:p>
        </w:tc>
        <w:tc>
          <w:tcPr>
            <w:tcW w:w="3339" w:type="dxa"/>
            <w:vAlign w:val="center"/>
          </w:tcPr>
          <w:p>
            <w:pPr>
              <w:pStyle w:val="58"/>
              <w:rPr>
                <w:rFonts w:hint="eastAsia"/>
              </w:rPr>
            </w:pPr>
            <w:r>
              <w:rPr>
                <w:rFonts w:hint="eastAsia"/>
              </w:rPr>
              <w:t>例如，国务院办公厅《加快构建碳排放双控制度体系工作方案》</w:t>
            </w:r>
            <w:r>
              <w:rPr>
                <w:rFonts w:hint="eastAsia"/>
                <w:lang w:eastAsia="zh-CN"/>
              </w:rPr>
              <w:t>提出</w:t>
            </w:r>
            <w:r>
              <w:rPr>
                <w:rFonts w:hint="eastAsia"/>
              </w:rPr>
              <w:t>，“建立地方碳排放目标评价考核制度，各省份可进一步细化分解碳排放双控指标，压实地市及重点企业控排减排责任。”在该政策下，部分企业可制定并披露相关法律法规要求的碳排放目标。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《指引》要求披露的目标</w:t>
            </w:r>
          </w:p>
        </w:tc>
        <w:tc>
          <w:tcPr>
            <w:tcW w:w="3261" w:type="dxa"/>
            <w:vAlign w:val="center"/>
          </w:tcPr>
          <w:p>
            <w:pPr>
              <w:pStyle w:val="58"/>
              <w:rPr>
                <w:rFonts w:hint="eastAsia"/>
              </w:rPr>
            </w:pPr>
            <w:r>
              <w:rPr>
                <w:rFonts w:hint="eastAsia"/>
              </w:rPr>
              <w:t>《指引》要求披露的目标包括：减排目标、主要污染物减排目标、废弃物减排目标、能源节约目标、水资源节约目标、循环经济目标、科技创新目标以及供应链风险管理目标等。《指引》要求披露的目标详见各议题指南。</w:t>
            </w:r>
          </w:p>
        </w:tc>
        <w:tc>
          <w:tcPr>
            <w:tcW w:w="3339" w:type="dxa"/>
            <w:vAlign w:val="center"/>
          </w:tcPr>
          <w:p>
            <w:pPr>
              <w:pStyle w:val="58"/>
              <w:rPr>
                <w:rFonts w:hint="eastAsia"/>
              </w:rPr>
            </w:pPr>
            <w:r>
              <w:rPr>
                <w:rFonts w:hint="eastAsia"/>
              </w:rPr>
              <w:t>例如，根据运营所在地子公司的核定排污量，设定在此基础上的百分比减排目标。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公司自身需要设定的目标</w:t>
            </w:r>
          </w:p>
        </w:tc>
        <w:tc>
          <w:tcPr>
            <w:tcW w:w="3261" w:type="dxa"/>
            <w:vAlign w:val="center"/>
          </w:tcPr>
          <w:p>
            <w:pPr>
              <w:pStyle w:val="58"/>
              <w:rPr>
                <w:rFonts w:hint="eastAsia"/>
              </w:rPr>
            </w:pPr>
            <w:r>
              <w:rPr>
                <w:rFonts w:hint="eastAsia"/>
              </w:rPr>
              <w:t>公司用于跟踪可持续发展相关行动效果的目标，可参考国际组织及倡议、企业外部要求（如客户）、企业自身战略目标、同业企业目标等设定。</w:t>
            </w:r>
          </w:p>
        </w:tc>
        <w:tc>
          <w:tcPr>
            <w:tcW w:w="3339" w:type="dxa"/>
            <w:vAlign w:val="center"/>
          </w:tcPr>
          <w:p>
            <w:pPr>
              <w:pStyle w:val="58"/>
              <w:rPr>
                <w:rFonts w:hint="eastAsia"/>
              </w:rPr>
            </w:pPr>
            <w:r>
              <w:rPr>
                <w:rFonts w:hint="eastAsia"/>
              </w:rPr>
              <w:t>例如，公司将联合国可持续发展目标（SDGs）融入公司战略，设定相关目标。</w:t>
            </w:r>
          </w:p>
        </w:tc>
      </w:tr>
    </w:tbl>
    <w:p>
      <w:pPr>
        <w:rPr>
          <w:rFonts w:hint="eastAsia"/>
        </w:rPr>
      </w:pPr>
      <w:r>
        <w:rPr>
          <w:rFonts w:hint="eastAsia"/>
        </w:rPr>
        <w:t>如果公司因为尚未设定可持续发展目标而无法披露《指引》所要求披露的相关信息，公司可以对此事实进行披露，说明尚未设定目标的理由，并说明拟设定目标的时间范围，以及是否设定了相关指标以监测和管理公司可持续发展绩效。</w:t>
      </w:r>
    </w:p>
    <w:p>
      <w:pPr>
        <w:pStyle w:val="5"/>
        <w:rPr>
          <w:rFonts w:hint="eastAsia" w:ascii="仿宋_GB2312" w:eastAsia="仿宋_GB2312"/>
          <w:b/>
          <w:bCs/>
          <w:szCs w:val="30"/>
          <w:lang w:bidi="ar"/>
        </w:rPr>
      </w:pPr>
      <w:bookmarkStart w:id="134" w:name="_Toc180165253"/>
      <w:r>
        <w:rPr>
          <w:rFonts w:hint="eastAsia"/>
        </w:rPr>
        <w:t>（二）目标</w:t>
      </w:r>
      <w:bookmarkEnd w:id="134"/>
      <w:r>
        <w:rPr>
          <w:rFonts w:hint="eastAsia"/>
        </w:rPr>
        <w:t>管理</w:t>
      </w:r>
    </w:p>
    <w:p>
      <w:pPr>
        <w:rPr>
          <w:rFonts w:hint="eastAsia"/>
        </w:rPr>
      </w:pPr>
      <w:r>
        <w:rPr>
          <w:rFonts w:hint="eastAsia"/>
        </w:rPr>
        <w:t>公司可以监测并定期审查目标实现进展。若目标已实现，建议公司评估目标实现的原因，结合公司人员及业务发展战略规划，评估是否立即制定新的目标；若目标未按预期进度实现，建议公司分析原因、采取相关措施改善提升，以实现目标。</w:t>
      </w:r>
    </w:p>
    <w:p>
      <w:pPr>
        <w:rPr>
          <w:rFonts w:hint="eastAsia" w:eastAsia="仿宋_GB2312"/>
          <w:kern w:val="0"/>
          <w:szCs w:val="30"/>
        </w:rPr>
      </w:pPr>
      <w:r>
        <w:rPr>
          <w:rFonts w:hint="eastAsia"/>
        </w:rPr>
        <w:t>关于目标的设定和实现进展的披露，公司可参考第七节相关内容。</w:t>
      </w:r>
    </w:p>
    <w:p>
      <w:pPr>
        <w:pStyle w:val="4"/>
        <w:rPr>
          <w:rFonts w:hint="eastAsia"/>
        </w:rPr>
      </w:pPr>
      <w:bookmarkStart w:id="135" w:name="_Toc180164983"/>
      <w:r>
        <w:rPr>
          <w:rFonts w:hint="eastAsia"/>
        </w:rPr>
        <w:t>二、设定和管理指标</w:t>
      </w:r>
      <w:bookmarkEnd w:id="135"/>
    </w:p>
    <w:p>
      <w:pPr>
        <w:pStyle w:val="5"/>
        <w:rPr>
          <w:rFonts w:hint="eastAsia" w:ascii="仿宋_GB2312" w:eastAsia="仿宋_GB2312"/>
          <w:b/>
          <w:bCs/>
          <w:szCs w:val="30"/>
        </w:rPr>
      </w:pPr>
      <w:bookmarkStart w:id="136" w:name="_Toc180165255"/>
      <w:r>
        <w:rPr>
          <w:rFonts w:hint="eastAsia"/>
        </w:rPr>
        <w:t>（一）设定指标</w:t>
      </w:r>
      <w:bookmarkEnd w:id="136"/>
    </w:p>
    <w:p>
      <w:pPr>
        <w:rPr>
          <w:rFonts w:hint="eastAsia"/>
        </w:rPr>
      </w:pPr>
      <w:bookmarkStart w:id="137" w:name="OLE_LINK11"/>
      <w:r>
        <w:rPr>
          <w:rFonts w:hint="eastAsia"/>
        </w:rPr>
        <w:t>公司可以披露根据相关法律法规、《指引》要求以及自身需要设定的可持续发展相关指标。</w:t>
      </w:r>
      <w:bookmarkEnd w:id="137"/>
      <w:bookmarkStart w:id="138" w:name="OLE_LINK13"/>
      <w:r>
        <w:rPr>
          <w:rFonts w:hint="eastAsia"/>
        </w:rPr>
        <w:t>公司可根据所属行业特点披露具有行业差异化的指标。指标来源、说明及参考示例如下表所示。</w:t>
      </w:r>
    </w:p>
    <w:p>
      <w:pPr>
        <w:pStyle w:val="57"/>
      </w:pPr>
      <w:r>
        <w:t>表1.</w:t>
      </w:r>
      <w:r>
        <w:rPr>
          <w:rFonts w:hint="eastAsia"/>
          <w:lang w:val="en-US" w:eastAsia="zh-CN"/>
        </w:rPr>
        <w:t>19</w:t>
      </w:r>
      <w:r>
        <w:t xml:space="preserve"> 指标来源、说明及参考示例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pStyle w:val="58"/>
              <w:jc w:val="center"/>
              <w:rPr>
                <w:rFonts w:hint="eastAsia"/>
              </w:rPr>
            </w:pPr>
            <w:r>
              <w:rPr>
                <w:rFonts w:hint="eastAsia"/>
              </w:rPr>
              <w:t>指标来源</w:t>
            </w:r>
          </w:p>
        </w:tc>
        <w:tc>
          <w:tcPr>
            <w:tcW w:w="2835" w:type="dxa"/>
          </w:tcPr>
          <w:p>
            <w:pPr>
              <w:pStyle w:val="58"/>
              <w:jc w:val="center"/>
              <w:rPr>
                <w:rFonts w:hint="eastAsia"/>
              </w:rPr>
            </w:pPr>
            <w:r>
              <w:rPr>
                <w:rFonts w:hint="eastAsia"/>
              </w:rPr>
              <w:t>说明</w:t>
            </w:r>
          </w:p>
        </w:tc>
        <w:tc>
          <w:tcPr>
            <w:tcW w:w="3481"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pStyle w:val="58"/>
              <w:rPr>
                <w:rFonts w:hint="eastAsia"/>
              </w:rPr>
            </w:pPr>
            <w:r>
              <w:rPr>
                <w:rFonts w:hint="eastAsia"/>
              </w:rPr>
              <w:t>法律法规、国家标准等要求披露的指标</w:t>
            </w:r>
          </w:p>
        </w:tc>
        <w:tc>
          <w:tcPr>
            <w:tcW w:w="2835" w:type="dxa"/>
          </w:tcPr>
          <w:p>
            <w:pPr>
              <w:pStyle w:val="58"/>
              <w:rPr>
                <w:rFonts w:hint="eastAsia"/>
              </w:rPr>
            </w:pPr>
            <w:r>
              <w:rPr>
                <w:rFonts w:hint="eastAsia"/>
              </w:rPr>
              <w:t>在一些可持续发展议题方面，公司</w:t>
            </w:r>
            <w:r>
              <w:rPr>
                <w:rFonts w:hint="eastAsia"/>
                <w:lang w:eastAsia="zh-CN"/>
              </w:rPr>
              <w:t>根据</w:t>
            </w:r>
            <w:r>
              <w:rPr>
                <w:rFonts w:hint="eastAsia"/>
              </w:rPr>
              <w:t>法律法规、国家标准等要求而需要披露的指标，这类指标通常具有议题特征或行业特征。</w:t>
            </w:r>
          </w:p>
        </w:tc>
        <w:tc>
          <w:tcPr>
            <w:tcW w:w="3481" w:type="dxa"/>
          </w:tcPr>
          <w:p>
            <w:pPr>
              <w:pStyle w:val="58"/>
              <w:rPr>
                <w:rFonts w:hint="eastAsia"/>
              </w:rPr>
            </w:pPr>
            <w:r>
              <w:rPr>
                <w:rFonts w:hint="eastAsia"/>
              </w:rPr>
              <w:t>例如，根据生态环境部《企业环境信息依法披露管理办法》，“下列企业应当按照本办法的规定披露环境信息：（一）重点排污单位；（二）实施强制性清洁生产审核的企业；（三）符合本办法第八条规定的上市公司及合并报表范围内的各级子公司；（四）符合本办法第八条规定的发行企业债券、公司债券、非金融企业债务融资工具的企业；（五）法律法规规定的其他应当披露环境信息的企业。”</w:t>
            </w:r>
          </w:p>
          <w:p>
            <w:pPr>
              <w:pStyle w:val="58"/>
              <w:rPr>
                <w:rFonts w:hint="eastAsia"/>
              </w:rPr>
            </w:pPr>
            <w:r>
              <w:rPr>
                <w:rFonts w:hint="eastAsia"/>
              </w:rPr>
              <w:t>因此，公司可结合</w:t>
            </w:r>
            <w:r>
              <w:rPr>
                <w:rFonts w:hint="eastAsia"/>
                <w:lang w:eastAsia="zh-CN"/>
              </w:rPr>
              <w:t>相关要求</w:t>
            </w:r>
            <w:r>
              <w:rPr>
                <w:rFonts w:hint="eastAsia"/>
              </w:rPr>
              <w:t>设立污染物的种类、名称、排放总量、核定排放总量、超标排放情况、环保绩效等级情况等指标。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pStyle w:val="58"/>
              <w:rPr>
                <w:rFonts w:hint="eastAsia"/>
              </w:rPr>
            </w:pPr>
            <w:r>
              <w:rPr>
                <w:rFonts w:hint="eastAsia"/>
              </w:rPr>
              <w:t>《指引》要求披露的指标</w:t>
            </w:r>
          </w:p>
        </w:tc>
        <w:tc>
          <w:tcPr>
            <w:tcW w:w="2835" w:type="dxa"/>
          </w:tcPr>
          <w:p>
            <w:pPr>
              <w:pStyle w:val="58"/>
              <w:rPr>
                <w:rFonts w:hint="eastAsia"/>
              </w:rPr>
            </w:pPr>
            <w:r>
              <w:rPr>
                <w:rFonts w:hint="eastAsia"/>
              </w:rPr>
              <w:t>《指引》要求披露的指标包括：温室气体排放指标、污染物排放指标、有害及无害废弃物指标、能源消耗指标、水资源使用指标、乡村振兴投入指标、应收账款相关指标、员工相关指标等。《指引》要求披露的指标详见各议题指南。</w:t>
            </w:r>
          </w:p>
        </w:tc>
        <w:tc>
          <w:tcPr>
            <w:tcW w:w="3481" w:type="dxa"/>
          </w:tcPr>
          <w:p>
            <w:pPr>
              <w:pStyle w:val="58"/>
              <w:rPr>
                <w:rFonts w:hint="eastAsia"/>
              </w:rPr>
            </w:pPr>
            <w:r>
              <w:rPr>
                <w:rFonts w:hint="eastAsia"/>
              </w:rPr>
              <w:t>例如，披露主体报告期末应付账款（含应付票据）余额超过</w:t>
            </w:r>
            <w:r>
              <w:t>300</w:t>
            </w:r>
            <w:r>
              <w:rPr>
                <w:rFonts w:hint="eastAsia"/>
              </w:rPr>
              <w:t>亿元或占总资产的比重超过</w:t>
            </w:r>
            <w:r>
              <w:t>50%</w:t>
            </w:r>
            <w:r>
              <w:rPr>
                <w:rFonts w:hint="eastAsia"/>
              </w:rPr>
              <w:t>的，应当披露报告期末逾期未支付款项的金额，以及拟采取的解决方案。公司可以设立逾期未支付款项、应付账款占总资产的比重等指标。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pStyle w:val="58"/>
              <w:rPr>
                <w:rFonts w:hint="eastAsia"/>
              </w:rPr>
            </w:pPr>
            <w:r>
              <w:rPr>
                <w:rFonts w:hint="eastAsia"/>
              </w:rPr>
              <w:t>公司自身需要设定的指标</w:t>
            </w:r>
          </w:p>
        </w:tc>
        <w:tc>
          <w:tcPr>
            <w:tcW w:w="2835" w:type="dxa"/>
          </w:tcPr>
          <w:p>
            <w:pPr>
              <w:pStyle w:val="58"/>
              <w:rPr>
                <w:rFonts w:hint="eastAsia"/>
              </w:rPr>
            </w:pPr>
            <w:r>
              <w:rPr>
                <w:rFonts w:hint="eastAsia"/>
              </w:rPr>
              <w:t>公司用于计量和监控其可持续发展相关影响、风险和机遇的指标，以及衡量可持续发展相关影响、风险和机遇管理业绩和效果的指标，包括与特定业务模式、活动或者其他表明企业具有某一行业的共同特征相关的指标。</w:t>
            </w:r>
          </w:p>
        </w:tc>
        <w:tc>
          <w:tcPr>
            <w:tcW w:w="3481" w:type="dxa"/>
          </w:tcPr>
          <w:p>
            <w:pPr>
              <w:pStyle w:val="58"/>
              <w:rPr>
                <w:rFonts w:hint="eastAsia"/>
              </w:rPr>
            </w:pPr>
            <w:r>
              <w:rPr>
                <w:rFonts w:hint="eastAsia"/>
              </w:rPr>
              <w:t>例如，汽车行业企业所关注和设定</w:t>
            </w:r>
            <w:r>
              <w:rPr>
                <w:rFonts w:hint="eastAsia"/>
                <w:lang w:eastAsia="zh-CN"/>
              </w:rPr>
              <w:t>的</w:t>
            </w:r>
            <w:r>
              <w:rPr>
                <w:rFonts w:hint="eastAsia"/>
              </w:rPr>
              <w:t>具有行业特征</w:t>
            </w:r>
            <w:r>
              <w:rPr>
                <w:rFonts w:hint="eastAsia"/>
                <w:lang w:eastAsia="zh-CN"/>
              </w:rPr>
              <w:t>的</w:t>
            </w:r>
            <w:r>
              <w:rPr>
                <w:rFonts w:hint="eastAsia"/>
              </w:rPr>
              <w:t>指标，如自身或供应链企业通过</w:t>
            </w:r>
            <w:r>
              <w:t>IATF 16949</w:t>
            </w:r>
            <w:r>
              <w:rPr>
                <w:rFonts w:hint="eastAsia"/>
              </w:rPr>
              <w:t>汽车行业质量管理体系认证的百分比等。</w:t>
            </w:r>
          </w:p>
        </w:tc>
      </w:tr>
    </w:tbl>
    <w:p>
      <w:pPr>
        <w:rPr>
          <w:rFonts w:hint="eastAsia"/>
        </w:rPr>
      </w:pPr>
      <w:r>
        <w:rPr>
          <w:rFonts w:hint="eastAsia"/>
        </w:rPr>
        <w:t>关于指标的设定和披露，公司可参考第七节相关内容。</w:t>
      </w:r>
    </w:p>
    <w:bookmarkEnd w:id="138"/>
    <w:p>
      <w:pPr>
        <w:pStyle w:val="5"/>
        <w:rPr>
          <w:rFonts w:hint="eastAsia"/>
        </w:rPr>
      </w:pPr>
      <w:bookmarkStart w:id="139" w:name="_Toc180165256"/>
      <w:r>
        <w:rPr>
          <w:rFonts w:hint="eastAsia"/>
        </w:rPr>
        <w:t>（二）管理指标</w:t>
      </w:r>
      <w:bookmarkEnd w:id="139"/>
    </w:p>
    <w:p>
      <w:pPr>
        <w:rPr>
          <w:rFonts w:hint="eastAsia"/>
        </w:rPr>
      </w:pPr>
      <w:r>
        <w:rPr>
          <w:rFonts w:hint="eastAsia"/>
        </w:rPr>
        <w:t>公司可以在内部建立ESG指标管理体系，对ESG指标开展体系化、标准化管理，明确管理架构及职责、指标填报单位以及指标填报流程、审核流程及频率等内容，形成内部标准操作文件《ESG指标管理手册》，内容参考如下。</w:t>
      </w:r>
    </w:p>
    <w:p>
      <w:pPr>
        <w:pStyle w:val="57"/>
      </w:pPr>
      <w:r>
        <w:t>表1.2</w:t>
      </w:r>
      <w:r>
        <w:rPr>
          <w:rFonts w:hint="eastAsia"/>
          <w:lang w:val="en-US" w:eastAsia="zh-CN"/>
        </w:rPr>
        <w:t>0</w:t>
      </w:r>
      <w:r>
        <w:t xml:space="preserve"> 《ESG指标管理手册》大纲参考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8"/>
              <w:rPr>
                <w:rFonts w:hint="eastAsia"/>
              </w:rPr>
            </w:pPr>
            <w:r>
              <w:rPr>
                <w:rFonts w:hint="eastAsia"/>
              </w:rPr>
              <w:t>一、《</w:t>
            </w:r>
            <w:r>
              <w:t>ESG</w:t>
            </w:r>
            <w:r>
              <w:rPr>
                <w:rFonts w:hint="eastAsia"/>
              </w:rPr>
              <w:t>指标管理手册》说明</w:t>
            </w:r>
          </w:p>
          <w:p>
            <w:pPr>
              <w:pStyle w:val="58"/>
              <w:rPr>
                <w:rFonts w:hint="eastAsia"/>
              </w:rPr>
            </w:pPr>
            <w:r>
              <w:rPr>
                <w:rFonts w:hint="eastAsia"/>
              </w:rPr>
              <w:t>背景</w:t>
            </w:r>
          </w:p>
          <w:p>
            <w:pPr>
              <w:pStyle w:val="58"/>
              <w:rPr>
                <w:rFonts w:hint="eastAsia"/>
              </w:rPr>
            </w:pPr>
            <w:r>
              <w:rPr>
                <w:rFonts w:hint="eastAsia"/>
              </w:rPr>
              <w:t>依据</w:t>
            </w:r>
          </w:p>
          <w:p>
            <w:pPr>
              <w:pStyle w:val="58"/>
              <w:rPr>
                <w:rFonts w:hint="eastAsia"/>
              </w:rPr>
            </w:pPr>
            <w:r>
              <w:rPr>
                <w:rFonts w:hint="eastAsia"/>
              </w:rPr>
              <w:t>修订主要内容（如适用）</w:t>
            </w:r>
          </w:p>
          <w:p>
            <w:pPr>
              <w:pStyle w:val="58"/>
              <w:rPr>
                <w:rFonts w:hint="eastAsia"/>
              </w:rPr>
            </w:pPr>
            <w:r>
              <w:rPr>
                <w:rFonts w:hint="eastAsia"/>
              </w:rPr>
              <w:t>二、</w:t>
            </w:r>
            <w:r>
              <w:t>ESG</w:t>
            </w:r>
            <w:r>
              <w:rPr>
                <w:rFonts w:hint="eastAsia"/>
              </w:rPr>
              <w:t>指标管理体系</w:t>
            </w:r>
          </w:p>
          <w:p>
            <w:pPr>
              <w:pStyle w:val="58"/>
              <w:rPr>
                <w:rFonts w:hint="eastAsia"/>
              </w:rPr>
            </w:pPr>
            <w:r>
              <w:rPr>
                <w:rFonts w:hint="eastAsia"/>
              </w:rPr>
              <w:t>管理架构及职责</w:t>
            </w:r>
          </w:p>
          <w:p>
            <w:pPr>
              <w:pStyle w:val="58"/>
              <w:rPr>
                <w:rFonts w:hint="eastAsia"/>
              </w:rPr>
            </w:pPr>
            <w:r>
              <w:rPr>
                <w:rFonts w:hint="eastAsia"/>
              </w:rPr>
              <w:t>指标填报单位</w:t>
            </w:r>
          </w:p>
          <w:p>
            <w:pPr>
              <w:pStyle w:val="58"/>
              <w:rPr>
                <w:rFonts w:hint="eastAsia"/>
              </w:rPr>
            </w:pPr>
            <w:r>
              <w:rPr>
                <w:rFonts w:hint="eastAsia"/>
              </w:rPr>
              <w:t>指标填报流程、审核流程及频率</w:t>
            </w:r>
          </w:p>
          <w:p>
            <w:pPr>
              <w:pStyle w:val="58"/>
              <w:rPr>
                <w:rFonts w:hint="eastAsia"/>
              </w:rPr>
            </w:pPr>
            <w:r>
              <w:rPr>
                <w:rFonts w:hint="eastAsia"/>
              </w:rPr>
              <w:t>各填报单位指标索引</w:t>
            </w:r>
          </w:p>
          <w:p>
            <w:pPr>
              <w:pStyle w:val="58"/>
              <w:rPr>
                <w:rFonts w:hint="eastAsia"/>
              </w:rPr>
            </w:pPr>
            <w:r>
              <w:rPr>
                <w:rFonts w:hint="eastAsia"/>
              </w:rPr>
              <w:t>《手册》审查与修订</w:t>
            </w:r>
          </w:p>
          <w:p>
            <w:pPr>
              <w:pStyle w:val="58"/>
              <w:rPr>
                <w:rFonts w:hint="eastAsia"/>
              </w:rPr>
            </w:pPr>
            <w:r>
              <w:rPr>
                <w:rFonts w:hint="eastAsia"/>
              </w:rPr>
              <w:t>三、</w:t>
            </w:r>
            <w:r>
              <w:t>ESG</w:t>
            </w:r>
            <w:r>
              <w:rPr>
                <w:rFonts w:hint="eastAsia"/>
              </w:rPr>
              <w:t>指标详解</w:t>
            </w:r>
          </w:p>
          <w:p>
            <w:pPr>
              <w:pStyle w:val="58"/>
              <w:rPr>
                <w:rFonts w:hint="eastAsia"/>
              </w:rPr>
            </w:pPr>
            <w:r>
              <w:rPr>
                <w:rFonts w:hint="eastAsia"/>
              </w:rPr>
              <w:t>（一）环境维度</w:t>
            </w:r>
          </w:p>
          <w:p>
            <w:pPr>
              <w:pStyle w:val="58"/>
              <w:rPr>
                <w:rFonts w:hint="eastAsia"/>
              </w:rPr>
            </w:pPr>
            <w:r>
              <w:rPr>
                <w:rFonts w:hint="eastAsia"/>
              </w:rPr>
              <w:t>环境合规管理、能源利用、水资源利用、污染物排放、废弃物处理、应对气候变化、循环经济、生态系统和生物多样性保护议题的指标详解</w:t>
            </w:r>
          </w:p>
          <w:p>
            <w:pPr>
              <w:pStyle w:val="58"/>
              <w:rPr>
                <w:rFonts w:hint="eastAsia"/>
              </w:rPr>
            </w:pPr>
            <w:r>
              <w:rPr>
                <w:rFonts w:hint="eastAsia"/>
              </w:rPr>
              <w:t>（二）社会维度</w:t>
            </w:r>
          </w:p>
          <w:p>
            <w:pPr>
              <w:pStyle w:val="58"/>
              <w:rPr>
                <w:rFonts w:hint="eastAsia"/>
              </w:rPr>
            </w:pPr>
            <w:r>
              <w:rPr>
                <w:rFonts w:hint="eastAsia"/>
              </w:rPr>
              <w:t>员工、产品和服务安全与质量、数据安全与客户隐私保护、创新驱动、科技伦理、供应链安全、平等对待中小企业、乡村振兴、社会贡献议题的指标详解</w:t>
            </w:r>
          </w:p>
          <w:p>
            <w:pPr>
              <w:pStyle w:val="58"/>
              <w:rPr>
                <w:rFonts w:hint="eastAsia"/>
              </w:rPr>
            </w:pPr>
            <w:r>
              <w:rPr>
                <w:rFonts w:hint="eastAsia"/>
              </w:rPr>
              <w:t>（三）可持续发展相关治理维度</w:t>
            </w:r>
          </w:p>
          <w:p>
            <w:pPr>
              <w:pStyle w:val="58"/>
              <w:rPr>
                <w:rFonts w:hint="eastAsia"/>
              </w:rPr>
            </w:pPr>
            <w:r>
              <w:rPr>
                <w:rFonts w:hint="eastAsia"/>
              </w:rPr>
              <w:t>尽职调查、利益相关方沟通、反商业贿赂及反贪污、反不正当竞争议题的指标详解</w:t>
            </w:r>
          </w:p>
          <w:p>
            <w:pPr>
              <w:pStyle w:val="58"/>
              <w:rPr>
                <w:rFonts w:hint="eastAsia"/>
              </w:rPr>
            </w:pPr>
            <w:r>
              <w:rPr>
                <w:rFonts w:hint="eastAsia"/>
              </w:rPr>
              <w:t>附录一、</w:t>
            </w:r>
            <w:r>
              <w:t>ESG</w:t>
            </w:r>
            <w:r>
              <w:rPr>
                <w:rFonts w:hint="eastAsia"/>
              </w:rPr>
              <w:t>指标体系对标索引表</w:t>
            </w:r>
          </w:p>
          <w:p>
            <w:pPr>
              <w:pStyle w:val="58"/>
              <w:rPr>
                <w:rFonts w:hint="eastAsia"/>
              </w:rPr>
            </w:pPr>
            <w:r>
              <w:t>ESG</w:t>
            </w:r>
            <w:r>
              <w:rPr>
                <w:rFonts w:hint="eastAsia"/>
              </w:rPr>
              <w:t>指标体系对标《可持续发展报告指引》的索引表</w:t>
            </w:r>
          </w:p>
        </w:tc>
      </w:tr>
      <w:bookmarkEnd w:id="128"/>
      <w:bookmarkEnd w:id="129"/>
      <w:bookmarkEnd w:id="130"/>
      <w:bookmarkEnd w:id="131"/>
    </w:tbl>
    <w:p>
      <w:pPr>
        <w:widowControl/>
        <w:ind w:firstLine="602"/>
        <w:jc w:val="left"/>
        <w:rPr>
          <w:rFonts w:hint="eastAsia" w:eastAsia="黑体"/>
          <w:b/>
          <w:bCs/>
          <w:sz w:val="30"/>
          <w:szCs w:val="30"/>
        </w:rPr>
      </w:pPr>
    </w:p>
    <w:bookmarkEnd w:id="5"/>
    <w:p>
      <w:pPr>
        <w:widowControl/>
        <w:adjustRightInd/>
        <w:snapToGrid/>
        <w:ind w:firstLine="0" w:firstLineChars="0"/>
        <w:jc w:val="center"/>
        <w:outlineLvl w:val="1"/>
        <w:rPr>
          <w:rStyle w:val="28"/>
          <w:rFonts w:hint="eastAsia"/>
        </w:rPr>
      </w:pPr>
      <w:bookmarkStart w:id="140" w:name="_Toc180164984"/>
      <w:r>
        <w:rPr>
          <w:rFonts w:hint="eastAsia" w:ascii="黑体" w:hAnsi="黑体" w:eastAsia="黑体"/>
          <w:b/>
          <w:bCs/>
          <w:sz w:val="30"/>
          <w:szCs w:val="30"/>
        </w:rPr>
        <w:br w:type="page"/>
      </w:r>
      <w:bookmarkStart w:id="141" w:name="_Toc18334"/>
      <w:r>
        <w:rPr>
          <w:rStyle w:val="28"/>
          <w:rFonts w:hint="eastAsia"/>
        </w:rPr>
        <w:t>第七节</w:t>
      </w:r>
      <w:r>
        <w:rPr>
          <w:rStyle w:val="28"/>
        </w:rPr>
        <w:t xml:space="preserve"> </w:t>
      </w:r>
      <w:bookmarkEnd w:id="140"/>
      <w:r>
        <w:rPr>
          <w:rStyle w:val="28"/>
          <w:rFonts w:hint="eastAsia"/>
        </w:rPr>
        <w:t>报告披露</w:t>
      </w:r>
      <w:bookmarkEnd w:id="141"/>
    </w:p>
    <w:p>
      <w:pPr>
        <w:rPr>
          <w:rFonts w:hint="eastAsia"/>
        </w:rPr>
      </w:pPr>
      <w:bookmarkStart w:id="142" w:name="_Toc15055"/>
      <w:bookmarkStart w:id="143" w:name="_Toc9247"/>
      <w:bookmarkStart w:id="144" w:name="_Toc4012"/>
      <w:r>
        <w:rPr>
          <w:rFonts w:hint="eastAsia"/>
        </w:rPr>
        <w:t>在可持续发展报告/ESG报告框架的搭建过程中，公司可根据自身特征、可持续发展理念、利益相关方关切重点等设计报告框架。</w:t>
      </w:r>
    </w:p>
    <w:p>
      <w:pPr>
        <w:rPr>
          <w:rFonts w:hint="eastAsia"/>
        </w:rPr>
      </w:pPr>
      <w:r>
        <w:rPr>
          <w:rFonts w:hint="eastAsia"/>
        </w:rPr>
        <w:t>报告应以《指引》为依据，</w:t>
      </w:r>
      <w:r>
        <w:rPr>
          <w:rFonts w:hint="eastAsia"/>
          <w:lang w:eastAsia="zh-CN"/>
        </w:rPr>
        <w:t>报告内容应</w:t>
      </w:r>
      <w:r>
        <w:rPr>
          <w:rFonts w:hint="eastAsia"/>
        </w:rPr>
        <w:t>符合《指引》要求。</w:t>
      </w:r>
      <w:r>
        <w:rPr>
          <w:rFonts w:hint="eastAsia"/>
          <w:lang w:eastAsia="zh-CN"/>
        </w:rPr>
        <w:t>报告框架建议</w:t>
      </w:r>
      <w:r>
        <w:rPr>
          <w:rFonts w:hint="eastAsia"/>
        </w:rPr>
        <w:t>以重要性议题构成</w:t>
      </w:r>
      <w:r>
        <w:rPr>
          <w:rFonts w:hint="eastAsia"/>
          <w:lang w:eastAsia="zh-CN"/>
        </w:rPr>
        <w:t>主体</w:t>
      </w:r>
      <w:r>
        <w:rPr>
          <w:rFonts w:hint="eastAsia"/>
        </w:rPr>
        <w:t>章节。对于具有财务重要性的议题</w:t>
      </w:r>
      <w:r>
        <w:rPr>
          <w:rFonts w:hint="eastAsia"/>
          <w:lang w:eastAsia="zh-CN"/>
        </w:rPr>
        <w:t>，</w:t>
      </w:r>
      <w:r>
        <w:rPr>
          <w:rFonts w:hint="eastAsia"/>
        </w:rPr>
        <w:t>按照“治理”</w:t>
      </w:r>
      <w:r>
        <w:rPr>
          <w:rFonts w:hint="eastAsia"/>
          <w:lang w:eastAsia="zh-CN"/>
        </w:rPr>
        <w:t>、</w:t>
      </w:r>
      <w:r>
        <w:rPr>
          <w:rFonts w:hint="eastAsia"/>
        </w:rPr>
        <w:t>“战略”</w:t>
      </w:r>
      <w:r>
        <w:rPr>
          <w:rFonts w:hint="eastAsia"/>
          <w:lang w:eastAsia="zh-CN"/>
        </w:rPr>
        <w:t>、</w:t>
      </w:r>
      <w:r>
        <w:rPr>
          <w:rFonts w:hint="eastAsia"/>
        </w:rPr>
        <w:t>“影响、风险和机遇管理”</w:t>
      </w:r>
      <w:r>
        <w:rPr>
          <w:rFonts w:hint="eastAsia"/>
          <w:lang w:eastAsia="zh-CN"/>
        </w:rPr>
        <w:t>、</w:t>
      </w:r>
      <w:r>
        <w:rPr>
          <w:rFonts w:hint="eastAsia"/>
        </w:rPr>
        <w:t>“指标与目标”的四要素框架进行披露。</w:t>
      </w:r>
      <w:bookmarkEnd w:id="142"/>
      <w:bookmarkEnd w:id="143"/>
      <w:bookmarkEnd w:id="144"/>
      <w:r>
        <w:rPr>
          <w:rFonts w:hint="eastAsia"/>
        </w:rPr>
        <w:t>已经建立整体性治理结构和内部制度的，可根据《指引》规定对相关内容进行整合披露。</w:t>
      </w:r>
    </w:p>
    <w:p>
      <w:pPr>
        <w:pStyle w:val="57"/>
      </w:pPr>
      <w:r>
        <w:t>表1.2</w:t>
      </w:r>
      <w:r>
        <w:rPr>
          <w:rFonts w:hint="eastAsia"/>
          <w:lang w:val="en-US" w:eastAsia="zh-CN"/>
        </w:rPr>
        <w:t>1</w:t>
      </w:r>
      <w:r>
        <w:t xml:space="preserve"> 《可持续发展报告》框架参考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一、报告编制说明</w:t>
            </w:r>
          </w:p>
          <w:p>
            <w:pPr>
              <w:pStyle w:val="58"/>
              <w:rPr>
                <w:rFonts w:hint="eastAsia"/>
              </w:rPr>
            </w:pPr>
            <w:r>
              <w:rPr>
                <w:rFonts w:hint="eastAsia"/>
              </w:rPr>
              <w:t>二、公司基本信息</w:t>
            </w:r>
          </w:p>
          <w:p>
            <w:pPr>
              <w:pStyle w:val="58"/>
              <w:rPr>
                <w:rFonts w:hint="eastAsia"/>
              </w:rPr>
            </w:pPr>
            <w:r>
              <w:rPr>
                <w:rFonts w:hint="eastAsia"/>
              </w:rPr>
              <w:t>三、议题重要性评估</w:t>
            </w:r>
          </w:p>
          <w:p>
            <w:pPr>
              <w:pStyle w:val="58"/>
              <w:rPr>
                <w:rFonts w:hint="eastAsia"/>
              </w:rPr>
            </w:pPr>
            <w:r>
              <w:rPr>
                <w:rFonts w:hint="eastAsia"/>
              </w:rPr>
              <w:t>（一）双重重要性分析</w:t>
            </w:r>
          </w:p>
          <w:p>
            <w:pPr>
              <w:pStyle w:val="58"/>
              <w:rPr>
                <w:rFonts w:hint="eastAsia"/>
              </w:rPr>
            </w:pPr>
            <w:r>
              <w:rPr>
                <w:rFonts w:hint="eastAsia"/>
              </w:rPr>
              <w:t>（二）尽职调查、利益相关方沟通</w:t>
            </w:r>
          </w:p>
          <w:p>
            <w:pPr>
              <w:pStyle w:val="58"/>
              <w:rPr>
                <w:rFonts w:hint="eastAsia"/>
              </w:rPr>
            </w:pPr>
            <w:r>
              <w:rPr>
                <w:rFonts w:hint="eastAsia"/>
              </w:rPr>
              <w:t>（三）议题重要性分析结论</w:t>
            </w:r>
          </w:p>
          <w:p>
            <w:pPr>
              <w:pStyle w:val="58"/>
              <w:rPr>
                <w:rFonts w:hint="eastAsia"/>
              </w:rPr>
            </w:pPr>
            <w:r>
              <w:rPr>
                <w:rFonts w:hint="eastAsia"/>
              </w:rPr>
              <w:t>四、公司</w:t>
            </w:r>
            <w:r>
              <w:t>ESG</w:t>
            </w:r>
            <w:r>
              <w:rPr>
                <w:rFonts w:hint="eastAsia"/>
              </w:rPr>
              <w:t>治理安排</w:t>
            </w:r>
          </w:p>
          <w:p>
            <w:pPr>
              <w:pStyle w:val="58"/>
              <w:rPr>
                <w:rFonts w:hint="eastAsia"/>
              </w:rPr>
            </w:pPr>
            <w:r>
              <w:rPr>
                <w:rFonts w:hint="eastAsia"/>
              </w:rPr>
              <w:t>公司可持续发展治理架构、可持续发展相关信息报告、监督与考核机制</w:t>
            </w:r>
          </w:p>
          <w:p>
            <w:pPr>
              <w:pStyle w:val="58"/>
              <w:rPr>
                <w:rFonts w:hint="eastAsia"/>
              </w:rPr>
            </w:pPr>
            <w:r>
              <w:rPr>
                <w:rFonts w:hint="eastAsia"/>
              </w:rPr>
              <w:t>五、环境维度议题</w:t>
            </w:r>
          </w:p>
          <w:p>
            <w:pPr>
              <w:pStyle w:val="58"/>
              <w:rPr>
                <w:rFonts w:hint="eastAsia"/>
              </w:rPr>
            </w:pPr>
            <w:r>
              <w:rPr>
                <w:rFonts w:hint="eastAsia"/>
              </w:rPr>
              <w:t>应对气候变化、污染物排放、废弃物处理、生态系统和生物多样性保护、环境合规管理、能源利用、水资源利用、循环经济等议题的治理，战略，影响、风险和机遇管理，指标与目标等内容的披露</w:t>
            </w:r>
          </w:p>
          <w:p>
            <w:pPr>
              <w:pStyle w:val="58"/>
              <w:rPr>
                <w:rFonts w:hint="eastAsia"/>
              </w:rPr>
            </w:pPr>
            <w:r>
              <w:rPr>
                <w:rFonts w:hint="eastAsia"/>
              </w:rPr>
              <w:t>六、社会维度议题</w:t>
            </w:r>
          </w:p>
          <w:p>
            <w:pPr>
              <w:pStyle w:val="58"/>
              <w:rPr>
                <w:rFonts w:hint="eastAsia"/>
              </w:rPr>
            </w:pPr>
            <w:r>
              <w:rPr>
                <w:rFonts w:hint="eastAsia"/>
              </w:rPr>
              <w:t>员工、产品和服务安全与质量、数据安全与客户隐私保护、创新驱动、科技伦理、供应链安全、平等对待中小企业、乡村振兴、社会贡献议题的治理，战略，影响、风险和机遇管理，指标与目标等内容的披露。</w:t>
            </w:r>
          </w:p>
          <w:p>
            <w:pPr>
              <w:pStyle w:val="58"/>
              <w:rPr>
                <w:rFonts w:hint="eastAsia"/>
              </w:rPr>
            </w:pPr>
            <w:r>
              <w:rPr>
                <w:rFonts w:hint="eastAsia"/>
              </w:rPr>
              <w:t>七、可持续发展相关治理维度议题</w:t>
            </w:r>
          </w:p>
          <w:p>
            <w:pPr>
              <w:pStyle w:val="58"/>
              <w:rPr>
                <w:rFonts w:hint="eastAsia"/>
              </w:rPr>
            </w:pPr>
            <w:r>
              <w:rPr>
                <w:rFonts w:hint="eastAsia"/>
              </w:rPr>
              <w:t>反商业贿赂及反贪污、反不正当竞争议题的治理，战略，影响、风险和机遇管理，指标与目标等内容的披露。</w:t>
            </w:r>
          </w:p>
          <w:p>
            <w:pPr>
              <w:pStyle w:val="58"/>
              <w:rPr>
                <w:rFonts w:hint="eastAsia"/>
              </w:rPr>
            </w:pPr>
            <w:r>
              <w:rPr>
                <w:rFonts w:hint="eastAsia"/>
              </w:rPr>
              <w:t>八、ESG数据表和附注</w:t>
            </w:r>
          </w:p>
          <w:p>
            <w:pPr>
              <w:pStyle w:val="58"/>
              <w:rPr>
                <w:rFonts w:hint="eastAsia"/>
              </w:rPr>
            </w:pPr>
            <w:r>
              <w:rPr>
                <w:rFonts w:hint="eastAsia"/>
              </w:rPr>
              <w:t>九、对标索引表</w:t>
            </w:r>
          </w:p>
          <w:p>
            <w:pPr>
              <w:pStyle w:val="58"/>
              <w:rPr>
                <w:rFonts w:hint="eastAsia"/>
              </w:rPr>
            </w:pPr>
            <w:r>
              <w:rPr>
                <w:rFonts w:hint="eastAsia"/>
              </w:rPr>
              <w:t>十、第三方鉴证/审验报告（可选）</w:t>
            </w:r>
          </w:p>
        </w:tc>
      </w:tr>
    </w:tbl>
    <w:p>
      <w:pPr>
        <w:rPr>
          <w:rFonts w:hint="eastAsia"/>
        </w:rPr>
      </w:pPr>
      <w:r>
        <w:rPr>
          <w:rFonts w:hint="eastAsia"/>
        </w:rPr>
        <w:t>该报告框架下，环境、社会、可持续发展相关治理维度的重要性议题应进行逐一拆解披露，</w:t>
      </w:r>
      <w:r>
        <w:rPr>
          <w:rFonts w:hint="eastAsia"/>
          <w:lang w:eastAsia="zh-CN"/>
        </w:rPr>
        <w:t>参考示例</w:t>
      </w:r>
      <w:r>
        <w:rPr>
          <w:rFonts w:hint="eastAsia"/>
        </w:rPr>
        <w:t>如下：</w:t>
      </w:r>
    </w:p>
    <w:p>
      <w:pPr>
        <w:pStyle w:val="57"/>
      </w:pPr>
      <w:r>
        <w:rPr>
          <w:rFonts w:hint="eastAsia"/>
        </w:rPr>
        <w:t>表</w:t>
      </w:r>
      <w:r>
        <w:rPr>
          <w:rFonts w:hint="eastAsia"/>
          <w:lang w:val="en-US" w:eastAsia="zh-CN"/>
        </w:rPr>
        <w:t>1.</w:t>
      </w:r>
      <w:r>
        <w:t>2</w:t>
      </w:r>
      <w:r>
        <w:rPr>
          <w:rFonts w:hint="eastAsia"/>
        </w:rPr>
        <w:t>2：具体议题的披露框架参考示例（以“能源利用”议题为例）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条目</w:t>
            </w:r>
          </w:p>
        </w:tc>
        <w:tc>
          <w:tcPr>
            <w:tcW w:w="4134" w:type="pct"/>
            <w:vAlign w:val="center"/>
          </w:tcPr>
          <w:p>
            <w:pPr>
              <w:pStyle w:val="58"/>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议题概要</w:t>
            </w:r>
          </w:p>
        </w:tc>
        <w:tc>
          <w:tcPr>
            <w:tcW w:w="4134" w:type="pct"/>
            <w:vAlign w:val="center"/>
          </w:tcPr>
          <w:p>
            <w:pPr>
              <w:pStyle w:val="58"/>
            </w:pPr>
            <w:r>
              <w:rPr>
                <w:rFonts w:hint="eastAsia"/>
              </w:rPr>
              <w:t>公司涉及能源利用的主要运营环节及能源类别</w:t>
            </w:r>
          </w:p>
          <w:p>
            <w:pPr>
              <w:pStyle w:val="58"/>
            </w:pPr>
            <w:r>
              <w:rPr>
                <w:rFonts w:hint="eastAsia"/>
              </w:rPr>
              <w:t>公司在能源利用方面遵守的法律法规及规章制度</w:t>
            </w:r>
          </w:p>
          <w:p>
            <w:pPr>
              <w:pStyle w:val="5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治理</w:t>
            </w:r>
          </w:p>
        </w:tc>
        <w:tc>
          <w:tcPr>
            <w:tcW w:w="4134" w:type="pct"/>
            <w:vAlign w:val="center"/>
          </w:tcPr>
          <w:p>
            <w:pPr>
              <w:pStyle w:val="58"/>
            </w:pPr>
            <w:r>
              <w:rPr>
                <w:rFonts w:hint="eastAsia"/>
              </w:rPr>
              <w:t>公司在能源利用方面的治理架构</w:t>
            </w:r>
          </w:p>
          <w:p>
            <w:pPr>
              <w:pStyle w:val="58"/>
            </w:pPr>
            <w:r>
              <w:rPr>
                <w:rFonts w:hint="eastAsia"/>
              </w:rPr>
              <w:t>公司在能源利用方面的信息报告、监督机制</w:t>
            </w:r>
          </w:p>
          <w:p>
            <w:pPr>
              <w:pStyle w:val="58"/>
            </w:pPr>
            <w:r>
              <w:t>……</w:t>
            </w:r>
          </w:p>
          <w:p>
            <w:pPr>
              <w:pStyle w:val="58"/>
            </w:pPr>
            <w:r>
              <w:rPr>
                <w:rFonts w:hint="eastAsia"/>
              </w:rPr>
              <w:t>具体详见“第三</w:t>
            </w:r>
            <w:r>
              <w:rPr>
                <w:rFonts w:hint="eastAsia"/>
                <w:lang w:eastAsia="zh-CN"/>
              </w:rPr>
              <w:t>节</w:t>
            </w:r>
            <w:r>
              <w:t xml:space="preserve"> </w:t>
            </w:r>
            <w:r>
              <w:rPr>
                <w:rFonts w:hint="eastAsia"/>
              </w:rPr>
              <w:t>治理”，可与其他议题整合披露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战略</w:t>
            </w:r>
          </w:p>
        </w:tc>
        <w:tc>
          <w:tcPr>
            <w:tcW w:w="4134" w:type="pct"/>
            <w:vAlign w:val="center"/>
          </w:tcPr>
          <w:p>
            <w:pPr>
              <w:pStyle w:val="58"/>
            </w:pPr>
            <w:r>
              <w:rPr>
                <w:rFonts w:hint="eastAsia"/>
              </w:rPr>
              <w:t>识别能源利用相关的风险和机遇对公司的影响</w:t>
            </w:r>
          </w:p>
          <w:p>
            <w:pPr>
              <w:pStyle w:val="58"/>
            </w:pPr>
            <w:r>
              <w:rPr>
                <w:rFonts w:hint="eastAsia"/>
              </w:rPr>
              <w:t>公司制定应对能源利用相关的“影响、风险和机遇”的策略、方法和规划</w:t>
            </w:r>
          </w:p>
          <w:p>
            <w:pPr>
              <w:pStyle w:val="58"/>
            </w:pPr>
            <w:r>
              <w:rPr>
                <w:rFonts w:hint="eastAsia"/>
              </w:rPr>
              <w:t>公司评估能源利用相关的当期和预期财务影响</w:t>
            </w:r>
          </w:p>
          <w:p>
            <w:pPr>
              <w:pStyle w:val="58"/>
            </w:pPr>
            <w:r>
              <w:rPr>
                <w:rFonts w:hint="eastAsia"/>
              </w:rPr>
              <w:t>公司评估战略和业务模式对能源利用相关风险的适应性</w:t>
            </w:r>
          </w:p>
          <w:p>
            <w:pPr>
              <w:pStyle w:val="58"/>
            </w:pPr>
            <w:r>
              <w:t>……</w:t>
            </w:r>
          </w:p>
          <w:p>
            <w:pPr>
              <w:pStyle w:val="58"/>
            </w:pPr>
            <w:r>
              <w:rPr>
                <w:rFonts w:hint="eastAsia"/>
              </w:rPr>
              <w:t>具体详见“第四</w:t>
            </w:r>
            <w:r>
              <w:rPr>
                <w:rFonts w:hint="eastAsia"/>
                <w:lang w:eastAsia="zh-CN"/>
              </w:rPr>
              <w:t>节</w:t>
            </w:r>
            <w:r>
              <w:t xml:space="preserve"> </w:t>
            </w:r>
            <w:r>
              <w:rPr>
                <w:rFonts w:hint="eastAsia"/>
              </w:rPr>
              <w:t>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影响、风险和机遇管理</w:t>
            </w:r>
          </w:p>
        </w:tc>
        <w:tc>
          <w:tcPr>
            <w:tcW w:w="4134" w:type="pct"/>
            <w:vAlign w:val="center"/>
          </w:tcPr>
          <w:p>
            <w:pPr>
              <w:pStyle w:val="58"/>
            </w:pPr>
            <w:r>
              <w:rPr>
                <w:rFonts w:hint="eastAsia"/>
              </w:rPr>
              <w:t>公司识别、评估能源利用相关的“影响、风险和机遇”的流程</w:t>
            </w:r>
          </w:p>
          <w:p>
            <w:pPr>
              <w:pStyle w:val="58"/>
            </w:pPr>
            <w:r>
              <w:rPr>
                <w:rFonts w:hint="eastAsia"/>
              </w:rPr>
              <w:t>公司监测与管理能源利用相关的影响、风险和机遇</w:t>
            </w:r>
          </w:p>
          <w:p>
            <w:pPr>
              <w:pStyle w:val="58"/>
            </w:pPr>
            <w:r>
              <w:t>……</w:t>
            </w:r>
          </w:p>
          <w:p>
            <w:pPr>
              <w:pStyle w:val="58"/>
            </w:pPr>
            <w:r>
              <w:rPr>
                <w:rFonts w:hint="eastAsia"/>
              </w:rPr>
              <w:t>具体详见“第五</w:t>
            </w:r>
            <w:r>
              <w:rPr>
                <w:rFonts w:hint="eastAsia"/>
                <w:lang w:eastAsia="zh-CN"/>
              </w:rPr>
              <w:t>节</w:t>
            </w:r>
            <w:r>
              <w:t xml:space="preserve"> </w:t>
            </w:r>
            <w:r>
              <w:rPr>
                <w:rFonts w:hint="eastAsia"/>
              </w:rPr>
              <w:t>影响、风险和机遇管理”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指标与目标</w:t>
            </w:r>
          </w:p>
        </w:tc>
        <w:tc>
          <w:tcPr>
            <w:tcW w:w="4134" w:type="pct"/>
            <w:vAlign w:val="center"/>
          </w:tcPr>
          <w:p>
            <w:pPr>
              <w:pStyle w:val="58"/>
            </w:pPr>
            <w:r>
              <w:rPr>
                <w:rFonts w:hint="eastAsia"/>
              </w:rPr>
              <w:t>公司根据相关法律法规、《指引》要求以及自身需要设定的能源利用相关的目标及相关指标</w:t>
            </w:r>
          </w:p>
          <w:p>
            <w:pPr>
              <w:pStyle w:val="58"/>
            </w:pPr>
            <w:r>
              <w:rPr>
                <w:rFonts w:hint="eastAsia"/>
              </w:rPr>
              <w:t>报告期末相关目标整体实现情况、报告期内的进展情况</w:t>
            </w:r>
          </w:p>
          <w:p>
            <w:pPr>
              <w:pStyle w:val="58"/>
            </w:pPr>
            <w:r>
              <w:t>……</w:t>
            </w:r>
          </w:p>
          <w:p>
            <w:pPr>
              <w:pStyle w:val="58"/>
            </w:pPr>
            <w:r>
              <w:rPr>
                <w:rFonts w:hint="eastAsia"/>
              </w:rPr>
              <w:t>具体详见“第六</w:t>
            </w:r>
            <w:r>
              <w:rPr>
                <w:rFonts w:hint="eastAsia"/>
                <w:lang w:eastAsia="zh-CN"/>
              </w:rPr>
              <w:t>节</w:t>
            </w:r>
            <w:r>
              <w:t xml:space="preserve"> </w:t>
            </w:r>
            <w:r>
              <w:rPr>
                <w:rFonts w:hint="eastAsia"/>
              </w:rPr>
              <w:t>指标与目标”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其他《指引》要求的议题披露项</w:t>
            </w:r>
          </w:p>
        </w:tc>
        <w:tc>
          <w:tcPr>
            <w:tcW w:w="4134" w:type="pct"/>
            <w:vAlign w:val="center"/>
          </w:tcPr>
          <w:p>
            <w:pPr>
              <w:pStyle w:val="58"/>
            </w:pPr>
            <w:r>
              <w:rPr>
                <w:rFonts w:hint="eastAsia"/>
              </w:rPr>
              <w:t>能源使用的基本情况，如按类型划分的直接及间接能源（如煤、电、气或油）总能耗量（以吨标准煤计算）、结构及总能耗强度（如以每产量单位计算）等</w:t>
            </w:r>
          </w:p>
          <w:p>
            <w:pPr>
              <w:pStyle w:val="58"/>
            </w:pPr>
            <w:r>
              <w:rPr>
                <w:rFonts w:hint="eastAsia"/>
              </w:rPr>
              <w:t>清洁能源使用情况，如风能、太阳能、水能、地热能、生物质资源、海洋能、天然气等清洁能源的种类、总量、比例等</w:t>
            </w:r>
          </w:p>
          <w:p>
            <w:pPr>
              <w:pStyle w:val="58"/>
            </w:pPr>
            <w:r>
              <w:rPr>
                <w:rFonts w:hint="eastAsia"/>
              </w:rPr>
              <w:t>能源节约目标以及具体措施，如采购节能生产设备、节能照明设备、节能温控设备，采用余热余压利用、能源梯级利用等措施</w:t>
            </w:r>
          </w:p>
          <w:p>
            <w:pPr>
              <w:pStyle w:val="58"/>
            </w:pPr>
            <w:r>
              <w:t>……</w:t>
            </w:r>
          </w:p>
          <w:p>
            <w:pPr>
              <w:pStyle w:val="58"/>
            </w:pPr>
            <w:r>
              <w:rPr>
                <w:rFonts w:hint="eastAsia"/>
              </w:rPr>
              <w:t>可与“影响、风险和机遇管理”“指标与目标”部分合并撰写</w:t>
            </w:r>
          </w:p>
        </w:tc>
      </w:tr>
    </w:tbl>
    <w:p>
      <w:pPr>
        <w:pStyle w:val="57"/>
      </w:pPr>
      <w:r>
        <w:t>表1.2</w:t>
      </w:r>
      <w:r>
        <w:rPr>
          <w:rFonts w:hint="eastAsia"/>
          <w:lang w:val="en-US" w:eastAsia="zh-CN"/>
        </w:rPr>
        <w:t>3</w:t>
      </w:r>
      <w:r>
        <w:t xml:space="preserve"> 战略披露框架参考</w:t>
      </w:r>
    </w:p>
    <w:tbl>
      <w:tblPr>
        <w:tblStyle w:val="22"/>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一、“可持续发展相关风险和机遇”对公司影响</w:t>
            </w:r>
          </w:p>
          <w:p>
            <w:pPr>
              <w:pStyle w:val="58"/>
              <w:rPr>
                <w:rFonts w:hint="eastAsia"/>
              </w:rPr>
            </w:pPr>
            <w:r>
              <w:rPr>
                <w:rFonts w:hint="eastAsia"/>
              </w:rPr>
              <w:t>1、公司识别出的可持续发展相关风险和机遇，以及相关风险和机遇对公司造成重大影响的时间范围。可讨论与分析公司所属行业情况及特点。</w:t>
            </w:r>
          </w:p>
          <w:p>
            <w:pPr>
              <w:pStyle w:val="58"/>
              <w:rPr>
                <w:rFonts w:hint="eastAsia"/>
              </w:rPr>
            </w:pPr>
            <w:r>
              <w:rPr>
                <w:rFonts w:hint="eastAsia"/>
              </w:rPr>
              <w:t>2、公司对短期、中期和长期的定义，以及相关定义与公司的发展战略规划和资源分配计划的匹配情况。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二、公司应对“影响、风险和机遇”的策略、方法和规划</w:t>
            </w:r>
          </w:p>
          <w:p>
            <w:pPr>
              <w:pStyle w:val="58"/>
              <w:rPr>
                <w:rFonts w:hint="eastAsia"/>
              </w:rPr>
            </w:pPr>
            <w:r>
              <w:rPr>
                <w:rFonts w:hint="eastAsia"/>
              </w:rPr>
              <w:t>1、公司在战略制定和重大决策过程中为应对可持续发展相关影响、风险和机遇所采用的方法。</w:t>
            </w:r>
          </w:p>
          <w:p>
            <w:pPr>
              <w:pStyle w:val="58"/>
              <w:rPr>
                <w:rFonts w:hint="eastAsia" w:eastAsia="仿宋"/>
                <w:lang w:eastAsia="zh-CN"/>
              </w:rPr>
            </w:pPr>
            <w:r>
              <w:rPr>
                <w:rFonts w:hint="eastAsia"/>
              </w:rPr>
              <w:t>2、公司为实现相关战略目标而制定的计划以及衡量计划进展的定性、定量信息（即公司的可持续发展/ESG战略）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三、评估当期和预期财务影响</w:t>
            </w:r>
          </w:p>
          <w:p>
            <w:pPr>
              <w:pStyle w:val="58"/>
              <w:rPr>
                <w:rFonts w:hint="eastAsia"/>
              </w:rPr>
            </w:pPr>
            <w:r>
              <w:rPr>
                <w:rFonts w:hint="eastAsia"/>
              </w:rPr>
              <w:t>1、可持续发展相关风险和机遇如何影响公司当期财务状况、经营成果、现金流，以及是否会对公司下一年度财务状况、经营成果、现金流产生重大影响。</w:t>
            </w:r>
          </w:p>
          <w:p>
            <w:pPr>
              <w:pStyle w:val="58"/>
              <w:rPr>
                <w:rFonts w:hint="eastAsia"/>
              </w:rPr>
            </w:pPr>
            <w:r>
              <w:rPr>
                <w:rFonts w:hint="eastAsia"/>
              </w:rPr>
              <w:t>2、公司基于相关战略，分析预计公司财务状况、经营成果、现金流的短期、中期和长期的变化趋势。（鼓励）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四、公司评估战略和业务模式对可持续相关风险的适应性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五、其他披露事项</w:t>
            </w:r>
          </w:p>
        </w:tc>
      </w:tr>
    </w:tbl>
    <w:p>
      <w:pPr>
        <w:pStyle w:val="57"/>
      </w:pPr>
      <w:r>
        <w:t>表1.2</w:t>
      </w:r>
      <w:r>
        <w:rPr>
          <w:rFonts w:hint="eastAsia"/>
          <w:lang w:val="en-US" w:eastAsia="zh-CN"/>
        </w:rPr>
        <w:t>4</w:t>
      </w:r>
      <w:r>
        <w:t xml:space="preserve"> 设定目标的披露框架参考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拟实现的目标水平，包括该目标是绝对值、相对值还是定性目标，采用何种计量单位等；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目标覆盖的范围，包括覆盖公司自身运营、上游和下游价值链中的哪些范围；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目标适用的时间范围，包括该目标是阶段性目标还是</w:t>
            </w:r>
            <w:r>
              <w:rPr>
                <w:rFonts w:hint="eastAsia"/>
                <w:lang w:eastAsia="zh-CN"/>
              </w:rPr>
              <w:t>短</w:t>
            </w:r>
            <w:r>
              <w:rPr>
                <w:rFonts w:hint="eastAsia"/>
              </w:rPr>
              <w:t>中长期目标；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计量目标实现进展的基准值和基准年；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设定目标的方法、关键假设、方法的局限性以及使用的输入值或者参数等；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目标实现进展以及未来趋势或者变化分析；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目标的修订及原因（如适用）。</w:t>
            </w:r>
          </w:p>
        </w:tc>
      </w:tr>
    </w:tbl>
    <w:p>
      <w:pPr>
        <w:pStyle w:val="57"/>
      </w:pPr>
      <w:r>
        <w:t>表1.2</w:t>
      </w:r>
      <w:r>
        <w:rPr>
          <w:rFonts w:hint="eastAsia"/>
          <w:lang w:val="en-US" w:eastAsia="zh-CN"/>
        </w:rPr>
        <w:t>5</w:t>
      </w:r>
      <w:r>
        <w:t xml:space="preserve"> 目标进展的披露框架参考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3"/>
        <w:gridCol w:w="1383"/>
        <w:gridCol w:w="1382"/>
        <w:gridCol w:w="112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vAlign w:val="center"/>
          </w:tcPr>
          <w:p>
            <w:pPr>
              <w:pStyle w:val="58"/>
              <w:jc w:val="center"/>
              <w:rPr>
                <w:rFonts w:hint="eastAsia"/>
              </w:rPr>
            </w:pPr>
            <w:r>
              <w:rPr>
                <w:rFonts w:hint="eastAsia"/>
              </w:rPr>
              <w:t>议题</w:t>
            </w:r>
          </w:p>
        </w:tc>
        <w:tc>
          <w:tcPr>
            <w:tcW w:w="1383" w:type="dxa"/>
            <w:vAlign w:val="center"/>
          </w:tcPr>
          <w:p>
            <w:pPr>
              <w:pStyle w:val="58"/>
              <w:jc w:val="center"/>
              <w:rPr>
                <w:rFonts w:hint="eastAsia"/>
              </w:rPr>
            </w:pPr>
            <w:r>
              <w:rPr>
                <w:rFonts w:hint="eastAsia"/>
              </w:rPr>
              <w:t>指标</w:t>
            </w:r>
          </w:p>
        </w:tc>
        <w:tc>
          <w:tcPr>
            <w:tcW w:w="1383" w:type="dxa"/>
            <w:vAlign w:val="center"/>
          </w:tcPr>
          <w:p>
            <w:pPr>
              <w:pStyle w:val="58"/>
              <w:jc w:val="center"/>
              <w:rPr>
                <w:rFonts w:hint="eastAsia"/>
              </w:rPr>
            </w:pPr>
            <w:r>
              <w:rPr>
                <w:rFonts w:hint="eastAsia"/>
              </w:rPr>
              <w:t>短期目标</w:t>
            </w:r>
          </w:p>
        </w:tc>
        <w:tc>
          <w:tcPr>
            <w:tcW w:w="1382" w:type="dxa"/>
            <w:vAlign w:val="center"/>
          </w:tcPr>
          <w:p>
            <w:pPr>
              <w:pStyle w:val="58"/>
              <w:jc w:val="center"/>
              <w:rPr>
                <w:rFonts w:hint="eastAsia"/>
              </w:rPr>
            </w:pPr>
            <w:r>
              <w:rPr>
                <w:rFonts w:hint="eastAsia"/>
              </w:rPr>
              <w:t>中长期目标</w:t>
            </w:r>
          </w:p>
        </w:tc>
        <w:tc>
          <w:tcPr>
            <w:tcW w:w="1128" w:type="dxa"/>
            <w:vAlign w:val="center"/>
          </w:tcPr>
          <w:p>
            <w:pPr>
              <w:pStyle w:val="58"/>
              <w:jc w:val="center"/>
              <w:rPr>
                <w:rFonts w:hint="eastAsia"/>
              </w:rPr>
            </w:pPr>
            <w:r>
              <w:rPr>
                <w:rFonts w:hint="eastAsia"/>
              </w:rPr>
              <w:t>报告期内进展</w:t>
            </w:r>
          </w:p>
        </w:tc>
        <w:tc>
          <w:tcPr>
            <w:tcW w:w="1638" w:type="dxa"/>
            <w:vAlign w:val="center"/>
          </w:tcPr>
          <w:p>
            <w:pPr>
              <w:pStyle w:val="58"/>
              <w:jc w:val="center"/>
              <w:rPr>
                <w:rFonts w:hint="eastAsia"/>
              </w:rPr>
            </w:pPr>
            <w:r>
              <w:rPr>
                <w:rFonts w:hint="eastAsia"/>
              </w:rPr>
              <w:t>目标实现进度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pStyle w:val="58"/>
              <w:rPr>
                <w:rFonts w:hint="eastAsia"/>
              </w:rPr>
            </w:pPr>
            <w:r>
              <w:rPr>
                <w:rFonts w:hint="eastAsia"/>
              </w:rPr>
              <w:t>创新驱动</w:t>
            </w:r>
          </w:p>
        </w:tc>
        <w:tc>
          <w:tcPr>
            <w:tcW w:w="1383" w:type="dxa"/>
            <w:vAlign w:val="center"/>
          </w:tcPr>
          <w:p>
            <w:pPr>
              <w:pStyle w:val="58"/>
              <w:rPr>
                <w:rFonts w:hint="eastAsia"/>
              </w:rPr>
            </w:pPr>
            <w:r>
              <w:rPr>
                <w:rFonts w:hint="eastAsia"/>
                <w:lang w:eastAsia="zh-CN"/>
              </w:rPr>
              <w:t>碳减排相关</w:t>
            </w:r>
            <w:r>
              <w:rPr>
                <w:rFonts w:hint="eastAsia"/>
              </w:rPr>
              <w:t>的研发投入金额占主营业务收入比例</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到2030年，达到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短期目标进行中；</w:t>
            </w:r>
          </w:p>
          <w:p>
            <w:pPr>
              <w:pStyle w:val="58"/>
              <w:rPr>
                <w:rFonts w:hint="eastAsia"/>
              </w:rPr>
            </w:pPr>
            <w:r>
              <w:rPr>
                <w:rFonts w:hint="eastAsia"/>
              </w:rPr>
              <w:t>较上年增长</w:t>
            </w:r>
            <w:r>
              <w:rPr>
                <w:rFonts w:hint="eastAsia"/>
                <w:lang w:val="en-US" w:eastAsia="zh-CN"/>
              </w:rPr>
              <w:t>XX</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pStyle w:val="58"/>
              <w:rPr>
                <w:rFonts w:hint="eastAsia"/>
              </w:rPr>
            </w:pPr>
          </w:p>
        </w:tc>
        <w:tc>
          <w:tcPr>
            <w:tcW w:w="1383" w:type="dxa"/>
            <w:vAlign w:val="center"/>
          </w:tcPr>
          <w:p>
            <w:pPr>
              <w:pStyle w:val="58"/>
              <w:rPr>
                <w:rFonts w:hint="eastAsia"/>
              </w:rPr>
            </w:pPr>
            <w:r>
              <w:rPr>
                <w:rFonts w:hint="eastAsia"/>
              </w:rPr>
              <w:t>研发人员占比</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到2028年，达到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短期目标已实现</w:t>
            </w:r>
          </w:p>
        </w:tc>
      </w:tr>
    </w:tbl>
    <w:p>
      <w:pPr>
        <w:pStyle w:val="57"/>
      </w:pPr>
      <w:r>
        <w:t>表1.2</w:t>
      </w:r>
      <w:r>
        <w:rPr>
          <w:rFonts w:hint="eastAsia"/>
          <w:lang w:val="en-US" w:eastAsia="zh-CN"/>
        </w:rPr>
        <w:t>6</w:t>
      </w:r>
      <w:r>
        <w:t xml:space="preserve"> 指标的披露框架参考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tcPr>
          <w:p>
            <w:pPr>
              <w:pStyle w:val="58"/>
              <w:rPr>
                <w:rFonts w:hint="eastAsia"/>
              </w:rPr>
            </w:pPr>
            <w:r>
              <w:rPr>
                <w:rFonts w:hint="eastAsia"/>
              </w:rPr>
              <w:t>指标定义；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tcPr>
          <w:p>
            <w:pPr>
              <w:pStyle w:val="58"/>
              <w:rPr>
                <w:rFonts w:hint="eastAsia"/>
              </w:rPr>
            </w:pPr>
            <w:r>
              <w:rPr>
                <w:rFonts w:hint="eastAsia"/>
              </w:rPr>
              <w:t>指标类型，包括该指标是绝对值、相对值还是定性指标，采用何种计量单位等；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指标计算方法及结果是否以及如何经独立第三方验证；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指标的修订及原因（如适用）。</w:t>
            </w:r>
          </w:p>
        </w:tc>
      </w:tr>
    </w:tbl>
    <w:p>
      <w:pPr>
        <w:rPr>
          <w:rFonts w:hint="eastAsia"/>
        </w:rPr>
      </w:pPr>
      <w:bookmarkStart w:id="145" w:name="OLE_LINK1"/>
      <w:r>
        <w:rPr>
          <w:rFonts w:hint="eastAsia"/>
        </w:rPr>
        <w:t>每个披露项根据其定性或定量分类，应包含内容要点（对定性披露项），或定义、计算公式、参数、依据（对定量披露项）。</w:t>
      </w:r>
    </w:p>
    <w:p>
      <w:pPr>
        <w:pStyle w:val="57"/>
      </w:pPr>
      <w:r>
        <w:t>表1.2</w:t>
      </w:r>
      <w:r>
        <w:rPr>
          <w:rFonts w:hint="eastAsia"/>
          <w:lang w:val="en-US" w:eastAsia="zh-CN"/>
        </w:rPr>
        <w:t>7</w:t>
      </w:r>
      <w:r>
        <w:t xml:space="preserve"> 定性披露项披露要点参考示例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jc w:val="center"/>
              <w:rPr>
                <w:rFonts w:hint="eastAsia"/>
              </w:rPr>
            </w:pPr>
            <w:r>
              <w:rPr>
                <w:rFonts w:hint="eastAsia"/>
              </w:rPr>
              <w:t>定性披露项</w:t>
            </w:r>
          </w:p>
        </w:tc>
        <w:tc>
          <w:tcPr>
            <w:tcW w:w="2664" w:type="pct"/>
            <w:vAlign w:val="center"/>
          </w:tcPr>
          <w:p>
            <w:pPr>
              <w:pStyle w:val="58"/>
              <w:jc w:val="center"/>
              <w:rPr>
                <w:rFonts w:hint="eastAsia"/>
              </w:rPr>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公司涉及能源利用的主要运营环节及能源类别</w:t>
            </w:r>
          </w:p>
        </w:tc>
        <w:tc>
          <w:tcPr>
            <w:tcW w:w="2664" w:type="pct"/>
            <w:vAlign w:val="center"/>
          </w:tcPr>
          <w:p>
            <w:pPr>
              <w:pStyle w:val="58"/>
              <w:rPr>
                <w:rFonts w:hint="eastAsia"/>
              </w:rPr>
            </w:pPr>
            <w:r>
              <w:rPr>
                <w:rFonts w:hint="eastAsia"/>
              </w:rPr>
              <w:t>能源利用涉及的运营环节包括但不限于生产、办公环节等，需说明各环节涉及的能源类型，包括煤炭、石油、电力等传统能源，以及天然气、风能、太阳能、水能等清洁能源。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公司在能源利用方面的治理结构和内部制度</w:t>
            </w:r>
          </w:p>
        </w:tc>
        <w:tc>
          <w:tcPr>
            <w:tcW w:w="2664" w:type="pct"/>
            <w:vAlign w:val="center"/>
          </w:tcPr>
          <w:p>
            <w:pPr>
              <w:pStyle w:val="58"/>
              <w:rPr>
                <w:rFonts w:hint="eastAsia"/>
              </w:rPr>
            </w:pPr>
            <w:r>
              <w:rPr>
                <w:rFonts w:hint="eastAsia"/>
              </w:rPr>
              <w:t>治理架构包括但不限于公司能源管理体系建设情况、人员构成及专业能力、职权范围、信息报告机制，以及监督程序、监督措施及考核情况等。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公司在能源利用方面的规划（策略和方法）</w:t>
            </w:r>
          </w:p>
        </w:tc>
        <w:tc>
          <w:tcPr>
            <w:tcW w:w="2664" w:type="pct"/>
            <w:vAlign w:val="center"/>
          </w:tcPr>
          <w:p>
            <w:pPr>
              <w:pStyle w:val="58"/>
              <w:rPr>
                <w:rFonts w:hint="eastAsia"/>
              </w:rPr>
            </w:pPr>
            <w:r>
              <w:rPr>
                <w:rFonts w:hint="eastAsia"/>
              </w:rPr>
              <w:t>公司识别出的能源利用相关影响、风险及机遇，包括类别、影响的时间范围、影响的程度等，以及公司为应对能源利用相关影响、风险和机遇，制定的战略规划、管理策略，或做出的商业模式调整等。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公司在能源利用方面的管理流程和措施</w:t>
            </w:r>
          </w:p>
        </w:tc>
        <w:tc>
          <w:tcPr>
            <w:tcW w:w="2664" w:type="pct"/>
            <w:vAlign w:val="center"/>
          </w:tcPr>
          <w:p>
            <w:pPr>
              <w:pStyle w:val="58"/>
              <w:rPr>
                <w:rFonts w:hint="eastAsia"/>
              </w:rPr>
            </w:pPr>
            <w:r>
              <w:rPr>
                <w:rFonts w:hint="eastAsia"/>
              </w:rPr>
              <w:t>管理流程包括公司对能源利用相关影响、风险和机遇，进行识别、评估、排序、监测和管理的流程；管理措施包括但不限于采购节能生产设备、节能照明设备、节能温控设备，采用余热余压利用、能源梯级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t>……</w:t>
            </w:r>
          </w:p>
        </w:tc>
        <w:tc>
          <w:tcPr>
            <w:tcW w:w="2664" w:type="pct"/>
            <w:vAlign w:val="center"/>
          </w:tcPr>
          <w:p>
            <w:pPr>
              <w:pStyle w:val="58"/>
              <w:rPr>
                <w:rFonts w:hint="eastAsia"/>
              </w:rPr>
            </w:pPr>
            <w:r>
              <w:t>……</w:t>
            </w:r>
          </w:p>
        </w:tc>
      </w:tr>
    </w:tbl>
    <w:p>
      <w:pPr>
        <w:pStyle w:val="57"/>
      </w:pPr>
      <w:r>
        <w:t>表1.2</w:t>
      </w:r>
      <w:r>
        <w:rPr>
          <w:rFonts w:hint="eastAsia"/>
          <w:lang w:val="en-US" w:eastAsia="zh-CN"/>
        </w:rPr>
        <w:t>8</w:t>
      </w:r>
      <w:r>
        <w:t xml:space="preserve"> 定量披露项披露要点参考示例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55"/>
        <w:gridCol w:w="1851"/>
        <w:gridCol w:w="1892"/>
        <w:gridCol w:w="145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72" w:type="pct"/>
            <w:shd w:val="clear" w:color="auto" w:fill="auto"/>
            <w:vAlign w:val="center"/>
          </w:tcPr>
          <w:p>
            <w:pPr>
              <w:pStyle w:val="58"/>
              <w:jc w:val="center"/>
              <w:rPr>
                <w:rFonts w:hint="eastAsia"/>
              </w:rPr>
            </w:pPr>
            <w:r>
              <w:rPr>
                <w:rFonts w:hint="eastAsia"/>
              </w:rPr>
              <w:t>定量披露项</w:t>
            </w:r>
          </w:p>
        </w:tc>
        <w:tc>
          <w:tcPr>
            <w:tcW w:w="443" w:type="pct"/>
            <w:shd w:val="clear" w:color="auto" w:fill="auto"/>
            <w:vAlign w:val="center"/>
          </w:tcPr>
          <w:p>
            <w:pPr>
              <w:pStyle w:val="58"/>
              <w:jc w:val="center"/>
              <w:rPr>
                <w:rFonts w:hint="eastAsia"/>
              </w:rPr>
            </w:pPr>
            <w:r>
              <w:rPr>
                <w:rFonts w:hint="eastAsia"/>
              </w:rPr>
              <w:t>单位</w:t>
            </w:r>
          </w:p>
        </w:tc>
        <w:tc>
          <w:tcPr>
            <w:tcW w:w="1086" w:type="pct"/>
            <w:shd w:val="clear" w:color="auto" w:fill="auto"/>
            <w:vAlign w:val="center"/>
          </w:tcPr>
          <w:p>
            <w:pPr>
              <w:pStyle w:val="58"/>
              <w:jc w:val="center"/>
              <w:rPr>
                <w:rFonts w:hint="eastAsia"/>
              </w:rPr>
            </w:pPr>
            <w:r>
              <w:rPr>
                <w:rFonts w:hint="eastAsia"/>
              </w:rPr>
              <w:t>定义</w:t>
            </w:r>
          </w:p>
        </w:tc>
        <w:tc>
          <w:tcPr>
            <w:tcW w:w="1110" w:type="pct"/>
            <w:shd w:val="clear" w:color="auto" w:fill="auto"/>
            <w:vAlign w:val="center"/>
          </w:tcPr>
          <w:p>
            <w:pPr>
              <w:pStyle w:val="58"/>
              <w:jc w:val="center"/>
              <w:rPr>
                <w:rFonts w:hint="eastAsia"/>
              </w:rPr>
            </w:pPr>
            <w:r>
              <w:rPr>
                <w:rFonts w:hint="eastAsia"/>
              </w:rPr>
              <w:t>计算公式</w:t>
            </w:r>
          </w:p>
        </w:tc>
        <w:tc>
          <w:tcPr>
            <w:tcW w:w="855" w:type="pct"/>
            <w:shd w:val="clear" w:color="auto" w:fill="auto"/>
            <w:vAlign w:val="center"/>
          </w:tcPr>
          <w:p>
            <w:pPr>
              <w:pStyle w:val="58"/>
              <w:jc w:val="center"/>
              <w:rPr>
                <w:rFonts w:hint="eastAsia"/>
              </w:rPr>
            </w:pPr>
            <w:r>
              <w:rPr>
                <w:rFonts w:hint="eastAsia"/>
              </w:rPr>
              <w:t>参数</w:t>
            </w:r>
          </w:p>
        </w:tc>
        <w:tc>
          <w:tcPr>
            <w:tcW w:w="732" w:type="pct"/>
            <w:shd w:val="clear" w:color="auto" w:fill="auto"/>
            <w:vAlign w:val="center"/>
          </w:tcPr>
          <w:p>
            <w:pPr>
              <w:pStyle w:val="58"/>
              <w:jc w:val="center"/>
              <w:rPr>
                <w:rFonts w:hint="eastAsia"/>
              </w:rPr>
            </w:pPr>
            <w:r>
              <w:rPr>
                <w:rFonts w:hint="eastAsia"/>
              </w:rPr>
              <w:t>参数来源/依据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shd w:val="clear" w:color="auto" w:fill="auto"/>
            <w:vAlign w:val="center"/>
          </w:tcPr>
          <w:p>
            <w:pPr>
              <w:pStyle w:val="58"/>
              <w:rPr>
                <w:rFonts w:hint="eastAsia"/>
              </w:rPr>
            </w:pPr>
            <w:bookmarkStart w:id="146" w:name="OLE_LINK2"/>
            <w:r>
              <w:rPr>
                <w:rFonts w:hint="eastAsia"/>
              </w:rPr>
              <w:t>综合能源消耗量</w:t>
            </w:r>
            <w:bookmarkEnd w:id="146"/>
          </w:p>
        </w:tc>
        <w:tc>
          <w:tcPr>
            <w:tcW w:w="443" w:type="pct"/>
            <w:shd w:val="clear" w:color="auto" w:fill="auto"/>
            <w:vAlign w:val="center"/>
          </w:tcPr>
          <w:p>
            <w:pPr>
              <w:pStyle w:val="58"/>
              <w:rPr>
                <w:rFonts w:hint="eastAsia"/>
              </w:rPr>
            </w:pPr>
            <w:r>
              <w:rPr>
                <w:rFonts w:hint="eastAsia"/>
              </w:rPr>
              <w:t>吨标煤</w:t>
            </w:r>
          </w:p>
        </w:tc>
        <w:tc>
          <w:tcPr>
            <w:tcW w:w="1086" w:type="pct"/>
            <w:shd w:val="clear" w:color="auto" w:fill="auto"/>
            <w:vAlign w:val="center"/>
          </w:tcPr>
          <w:p>
            <w:pPr>
              <w:pStyle w:val="58"/>
              <w:rPr>
                <w:rFonts w:hint="eastAsia"/>
              </w:rPr>
            </w:pPr>
            <w:r>
              <w:rPr>
                <w:rFonts w:hint="eastAsia"/>
              </w:rPr>
              <w:t>报告期内企业消耗各类能源的吨标准煤折算总量。</w:t>
            </w:r>
          </w:p>
        </w:tc>
        <w:tc>
          <w:tcPr>
            <w:tcW w:w="1110" w:type="pct"/>
            <w:shd w:val="clear" w:color="auto" w:fill="auto"/>
            <w:vAlign w:val="center"/>
          </w:tcPr>
          <w:p>
            <w:pPr>
              <w:pStyle w:val="58"/>
              <w:rPr>
                <w:rFonts w:hint="eastAsia"/>
              </w:rPr>
            </w:pPr>
            <w:r>
              <w:rPr>
                <w:rFonts w:hint="eastAsia"/>
              </w:rPr>
              <w:t>原煤用量*折标准煤系数+天然气用量*折标准煤系数+汽油用量*折标准煤系数+柴油用量*折标准煤系数+电力用量*折标准煤系数+</w:t>
            </w:r>
            <w:r>
              <w:rPr>
                <w:rFonts w:hint="eastAsia"/>
                <w:lang w:eastAsia="zh-CN"/>
              </w:rPr>
              <w:t>热力（如</w:t>
            </w:r>
            <w:r>
              <w:rPr>
                <w:rFonts w:hint="eastAsia"/>
              </w:rPr>
              <w:t>蒸汽</w:t>
            </w:r>
            <w:r>
              <w:rPr>
                <w:rFonts w:hint="eastAsia"/>
                <w:lang w:eastAsia="zh-CN"/>
              </w:rPr>
              <w:t>）</w:t>
            </w:r>
            <w:r>
              <w:rPr>
                <w:rFonts w:hint="eastAsia"/>
              </w:rPr>
              <w:t>用量*折标准煤系数</w:t>
            </w:r>
            <w:r>
              <w:rPr>
                <w:rFonts w:hint="eastAsia"/>
                <w:lang w:val="en-US" w:eastAsia="zh-CN"/>
              </w:rPr>
              <w:t>+</w:t>
            </w:r>
            <w:r>
              <w:rPr>
                <w:rFonts w:hint="eastAsia"/>
              </w:rPr>
              <w:t>其他类型能源用量（折算为标准煤）</w:t>
            </w:r>
          </w:p>
        </w:tc>
        <w:tc>
          <w:tcPr>
            <w:tcW w:w="855" w:type="pct"/>
            <w:shd w:val="clear" w:color="auto" w:fill="auto"/>
            <w:vAlign w:val="center"/>
          </w:tcPr>
          <w:p>
            <w:pPr>
              <w:pStyle w:val="58"/>
              <w:rPr>
                <w:rFonts w:hint="eastAsia"/>
              </w:rPr>
            </w:pPr>
            <w:r>
              <w:rPr>
                <w:rFonts w:hint="eastAsia"/>
              </w:rPr>
              <w:t>各种能源折标准煤系数，例如汽 油1.４７１４ｋｇｃｅ／ｋｇ</w:t>
            </w:r>
          </w:p>
        </w:tc>
        <w:tc>
          <w:tcPr>
            <w:tcW w:w="732" w:type="pct"/>
            <w:shd w:val="clear" w:color="auto" w:fill="auto"/>
            <w:vAlign w:val="center"/>
          </w:tcPr>
          <w:p>
            <w:pPr>
              <w:pStyle w:val="58"/>
              <w:rPr>
                <w:rFonts w:hint="eastAsia"/>
              </w:rPr>
            </w:pPr>
            <w:r>
              <w:rPr>
                <w:rFonts w:hint="eastAsia"/>
              </w:rPr>
              <w:t>《综合能耗计算通则》（GB/T 2589-2020）</w:t>
            </w:r>
            <w:r>
              <w:rPr>
                <w:rFonts w:hint="eastAsia"/>
                <w:lang w:eastAsia="zh-CN"/>
              </w:rPr>
              <w:t>、《中国能源统计年鉴》（2023）</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58"/>
              <w:rPr>
                <w:rFonts w:hint="eastAsia"/>
              </w:rPr>
            </w:pPr>
            <w:r>
              <w:rPr>
                <w:rFonts w:hint="eastAsia"/>
              </w:rPr>
              <w:t>其中：按能源类型分类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原煤用量</w:t>
            </w:r>
          </w:p>
        </w:tc>
        <w:tc>
          <w:tcPr>
            <w:tcW w:w="443" w:type="pct"/>
            <w:vAlign w:val="center"/>
          </w:tcPr>
          <w:p>
            <w:pPr>
              <w:pStyle w:val="58"/>
              <w:rPr>
                <w:rFonts w:hint="eastAsia"/>
              </w:rPr>
            </w:pPr>
            <w:r>
              <w:rPr>
                <w:rFonts w:hint="eastAsia"/>
              </w:rPr>
              <w:t>吨</w:t>
            </w:r>
          </w:p>
        </w:tc>
        <w:tc>
          <w:tcPr>
            <w:tcW w:w="1086" w:type="pct"/>
            <w:vAlign w:val="center"/>
          </w:tcPr>
          <w:p>
            <w:pPr>
              <w:pStyle w:val="58"/>
              <w:rPr>
                <w:rFonts w:hint="eastAsia"/>
              </w:rPr>
            </w:pPr>
            <w:r>
              <w:rPr>
                <w:rFonts w:hint="eastAsia"/>
              </w:rPr>
              <w:t>报告期内企业直接控制或拥有设施的原煤总消耗量。原煤包括无烟煤、烟煤、泥煤、褐煤等。</w:t>
            </w:r>
          </w:p>
        </w:tc>
        <w:tc>
          <w:tcPr>
            <w:tcW w:w="1110" w:type="pct"/>
            <w:vAlign w:val="center"/>
          </w:tcPr>
          <w:p>
            <w:pPr>
              <w:pStyle w:val="58"/>
              <w:rPr>
                <w:rFonts w:hint="eastAsia"/>
              </w:rPr>
            </w:pPr>
            <w:r>
              <w:rPr>
                <w:rFonts w:hint="eastAsia"/>
              </w:rPr>
              <w:t>报告期内的绝对数值</w:t>
            </w:r>
          </w:p>
        </w:tc>
        <w:tc>
          <w:tcPr>
            <w:tcW w:w="855" w:type="pct"/>
            <w:vAlign w:val="center"/>
          </w:tcPr>
          <w:p>
            <w:pPr>
              <w:pStyle w:val="58"/>
              <w:rPr>
                <w:rFonts w:hint="eastAsia"/>
              </w:rPr>
            </w:pPr>
            <w:r>
              <w:rPr>
                <w:rFonts w:hint="eastAsia"/>
              </w:rPr>
              <w:t>——</w:t>
            </w:r>
          </w:p>
        </w:tc>
        <w:tc>
          <w:tcPr>
            <w:tcW w:w="732" w:type="pct"/>
            <w:vAlign w:val="center"/>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天然气用量</w:t>
            </w:r>
          </w:p>
        </w:tc>
        <w:tc>
          <w:tcPr>
            <w:tcW w:w="443" w:type="pct"/>
            <w:vAlign w:val="center"/>
          </w:tcPr>
          <w:p>
            <w:pPr>
              <w:pStyle w:val="58"/>
              <w:rPr>
                <w:rFonts w:hint="eastAsia"/>
              </w:rPr>
            </w:pPr>
            <w:r>
              <w:rPr>
                <w:rFonts w:hint="eastAsia"/>
              </w:rPr>
              <w:t>立方米</w:t>
            </w:r>
          </w:p>
        </w:tc>
        <w:tc>
          <w:tcPr>
            <w:tcW w:w="1086" w:type="pct"/>
            <w:vAlign w:val="center"/>
          </w:tcPr>
          <w:p>
            <w:pPr>
              <w:pStyle w:val="58"/>
              <w:rPr>
                <w:rFonts w:hint="eastAsia"/>
              </w:rPr>
            </w:pPr>
            <w:r>
              <w:rPr>
                <w:rFonts w:hint="eastAsia"/>
              </w:rPr>
              <w:t>报告期内企业直接控制或拥有设施的天然气总消耗量。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汽油用量</w:t>
            </w:r>
          </w:p>
        </w:tc>
        <w:tc>
          <w:tcPr>
            <w:tcW w:w="443" w:type="pct"/>
            <w:vAlign w:val="center"/>
          </w:tcPr>
          <w:p>
            <w:pPr>
              <w:pStyle w:val="58"/>
              <w:rPr>
                <w:rFonts w:hint="eastAsia"/>
              </w:rPr>
            </w:pPr>
            <w:r>
              <w:rPr>
                <w:rFonts w:hint="eastAsia"/>
              </w:rPr>
              <w:t>升</w:t>
            </w:r>
          </w:p>
        </w:tc>
        <w:tc>
          <w:tcPr>
            <w:tcW w:w="1086" w:type="pct"/>
            <w:vAlign w:val="center"/>
          </w:tcPr>
          <w:p>
            <w:pPr>
              <w:pStyle w:val="58"/>
              <w:rPr>
                <w:rFonts w:hint="eastAsia"/>
              </w:rPr>
            </w:pPr>
            <w:r>
              <w:rPr>
                <w:rFonts w:hint="eastAsia"/>
              </w:rPr>
              <w:t>报告期内企业直接控制或拥有设施的汽油总消耗量。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t>……</w:t>
            </w:r>
          </w:p>
        </w:tc>
        <w:tc>
          <w:tcPr>
            <w:tcW w:w="443" w:type="pct"/>
            <w:vAlign w:val="center"/>
          </w:tcPr>
          <w:p>
            <w:pPr>
              <w:pStyle w:val="58"/>
              <w:rPr>
                <w:rFonts w:hint="eastAsia"/>
              </w:rPr>
            </w:pPr>
          </w:p>
        </w:tc>
        <w:tc>
          <w:tcPr>
            <w:tcW w:w="1086" w:type="pct"/>
            <w:vAlign w:val="center"/>
          </w:tcPr>
          <w:p>
            <w:pPr>
              <w:pStyle w:val="58"/>
              <w:rPr>
                <w:rFonts w:hint="eastAsia"/>
              </w:rPr>
            </w:pPr>
          </w:p>
        </w:tc>
        <w:tc>
          <w:tcPr>
            <w:tcW w:w="1110" w:type="pct"/>
          </w:tcPr>
          <w:p>
            <w:pPr>
              <w:pStyle w:val="58"/>
              <w:rPr>
                <w:rFonts w:hint="eastAsia"/>
              </w:rPr>
            </w:pPr>
          </w:p>
        </w:tc>
        <w:tc>
          <w:tcPr>
            <w:tcW w:w="855" w:type="pct"/>
          </w:tcPr>
          <w:p>
            <w:pPr>
              <w:pStyle w:val="58"/>
              <w:rPr>
                <w:rFonts w:hint="eastAsia"/>
              </w:rPr>
            </w:pPr>
          </w:p>
        </w:tc>
        <w:tc>
          <w:tcPr>
            <w:tcW w:w="732" w:type="pct"/>
          </w:tcPr>
          <w:p>
            <w:pPr>
              <w:pStyle w:val="58"/>
              <w:rPr>
                <w:rFonts w:hint="eastAsia"/>
              </w:rPr>
            </w:pPr>
          </w:p>
        </w:tc>
      </w:tr>
      <w:bookmarkEnd w:id="145"/>
    </w:tbl>
    <w:p>
      <w:pPr>
        <w:pStyle w:val="57"/>
        <w:widowControl/>
        <w:adjustRightInd w:val="0"/>
        <w:snapToGrid w:val="0"/>
        <w:spacing w:line="560" w:lineRule="exact"/>
        <w:ind w:firstLineChars="0"/>
        <w:jc w:val="center"/>
        <w:rPr>
          <w:rFonts w:ascii="Times New Roman" w:hAnsi="Times New Roman" w:eastAsia="黑体" w:cs="Times New Roman"/>
          <w:szCs w:val="24"/>
          <w:lang w:bidi="ar"/>
        </w:rPr>
      </w:pPr>
      <w:bookmarkStart w:id="147" w:name="_Toc340839617"/>
      <w:bookmarkStart w:id="148" w:name="_Toc330904132"/>
      <w:r>
        <w:rPr>
          <w:rFonts w:hint="eastAsia"/>
        </w:rPr>
        <w:t>表</w:t>
      </w:r>
      <w:r>
        <w:rPr>
          <w:rFonts w:hint="eastAsia"/>
          <w:lang w:val="en-US" w:eastAsia="zh-CN"/>
        </w:rPr>
        <w:t>1.</w:t>
      </w:r>
      <w:r>
        <w:rPr>
          <w:rFonts w:hint="eastAsia"/>
        </w:rPr>
        <w:t>29：可持续发展报告对标索引表示例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00" w:type="pct"/>
            <w:vAlign w:val="center"/>
          </w:tcPr>
          <w:p>
            <w:pPr>
              <w:pStyle w:val="58"/>
              <w:widowControl/>
              <w:adjustRightInd w:val="0"/>
              <w:snapToGrid w:val="0"/>
              <w:spacing w:line="240" w:lineRule="auto"/>
              <w:ind w:firstLineChars="0"/>
              <w:jc w:val="center"/>
            </w:pPr>
            <w:r>
              <w:rPr>
                <w:rFonts w:hint="eastAsia"/>
              </w:rPr>
              <w:t>披露要求</w:t>
            </w:r>
          </w:p>
        </w:tc>
        <w:tc>
          <w:tcPr>
            <w:tcW w:w="2500" w:type="pct"/>
            <w:vAlign w:val="center"/>
          </w:tcPr>
          <w:p>
            <w:pPr>
              <w:pStyle w:val="58"/>
              <w:widowControl/>
              <w:adjustRightInd w:val="0"/>
              <w:snapToGrid w:val="0"/>
              <w:spacing w:line="240" w:lineRule="auto"/>
              <w:ind w:firstLineChars="0"/>
              <w:jc w:val="center"/>
            </w:pPr>
            <w:r>
              <w:rPr>
                <w:rFonts w:hint="eastAsia"/>
              </w:rPr>
              <w:t>对应的本报告章节</w:t>
            </w:r>
          </w:p>
          <w:p>
            <w:pPr>
              <w:pStyle w:val="58"/>
              <w:widowControl/>
              <w:adjustRightInd w:val="0"/>
              <w:snapToGrid w:val="0"/>
              <w:spacing w:line="240" w:lineRule="auto"/>
              <w:ind w:firstLineChars="0"/>
              <w:jc w:val="center"/>
            </w:pPr>
            <w:r>
              <w:rPr>
                <w:rFonts w:hint="eastAsia"/>
              </w:rPr>
              <w:t>（相关议题未披露的，根据《指引》第七条要求进行充分说明）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应对气候变化</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污染物排放</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废弃物处理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生态系统和生物多样性保护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环境合规管理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能源利用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水资源利用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循环经济</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乡村振兴</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社会贡献</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创新驱动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科技伦理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供应链安全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平等对待中小企业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产品和服务安全与质量</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数据安全与客户隐私保护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员工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尽职调查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利益相关方沟通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反商业贿赂及反贪污</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反不正当竞争</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自主披露的议题</w:t>
            </w:r>
          </w:p>
        </w:tc>
        <w:tc>
          <w:tcPr>
            <w:tcW w:w="2500" w:type="pct"/>
          </w:tcPr>
          <w:p>
            <w:pPr>
              <w:pStyle w:val="58"/>
              <w:widowControl/>
              <w:adjustRightInd w:val="0"/>
              <w:snapToGrid w:val="0"/>
              <w:spacing w:line="240" w:lineRule="auto"/>
              <w:ind w:firstLineChars="0"/>
            </w:pPr>
          </w:p>
        </w:tc>
      </w:tr>
    </w:tbl>
    <w:p>
      <w:pPr>
        <w:bidi w:val="0"/>
        <w:rPr>
          <w:rFonts w:hint="eastAsia"/>
        </w:rPr>
      </w:pPr>
    </w:p>
    <w:bookmarkEnd w:id="147"/>
    <w:bookmarkEnd w:id="148"/>
    <w:p>
      <w:pPr>
        <w:pStyle w:val="2"/>
        <w:keepNext w:val="0"/>
        <w:keepLines w:val="0"/>
        <w:overflowPunct w:val="0"/>
        <w:spacing w:before="0" w:after="0" w:line="560" w:lineRule="exact"/>
        <w:ind w:firstLine="0" w:firstLineChars="0"/>
        <w:jc w:val="center"/>
        <w:rPr>
          <w:rFonts w:ascii="Times New Roman" w:hAnsi="Times New Roman" w:eastAsia="方正小标宋简体"/>
          <w:szCs w:val="30"/>
        </w:rPr>
      </w:pPr>
      <w:bookmarkStart w:id="149" w:name="_Toc162"/>
      <w:bookmarkStart w:id="150" w:name="_Toc30577"/>
      <w:bookmarkStart w:id="151" w:name="_Toc16282"/>
      <w:bookmarkStart w:id="152" w:name="_Toc177241753"/>
      <w:bookmarkStart w:id="153" w:name="_Toc177241760"/>
      <w:bookmarkStart w:id="154" w:name="_Toc22643"/>
      <w:bookmarkStart w:id="155" w:name="_Toc6799"/>
      <w:bookmarkStart w:id="303" w:name="_GoBack"/>
      <w:bookmarkEnd w:id="303"/>
      <w:r>
        <w:rPr>
          <w:rFonts w:hint="eastAsia" w:ascii="方正小标宋简体" w:hAnsi="方正小标宋简体" w:eastAsia="方正小标宋简体" w:cs="方正小标宋简体"/>
          <w:b w:val="0"/>
          <w:bCs w:val="0"/>
          <w:sz w:val="36"/>
          <w:szCs w:val="36"/>
        </w:rPr>
        <w:t>第二章 应对气候变化</w:t>
      </w:r>
      <w:bookmarkEnd w:id="149"/>
    </w:p>
    <w:p>
      <w:pPr>
        <w:rPr>
          <w:rFonts w:hint="eastAsia"/>
        </w:rPr>
      </w:pPr>
    </w:p>
    <w:p>
      <w:pPr>
        <w:pStyle w:val="3"/>
        <w:rPr>
          <w:rFonts w:ascii="Times New Roman" w:hAnsi="Times New Roman" w:eastAsia="黑体" w:cs="Times New Roman"/>
          <w:b/>
          <w:bCs/>
          <w:szCs w:val="30"/>
        </w:rPr>
      </w:pPr>
      <w:bookmarkStart w:id="156" w:name="_Toc17648"/>
      <w:bookmarkStart w:id="157" w:name="_Toc179988010"/>
      <w:r>
        <w:rPr>
          <w:rFonts w:hint="eastAsia"/>
        </w:rPr>
        <w:t xml:space="preserve">第一节 </w:t>
      </w:r>
      <w:bookmarkEnd w:id="150"/>
      <w:bookmarkEnd w:id="151"/>
      <w:r>
        <w:rPr>
          <w:rFonts w:hint="eastAsia"/>
        </w:rPr>
        <w:t>气候相关影响重要性评估</w:t>
      </w:r>
      <w:bookmarkEnd w:id="156"/>
      <w:bookmarkEnd w:id="157"/>
    </w:p>
    <w:p>
      <w:pPr>
        <w:rPr>
          <w:rFonts w:hint="eastAsia"/>
        </w:rPr>
      </w:pPr>
      <w:bookmarkStart w:id="158" w:name="_Toc4018"/>
      <w:bookmarkStart w:id="159" w:name="_Toc179988011"/>
      <w:bookmarkStart w:id="160" w:name="_Toc9486"/>
      <w:r>
        <w:rPr>
          <w:rFonts w:hint="eastAsia"/>
        </w:rPr>
        <w:t>本指南的重要性评估流程旨在为披露主体提供工作参考，进一步帮助披露主体理解气候相关影响、风险和机遇。</w:t>
      </w:r>
      <w:bookmarkEnd w:id="152"/>
      <w:bookmarkEnd w:id="158"/>
      <w:bookmarkEnd w:id="159"/>
      <w:bookmarkEnd w:id="160"/>
    </w:p>
    <w:p>
      <w:pPr>
        <w:pStyle w:val="4"/>
        <w:rPr>
          <w:rFonts w:hint="eastAsia"/>
          <w:lang w:eastAsia="zh-CN"/>
        </w:rPr>
      </w:pPr>
      <w:r>
        <w:rPr>
          <w:rFonts w:hint="eastAsia"/>
          <w:lang w:eastAsia="zh-CN"/>
        </w:rPr>
        <w:t>一、气候相关影响</w:t>
      </w:r>
    </w:p>
    <w:p>
      <w:pPr>
        <w:rPr>
          <w:rFonts w:hint="eastAsia"/>
          <w:lang w:eastAsia="zh-CN"/>
        </w:rPr>
      </w:pPr>
      <w:r>
        <w:rPr>
          <w:rFonts w:hint="eastAsia"/>
          <w:lang w:eastAsia="zh-CN"/>
        </w:rPr>
        <w:t>披露主体在应对气候变化议题方面的表现可能对经济、社会和环境产生影响（气候相关影响）。气候相关影响可能来自公司的商业模式、业务运营、发展战略、融资方式以及价值链等活动。气候相关影响可能是实际的或潜在的，可能是正面的或负面的。</w:t>
      </w:r>
    </w:p>
    <w:p>
      <w:pPr>
        <w:rPr>
          <w:rFonts w:hint="eastAsia"/>
          <w:lang w:eastAsia="zh-CN"/>
        </w:rPr>
      </w:pPr>
      <w:r>
        <w:rPr>
          <w:rFonts w:hint="eastAsia"/>
          <w:lang w:eastAsia="zh-CN"/>
        </w:rPr>
        <w:t>气候相关影响可以具体化为对社会因素、经济趋势、技术因素、政策法律等维度产生影响，进而对利益相关方产生影响。</w:t>
      </w:r>
    </w:p>
    <w:p>
      <w:pPr>
        <w:pStyle w:val="4"/>
        <w:rPr>
          <w:rFonts w:hint="eastAsia"/>
        </w:rPr>
      </w:pPr>
      <w:r>
        <w:rPr>
          <w:rFonts w:hint="eastAsia"/>
          <w:lang w:eastAsia="zh-CN"/>
        </w:rPr>
        <w:t>二</w:t>
      </w:r>
      <w:r>
        <w:rPr>
          <w:rFonts w:hint="eastAsia"/>
        </w:rPr>
        <w:t>、气候相关影响重要性评估流程</w:t>
      </w:r>
    </w:p>
    <w:p>
      <w:pPr>
        <w:rPr>
          <w:rFonts w:ascii="仿宋_GB2312" w:hAnsi="Times New Roman" w:eastAsia="仿宋_GB2312"/>
          <w:szCs w:val="30"/>
        </w:rPr>
      </w:pPr>
      <w:r>
        <w:rPr>
          <w:rFonts w:hint="eastAsia"/>
        </w:rPr>
        <w:t>披露主体可以通过以下四个步骤评估其气候相关表现对经济、环境和社会的影响以及评估气候相关影响重要性。</w:t>
      </w:r>
    </w:p>
    <w:p>
      <w:pPr>
        <w:pStyle w:val="5"/>
        <w:rPr>
          <w:rFonts w:hint="eastAsia"/>
        </w:rPr>
      </w:pPr>
      <w:bookmarkStart w:id="161" w:name="_Toc179988013"/>
      <w:r>
        <w:rPr>
          <w:rFonts w:hint="eastAsia"/>
        </w:rPr>
        <w:t>步骤一：了解与气候相关的公司活动和业务关系背景</w:t>
      </w:r>
      <w:bookmarkEnd w:id="161"/>
    </w:p>
    <w:p>
      <w:pPr>
        <w:rPr>
          <w:rFonts w:hint="eastAsia"/>
        </w:rPr>
      </w:pPr>
      <w:r>
        <w:rPr>
          <w:rFonts w:hint="eastAsia"/>
        </w:rPr>
        <w:t>公司可以首先了解与气候相关的内部活动和业务关系、外部客观环境以及主要受影响利益相关方，以全面了解相关背景。</w:t>
      </w:r>
    </w:p>
    <w:p>
      <w:pPr>
        <w:pStyle w:val="57"/>
        <w:rPr>
          <w:rFonts w:hint="default" w:ascii="仿宋_GB2312" w:hAnsi="Times New Roman" w:eastAsia="仿宋_GB2312"/>
          <w:szCs w:val="30"/>
        </w:rPr>
      </w:pPr>
      <w:r>
        <w:t>表2.1 了解与气候相关的公司活动及业务关系考虑因素</w:t>
      </w:r>
    </w:p>
    <w:tbl>
      <w:tblPr>
        <w:tblStyle w:val="22"/>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61" w:type="dxa"/>
          </w:tcPr>
          <w:p>
            <w:pPr>
              <w:pStyle w:val="58"/>
              <w:jc w:val="center"/>
              <w:rPr>
                <w:rFonts w:hint="eastAsia"/>
              </w:rPr>
            </w:pPr>
            <w:r>
              <w:rPr>
                <w:rFonts w:hint="eastAsia"/>
              </w:rPr>
              <w:t>考虑因素</w:t>
            </w:r>
          </w:p>
        </w:tc>
        <w:tc>
          <w:tcPr>
            <w:tcW w:w="6264"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lang w:eastAsia="zh-CN"/>
              </w:rPr>
              <w:t>了解</w:t>
            </w:r>
            <w:r>
              <w:rPr>
                <w:rFonts w:hint="eastAsia"/>
              </w:rPr>
              <w:t>公司活动和业务关系</w:t>
            </w:r>
          </w:p>
        </w:tc>
        <w:tc>
          <w:tcPr>
            <w:tcW w:w="6264" w:type="dxa"/>
          </w:tcPr>
          <w:p>
            <w:pPr>
              <w:pStyle w:val="58"/>
              <w:rPr>
                <w:rFonts w:hint="eastAsia"/>
              </w:rPr>
            </w:pPr>
            <w:r>
              <w:rPr>
                <w:rFonts w:hint="eastAsia"/>
              </w:rPr>
              <w:t>如企业减排规划、碳中和战略、与气候相关的研发和投资计划；企业气候相关活动、低碳产品与服务以及所处的地理位置等；上游和/或下游价值链，以及业务关系的类型和性质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了解外部客观环境</w:t>
            </w:r>
          </w:p>
        </w:tc>
        <w:tc>
          <w:tcPr>
            <w:tcW w:w="6264" w:type="dxa"/>
          </w:tcPr>
          <w:p>
            <w:pPr>
              <w:pStyle w:val="58"/>
              <w:rPr>
                <w:rFonts w:hint="eastAsia"/>
              </w:rPr>
            </w:pPr>
            <w:r>
              <w:rPr>
                <w:rFonts w:hint="eastAsia"/>
              </w:rPr>
              <w:t>如企业业务活动所在地区的气候相关政策、法律以及监管规则；现有与气候相关的标准、主要内容和市场应用情况；外部研究报告、出版物；同业分析、现有的行业基准以及文献和出版物研究成果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了解受影响的利益相关方</w:t>
            </w:r>
          </w:p>
        </w:tc>
        <w:tc>
          <w:tcPr>
            <w:tcW w:w="6264" w:type="dxa"/>
          </w:tcPr>
          <w:p>
            <w:pPr>
              <w:pStyle w:val="58"/>
              <w:rPr>
                <w:rFonts w:hint="eastAsia"/>
              </w:rPr>
            </w:pPr>
            <w:r>
              <w:rPr>
                <w:rFonts w:hint="eastAsia"/>
              </w:rPr>
              <w:t>明确哪些利益相关方受到或可能受到企业在气候相关表现的影响，如供应商、承包商、客户、员工、社区居民等</w:t>
            </w:r>
          </w:p>
        </w:tc>
      </w:tr>
    </w:tbl>
    <w:p>
      <w:pPr>
        <w:pStyle w:val="5"/>
        <w:rPr>
          <w:rFonts w:hint="eastAsia"/>
        </w:rPr>
      </w:pPr>
      <w:bookmarkStart w:id="162" w:name="_Toc179988014"/>
      <w:r>
        <w:rPr>
          <w:rFonts w:hint="eastAsia"/>
        </w:rPr>
        <w:t>步骤二：分析气候相关影响的</w:t>
      </w:r>
      <w:bookmarkEnd w:id="162"/>
      <w:r>
        <w:rPr>
          <w:rFonts w:hint="eastAsia"/>
        </w:rPr>
        <w:t>方式</w:t>
      </w:r>
    </w:p>
    <w:p>
      <w:pPr>
        <w:rPr>
          <w:rFonts w:hint="eastAsia"/>
        </w:rPr>
      </w:pPr>
      <w:r>
        <w:rPr>
          <w:rFonts w:hint="eastAsia"/>
        </w:rPr>
        <w:t>披露主体可以从气候相关的公司活动和业务关系背景中，识别对经济、环境和社会产生的影响，进而分析对利益相关方产生的影响。</w:t>
      </w:r>
    </w:p>
    <w:p>
      <w:pPr>
        <w:rPr>
          <w:rFonts w:hint="eastAsia" w:ascii="黑体" w:hAnsi="黑体" w:eastAsia="黑体" w:cs="仿宋_GB2312"/>
          <w:sz w:val="28"/>
          <w:szCs w:val="28"/>
        </w:rPr>
      </w:pPr>
      <w:r>
        <w:rPr>
          <w:rFonts w:hint="eastAsia"/>
        </w:rPr>
        <w:t>影响方式的分析要素包括：业务活动，包括商业模式、业务运营、发展战略、融资方式及价值链等；气候相关表现；对经济、环境和社会的影响；对利益相关方的影响</w:t>
      </w:r>
      <w:r>
        <w:rPr>
          <w:rFonts w:hint="eastAsia"/>
          <w:lang w:eastAsia="zh-CN"/>
        </w:rPr>
        <w:t>等</w:t>
      </w:r>
      <w:r>
        <w:rPr>
          <w:rFonts w:hint="eastAsia"/>
        </w:rPr>
        <w:t>。</w:t>
      </w:r>
    </w:p>
    <w:p>
      <w:pPr>
        <w:pStyle w:val="57"/>
        <w:rPr>
          <w:rFonts w:hint="default" w:ascii="仿宋_GB2312" w:hAnsi="Times New Roman" w:eastAsia="仿宋_GB2312"/>
          <w:szCs w:val="30"/>
        </w:rPr>
      </w:pPr>
      <w:r>
        <w:drawing>
          <wp:anchor distT="0" distB="0" distL="0" distR="0" simplePos="0" relativeHeight="251661312" behindDoc="1" locked="0" layoutInCell="1" allowOverlap="1">
            <wp:simplePos x="0" y="0"/>
            <wp:positionH relativeFrom="column">
              <wp:posOffset>94615</wp:posOffset>
            </wp:positionH>
            <wp:positionV relativeFrom="paragraph">
              <wp:posOffset>86995</wp:posOffset>
            </wp:positionV>
            <wp:extent cx="5039995" cy="2487295"/>
            <wp:effectExtent l="0" t="0" r="8255" b="8255"/>
            <wp:wrapTopAndBottom/>
            <wp:docPr id="1427020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20398" name="图片 1"/>
                    <pic:cNvPicPr>
                      <a:picLocks noChangeAspect="1"/>
                    </pic:cNvPicPr>
                  </pic:nvPicPr>
                  <pic:blipFill>
                    <a:blip r:embed="rId21"/>
                    <a:stretch>
                      <a:fillRect/>
                    </a:stretch>
                  </pic:blipFill>
                  <pic:spPr>
                    <a:xfrm>
                      <a:off x="0" y="0"/>
                      <a:ext cx="5040000" cy="2487600"/>
                    </a:xfrm>
                    <a:prstGeom prst="rect">
                      <a:avLst/>
                    </a:prstGeom>
                  </pic:spPr>
                </pic:pic>
              </a:graphicData>
            </a:graphic>
          </wp:anchor>
        </w:drawing>
      </w:r>
      <w:r>
        <w:t>图2.1 气候相关影响方式的分析示例</w:t>
      </w:r>
    </w:p>
    <w:p>
      <w:pPr>
        <w:rPr>
          <w:rFonts w:hint="eastAsia"/>
        </w:rPr>
      </w:pPr>
      <w:r>
        <w:rPr>
          <w:rFonts w:hint="eastAsia"/>
        </w:rPr>
        <w:t>在分析对经济、环境和社会的影响时，披露主体可以通过引入社会因素、经济趋势、技术因素、政策法规、自然生态等具体要素框架，进一步分析和细化对利益相关方的影响。</w:t>
      </w:r>
    </w:p>
    <w:p>
      <w:pPr>
        <w:rPr>
          <w:rFonts w:ascii="仿宋_GB2312" w:hAnsi="Times New Roman" w:eastAsia="仿宋_GB2312"/>
          <w:szCs w:val="30"/>
        </w:rPr>
      </w:pPr>
      <w:r>
        <w:rPr>
          <w:rFonts w:hint="eastAsia"/>
        </w:rPr>
        <w:t>披露主体需要广泛收集开展上述分析所需的内部数据和外部信息，更多类型的数据有助于全面分析气候相关表现，进而分析对经济、环境和社会的影响。</w:t>
      </w:r>
    </w:p>
    <w:p>
      <w:pPr>
        <w:pStyle w:val="5"/>
        <w:rPr>
          <w:rFonts w:hint="eastAsia"/>
        </w:rPr>
      </w:pPr>
      <w:bookmarkStart w:id="163" w:name="_Toc179988015"/>
      <w:r>
        <w:rPr>
          <w:rFonts w:hint="eastAsia"/>
        </w:rPr>
        <w:t>步骤三：气候相关影响的评估与确认</w:t>
      </w:r>
      <w:bookmarkEnd w:id="163"/>
    </w:p>
    <w:p>
      <w:pPr>
        <w:rPr>
          <w:rFonts w:hint="eastAsia"/>
        </w:rPr>
      </w:pPr>
      <w:r>
        <w:rPr>
          <w:rFonts w:hint="eastAsia"/>
        </w:rPr>
        <w:t>披露主体应当结合自身所处行业和经营业务的特点等情况，识别披露主体在应对气候变化议题方面的表现是否对经济、环境和社会产生重大影响。</w:t>
      </w:r>
    </w:p>
    <w:p>
      <w:pPr>
        <w:rPr>
          <w:rFonts w:ascii="仿宋_GB2312" w:hAnsi="Times New Roman" w:eastAsia="仿宋_GB2312"/>
          <w:szCs w:val="30"/>
        </w:rPr>
      </w:pPr>
      <w:r>
        <w:rPr>
          <w:rFonts w:hint="eastAsia"/>
        </w:rPr>
        <w:t>评估影响重要性的方法包括定量分析和定性分析，需要公司与利益相关方沟通或咨询相关专家。影响重要性评估的关键环节包括：分析影响重要性评估因素、</w:t>
      </w:r>
      <w:bookmarkStart w:id="164" w:name="OLE_LINK6"/>
      <w:r>
        <w:rPr>
          <w:rFonts w:hint="eastAsia"/>
        </w:rPr>
        <w:t>利益相关方与专家的参与、设置判定影响重要性的阈值</w:t>
      </w:r>
      <w:bookmarkEnd w:id="164"/>
      <w:r>
        <w:rPr>
          <w:rFonts w:hint="eastAsia"/>
        </w:rPr>
        <w:t>等。（具体影响重要性评估要点详见本指南第一章）</w:t>
      </w:r>
    </w:p>
    <w:p>
      <w:pPr>
        <w:pStyle w:val="5"/>
        <w:rPr>
          <w:rFonts w:hint="eastAsia"/>
        </w:rPr>
      </w:pPr>
      <w:bookmarkStart w:id="165" w:name="_Toc179988016"/>
      <w:r>
        <w:rPr>
          <w:rFonts w:hint="eastAsia"/>
        </w:rPr>
        <w:t>步骤四：气候相关影响的报告</w:t>
      </w:r>
      <w:bookmarkEnd w:id="165"/>
    </w:p>
    <w:p>
      <w:pPr>
        <w:rPr>
          <w:rFonts w:hint="eastAsia"/>
        </w:rPr>
      </w:pPr>
      <w:r>
        <w:rPr>
          <w:rFonts w:hint="eastAsia"/>
        </w:rPr>
        <w:t>在完成气候相关影响重要性评估后，披露主体应基于整体可持续发展相关议题的重要性评估情况，报告该评估流程及其结果。（具体要点详见本指南第一章）</w:t>
      </w:r>
    </w:p>
    <w:p>
      <w:pPr>
        <w:rPr>
          <w:rFonts w:hint="eastAsia"/>
        </w:rPr>
      </w:pPr>
      <w:r>
        <w:rPr>
          <w:rFonts w:hint="eastAsia"/>
        </w:rPr>
        <w:br w:type="page"/>
      </w:r>
    </w:p>
    <w:p>
      <w:pPr>
        <w:pStyle w:val="3"/>
        <w:rPr>
          <w:rFonts w:ascii="Times New Roman" w:hAnsi="Times New Roman" w:eastAsia="黑体" w:cs="Times New Roman"/>
          <w:b/>
          <w:bCs/>
          <w:szCs w:val="30"/>
        </w:rPr>
      </w:pPr>
      <w:bookmarkStart w:id="166" w:name="_Toc179988017"/>
      <w:bookmarkStart w:id="167" w:name="_Toc23334"/>
      <w:r>
        <w:rPr>
          <w:rFonts w:hint="eastAsia"/>
        </w:rPr>
        <w:t>第二节</w:t>
      </w:r>
      <w:r>
        <w:t xml:space="preserve"> </w:t>
      </w:r>
      <w:r>
        <w:rPr>
          <w:rFonts w:hint="eastAsia"/>
        </w:rPr>
        <w:t>气候相关财务重要性评估</w:t>
      </w:r>
      <w:bookmarkEnd w:id="166"/>
      <w:bookmarkEnd w:id="167"/>
    </w:p>
    <w:p>
      <w:pPr>
        <w:pStyle w:val="4"/>
        <w:rPr>
          <w:rFonts w:hint="eastAsia"/>
        </w:rPr>
      </w:pPr>
      <w:bookmarkStart w:id="168" w:name="_Toc179988018"/>
      <w:bookmarkStart w:id="169" w:name="_Toc12145"/>
      <w:bookmarkStart w:id="170" w:name="_Toc177241756"/>
      <w:bookmarkStart w:id="171" w:name="_Toc11071"/>
      <w:r>
        <w:rPr>
          <w:rFonts w:hint="eastAsia"/>
        </w:rPr>
        <w:t>一、气候相关风险和机遇</w:t>
      </w:r>
      <w:bookmarkEnd w:id="168"/>
      <w:bookmarkEnd w:id="169"/>
      <w:bookmarkEnd w:id="170"/>
      <w:bookmarkEnd w:id="171"/>
    </w:p>
    <w:p>
      <w:pPr>
        <w:rPr>
          <w:rFonts w:ascii="Times New Roman" w:hAnsi="Times New Roman" w:eastAsia="仿宋_GB2312"/>
          <w:kern w:val="0"/>
          <w:szCs w:val="30"/>
        </w:rPr>
      </w:pPr>
      <w:r>
        <w:rPr>
          <w:rFonts w:hint="eastAsia"/>
        </w:rPr>
        <w:t>气候变化可能对披露主体的商业模式、业务运营、发展战略、财务状况、经营成果、现金流、融资方式及成本等产生负面或正面影响。气候变化对披露主体产生的潜在负面影响，包括与气候相关的物理风险和与气候相关的转型风险。</w:t>
      </w:r>
    </w:p>
    <w:p>
      <w:pPr>
        <w:pStyle w:val="5"/>
        <w:rPr>
          <w:rFonts w:hint="eastAsia"/>
        </w:rPr>
      </w:pPr>
      <w:bookmarkStart w:id="172" w:name="_Toc179988019"/>
      <w:r>
        <w:rPr>
          <w:rFonts w:hint="eastAsia"/>
        </w:rPr>
        <w:t>（一）气候相关物理风险</w:t>
      </w:r>
      <w:bookmarkEnd w:id="172"/>
    </w:p>
    <w:p>
      <w:pPr>
        <w:rPr>
          <w:rFonts w:hint="eastAsia"/>
        </w:rPr>
      </w:pPr>
      <w:r>
        <w:rPr>
          <w:rFonts w:hint="eastAsia"/>
        </w:rPr>
        <w:t>与气候相关的物理风险是指由气候变化导致的物理环境改变给经济社会系统带来的风险，主要包括财产损失风险。与气候相关的物理风险可以</w:t>
      </w:r>
      <w:r>
        <w:t>分为</w:t>
      </w:r>
      <w:r>
        <w:rPr>
          <w:rFonts w:hint="eastAsia"/>
        </w:rPr>
        <w:t>急性物理风险和慢性物理风险。急性物理风险产生于与天气有关的事件，如风暴、洪水、干旱或热浪。慢性物理风险来自长期的气候变化，包括降水和温度的变化，以及可能引发的海平面上升、水供应减少、生物多样性丧失和土壤生产力变化。</w:t>
      </w:r>
    </w:p>
    <w:p>
      <w:pPr>
        <w:rPr>
          <w:rFonts w:hint="eastAsia"/>
        </w:rPr>
      </w:pPr>
      <w:r>
        <w:rPr>
          <w:rFonts w:hint="eastAsia"/>
        </w:rPr>
        <w:t>气候相关物理风险可能给披露主体带来财务影响，如资产的直接损失和供应链中断的间接影响。披露主体的财务业绩也可能受到水资源可用量和水体质量变化，极端温度变化对</w:t>
      </w:r>
      <w:r>
        <w:rPr>
          <w:rFonts w:hint="eastAsia"/>
          <w:lang w:eastAsia="zh-CN"/>
        </w:rPr>
        <w:t>披露主体</w:t>
      </w:r>
      <w:r>
        <w:rPr>
          <w:rFonts w:hint="eastAsia"/>
        </w:rPr>
        <w:t>经营场所、业务、供应链、运输需求和员工安全的影响。</w:t>
      </w:r>
    </w:p>
    <w:p>
      <w:pPr>
        <w:pStyle w:val="5"/>
        <w:rPr>
          <w:rFonts w:hint="eastAsia"/>
        </w:rPr>
      </w:pPr>
      <w:bookmarkStart w:id="173" w:name="_Toc179988020"/>
      <w:r>
        <w:rPr>
          <w:rFonts w:hint="eastAsia"/>
        </w:rPr>
        <w:t>（二）气候相关转型风险</w:t>
      </w:r>
      <w:bookmarkEnd w:id="173"/>
    </w:p>
    <w:p>
      <w:pPr>
        <w:rPr>
          <w:rFonts w:hint="eastAsia"/>
        </w:rPr>
      </w:pPr>
      <w:r>
        <w:rPr>
          <w:rFonts w:hint="eastAsia"/>
        </w:rPr>
        <w:t>与气候相关的转型风险是指披露主体向低碳经济转型所面临的风险，包括政策、法律、技术、市场和声誉等方面的风险。</w:t>
      </w:r>
    </w:p>
    <w:p>
      <w:pPr>
        <w:rPr>
          <w:rFonts w:hint="eastAsia"/>
        </w:rPr>
      </w:pPr>
      <w:r>
        <w:rPr>
          <w:rFonts w:hint="eastAsia"/>
        </w:rPr>
        <w:t>低碳经济转型过程可能涉及广泛的政策、法律、技术和市场变化，如碳排放成本的提高、设备能耗要求变化、消费者偏好的变化等。根据这些变化的性质、速度和重点，转型风险可能使披露主体承担不同程度的财务、市场和声誉风险等。</w:t>
      </w:r>
    </w:p>
    <w:p>
      <w:pPr>
        <w:pStyle w:val="5"/>
        <w:rPr>
          <w:rFonts w:hint="eastAsia"/>
        </w:rPr>
      </w:pPr>
      <w:bookmarkStart w:id="174" w:name="_Toc179988021"/>
      <w:r>
        <w:rPr>
          <w:rFonts w:hint="eastAsia"/>
        </w:rPr>
        <w:t>（三）气候相关机遇</w:t>
      </w:r>
      <w:bookmarkEnd w:id="174"/>
    </w:p>
    <w:p>
      <w:pPr>
        <w:rPr>
          <w:rFonts w:hint="eastAsia"/>
        </w:rPr>
      </w:pPr>
      <w:r>
        <w:rPr>
          <w:rFonts w:hint="eastAsia"/>
        </w:rPr>
        <w:t>气候相关机遇是指气候变化对披露主体产生的潜在积极影响，或公司因参与缓解和适应气候变化带来的机遇。例如，通过提高资源效率和节约成本、采用低排放能源、开发新产品和服务、进入新市场，以及</w:t>
      </w:r>
      <w:r>
        <w:rPr>
          <w:rFonts w:hint="eastAsia"/>
          <w:lang w:eastAsia="zh-CN"/>
        </w:rPr>
        <w:t>建立</w:t>
      </w:r>
      <w:r>
        <w:rPr>
          <w:rFonts w:hint="eastAsia"/>
        </w:rPr>
        <w:t>供应链的韧性，将能够为披露主体创造更多机遇。</w:t>
      </w:r>
    </w:p>
    <w:p>
      <w:pPr>
        <w:rPr>
          <w:rFonts w:hint="eastAsia"/>
        </w:rPr>
      </w:pPr>
      <w:r>
        <w:rPr>
          <w:rFonts w:hint="eastAsia"/>
        </w:rPr>
        <w:t>气候相关机遇将因披露主体经营的地区、市场和行业而异。典型的气候相关机遇可涉及资源效率、能源来源、产品和服务、市场等方面。</w:t>
      </w:r>
    </w:p>
    <w:p>
      <w:pPr>
        <w:pStyle w:val="4"/>
        <w:rPr>
          <w:rFonts w:hint="eastAsia"/>
        </w:rPr>
      </w:pPr>
      <w:bookmarkStart w:id="175" w:name="_Toc179988022"/>
      <w:r>
        <w:rPr>
          <w:rFonts w:hint="eastAsia"/>
        </w:rPr>
        <w:t>二、气候相关风险和机遇对披露主体经营活动的影响</w:t>
      </w:r>
      <w:bookmarkEnd w:id="175"/>
    </w:p>
    <w:p>
      <w:pPr>
        <w:pStyle w:val="5"/>
        <w:rPr>
          <w:rFonts w:hint="eastAsia"/>
        </w:rPr>
      </w:pPr>
      <w:bookmarkStart w:id="176" w:name="_Toc179988023"/>
      <w:r>
        <w:rPr>
          <w:rFonts w:hint="eastAsia"/>
        </w:rPr>
        <w:t>（一）对披露主体商业模式和价值链的影响</w:t>
      </w:r>
      <w:bookmarkEnd w:id="176"/>
    </w:p>
    <w:p>
      <w:pPr>
        <w:rPr>
          <w:rFonts w:hint="eastAsia"/>
        </w:rPr>
      </w:pPr>
      <w:r>
        <w:rPr>
          <w:rFonts w:hint="eastAsia"/>
        </w:rPr>
        <w:t>极端天气事件、自然灾害等气候变化带来的影响可能加剧披露主体的经营风险，例如供应链中断、资产损失、生产中断等。面对气候变化相关不确定性时，披露主体可能调整其商业模式和战略。</w:t>
      </w:r>
    </w:p>
    <w:p>
      <w:pPr>
        <w:rPr>
          <w:rFonts w:hint="eastAsia"/>
        </w:rPr>
      </w:pPr>
      <w:r>
        <w:rPr>
          <w:rFonts w:hint="eastAsia"/>
        </w:rPr>
        <w:t>此外，气候相关风险和机遇亦可能影响披露主体价值链活动。相关</w:t>
      </w:r>
      <w:r>
        <w:rPr>
          <w:rFonts w:hint="eastAsia"/>
          <w:lang w:eastAsia="zh-CN"/>
        </w:rPr>
        <w:t>价值链活动</w:t>
      </w:r>
      <w:r>
        <w:rPr>
          <w:rFonts w:hint="eastAsia"/>
        </w:rPr>
        <w:t>包括披露主体将产品和服务从概念转化到交付、消费和报废直接或间接所使用和依赖的活动、资源和关系，如披露主体经营中的活动、资源和关系</w:t>
      </w:r>
      <w:r>
        <w:rPr>
          <w:rFonts w:hint="eastAsia"/>
          <w:lang w:eastAsia="zh-CN"/>
        </w:rPr>
        <w:t>，例如供应链</w:t>
      </w:r>
      <w:r>
        <w:rPr>
          <w:rFonts w:hint="eastAsia"/>
        </w:rPr>
        <w:t>、营销和分销渠道（材料和服务采购以及产品和服务的销售和交付）的活动、资源和</w:t>
      </w:r>
      <w:r>
        <w:rPr>
          <w:rFonts w:hint="eastAsia"/>
          <w:lang w:eastAsia="zh-CN"/>
        </w:rPr>
        <w:t>人力资源</w:t>
      </w:r>
      <w:r>
        <w:rPr>
          <w:rFonts w:hint="eastAsia"/>
        </w:rPr>
        <w:t>关系以及披露主体所处的融资、地理和监管环境。</w:t>
      </w:r>
    </w:p>
    <w:p>
      <w:pPr>
        <w:rPr>
          <w:rFonts w:hint="eastAsia"/>
        </w:rPr>
      </w:pPr>
      <w:r>
        <w:rPr>
          <w:rFonts w:hint="eastAsia"/>
        </w:rPr>
        <w:t>披露主体无需每个报告年度重新评估其整个价值链的气候相关风险和机遇，可结合披露主体应对气候变化实际情况，定期或不定期评估价值链气候相关风险和机遇。在发生重大事件或情况发生重大变化时，披露主体需考虑重新评估。</w:t>
      </w:r>
    </w:p>
    <w:p>
      <w:pPr>
        <w:pStyle w:val="57"/>
      </w:pPr>
      <w:r>
        <w:t>表2.2 企业重新评估价值链气候相关风险和机遇的情形</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tcPr>
          <w:p>
            <w:pPr>
              <w:pStyle w:val="58"/>
              <w:jc w:val="center"/>
              <w:rPr>
                <w:rFonts w:hint="eastAsia"/>
              </w:rPr>
            </w:pPr>
            <w:r>
              <w:rPr>
                <w:rFonts w:hint="eastAsia"/>
              </w:rPr>
              <w:t>重大变化</w:t>
            </w:r>
          </w:p>
        </w:tc>
        <w:tc>
          <w:tcPr>
            <w:tcW w:w="6112"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企业价值链发生重大变化</w:t>
            </w:r>
          </w:p>
        </w:tc>
        <w:tc>
          <w:tcPr>
            <w:tcW w:w="6112" w:type="dxa"/>
            <w:vAlign w:val="center"/>
          </w:tcPr>
          <w:p>
            <w:pPr>
              <w:pStyle w:val="58"/>
              <w:rPr>
                <w:rFonts w:hint="eastAsia"/>
              </w:rPr>
            </w:pPr>
            <w:r>
              <w:rPr>
                <w:rFonts w:hint="eastAsia"/>
              </w:rPr>
              <w:t>如企业价值链中的供应商做出的会显著改变其温室气体排放的变化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企业业务模式活动或公司结构的重大变化</w:t>
            </w:r>
          </w:p>
        </w:tc>
        <w:tc>
          <w:tcPr>
            <w:tcW w:w="6112" w:type="dxa"/>
            <w:vAlign w:val="center"/>
          </w:tcPr>
          <w:p>
            <w:pPr>
              <w:pStyle w:val="58"/>
              <w:rPr>
                <w:rFonts w:hint="eastAsia"/>
              </w:rPr>
            </w:pPr>
            <w:r>
              <w:rPr>
                <w:rFonts w:hint="eastAsia"/>
              </w:rPr>
              <w:t>如拓展企业价值链的合并或收购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企业面临气候相关风险和机遇的情况发生重大变化</w:t>
            </w:r>
          </w:p>
        </w:tc>
        <w:tc>
          <w:tcPr>
            <w:tcW w:w="6112" w:type="dxa"/>
            <w:vAlign w:val="center"/>
          </w:tcPr>
          <w:p>
            <w:pPr>
              <w:pStyle w:val="58"/>
              <w:rPr>
                <w:rFonts w:hint="eastAsia"/>
              </w:rPr>
            </w:pPr>
            <w:r>
              <w:rPr>
                <w:rFonts w:hint="eastAsia"/>
              </w:rPr>
              <w:t>如企业价值链中的供应商受到企业预期之外的温室气体排放法规出台的影响</w:t>
            </w:r>
          </w:p>
        </w:tc>
      </w:tr>
    </w:tbl>
    <w:p>
      <w:pPr>
        <w:pStyle w:val="5"/>
        <w:rPr>
          <w:rFonts w:hint="eastAsia"/>
        </w:rPr>
      </w:pPr>
      <w:bookmarkStart w:id="177" w:name="_Toc179988024"/>
      <w:r>
        <w:rPr>
          <w:rFonts w:hint="eastAsia"/>
        </w:rPr>
        <w:t>（二）对披露主体战略和决策的影响</w:t>
      </w:r>
      <w:bookmarkEnd w:id="177"/>
    </w:p>
    <w:p>
      <w:pPr>
        <w:rPr>
          <w:rFonts w:hint="eastAsia"/>
        </w:rPr>
      </w:pPr>
      <w:r>
        <w:rPr>
          <w:rFonts w:hint="eastAsia"/>
        </w:rPr>
        <w:t>面对气候相关的风险和机遇，披露主体可能需要调整相关战略、财务规划、资源配置等策略。为应对气候相关风险和机遇，披露主体战略和决策发生的变化包括：管理或停止碳、能源或用水密集业务的计划；因需求或供应链变化导致的资源配置；通过资本支出或额外研发支出进行业务发展产生的资源配置；以及业务收购或剥离等。</w:t>
      </w:r>
    </w:p>
    <w:p>
      <w:pPr>
        <w:rPr>
          <w:rFonts w:ascii="仿宋_GB2312" w:hAnsi="Times New Roman" w:eastAsia="仿宋_GB2312"/>
          <w:szCs w:val="30"/>
        </w:rPr>
      </w:pPr>
      <w:r>
        <w:rPr>
          <w:rFonts w:hint="eastAsia"/>
        </w:rPr>
        <w:t>直接的应对气候相关风险的战略和决策举措，包括改变生产工艺或设备、搬迁设施、调整劳动力和改变产品规格等。间接的应对气候相关风险的战略和决策举措，包括与客户、供应链合作等。</w:t>
      </w:r>
    </w:p>
    <w:p>
      <w:pPr>
        <w:pStyle w:val="4"/>
        <w:rPr>
          <w:rFonts w:hint="eastAsia"/>
        </w:rPr>
      </w:pPr>
      <w:bookmarkStart w:id="178" w:name="_Toc177672319"/>
      <w:bookmarkStart w:id="179" w:name="_Toc814"/>
      <w:bookmarkStart w:id="180" w:name="_Toc7587"/>
      <w:bookmarkStart w:id="181" w:name="_Toc3889"/>
      <w:bookmarkStart w:id="182" w:name="_Toc179988025"/>
      <w:bookmarkStart w:id="183" w:name="_Toc177241758"/>
      <w:r>
        <w:rPr>
          <w:rFonts w:hint="eastAsia"/>
        </w:rPr>
        <w:t>三、气候相关风险和机遇的财务影响</w:t>
      </w:r>
      <w:bookmarkEnd w:id="178"/>
      <w:bookmarkEnd w:id="179"/>
      <w:bookmarkEnd w:id="180"/>
      <w:bookmarkEnd w:id="181"/>
      <w:bookmarkEnd w:id="182"/>
      <w:bookmarkEnd w:id="183"/>
    </w:p>
    <w:p>
      <w:pPr>
        <w:rPr>
          <w:rFonts w:hint="eastAsia"/>
        </w:rPr>
      </w:pPr>
      <w:r>
        <w:rPr>
          <w:rFonts w:hint="eastAsia"/>
        </w:rPr>
        <w:t>气候相关风险和机遇对披露主体的财务影响，是披露主体面临的气候相关物理风险和机遇引发的，也与披露主体管理这些风险和机遇的战略和决策有关。气候相关风险和机遇可能会影响披露主体的财务状况、经营成果和现金流，包括当期和（或）以往年度已发生的实际财务影响和预期财务影响。</w:t>
      </w:r>
    </w:p>
    <w:p>
      <w:pPr>
        <w:rPr>
          <w:rFonts w:hint="eastAsia"/>
        </w:rPr>
      </w:pPr>
      <w:r>
        <w:rPr>
          <w:rFonts w:hint="eastAsia"/>
        </w:rPr>
        <w:t>气候相关风险和机遇的财务影响主要涉及的财务类别包括收入、支出（利润表）；资产和负债（资产负债表）以及现金流入和流出（现金流量表）等。</w:t>
      </w:r>
    </w:p>
    <w:p>
      <w:pPr>
        <w:pStyle w:val="57"/>
      </w:pPr>
      <w:r>
        <w:t>表2.3 气候相关财务影响的主要类别</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58"/>
              <w:jc w:val="center"/>
              <w:rPr>
                <w:rFonts w:hint="eastAsia"/>
              </w:rPr>
            </w:pPr>
            <w:r>
              <w:rPr>
                <w:rFonts w:hint="eastAsia"/>
              </w:rPr>
              <w:t>财务类别</w:t>
            </w:r>
          </w:p>
        </w:tc>
        <w:tc>
          <w:tcPr>
            <w:tcW w:w="6741"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收入</w:t>
            </w:r>
          </w:p>
        </w:tc>
        <w:tc>
          <w:tcPr>
            <w:tcW w:w="6741" w:type="dxa"/>
          </w:tcPr>
          <w:p>
            <w:pPr>
              <w:pStyle w:val="58"/>
              <w:rPr>
                <w:rFonts w:hint="eastAsia"/>
              </w:rPr>
            </w:pPr>
            <w:r>
              <w:rPr>
                <w:rFonts w:hint="eastAsia"/>
              </w:rPr>
              <w:t>如消费者偏好改变可能影响对产品和服务的需求、供应链中断导致停产影响收入等，公司应考虑气候变化对收入的潜在影响，同时关注增加或创造新收入的潜在机遇。特别是随着碳定价政策的执行及趋严，对于受影响的行业而言，可考虑对公司收入的潜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支出</w:t>
            </w:r>
          </w:p>
        </w:tc>
        <w:tc>
          <w:tcPr>
            <w:tcW w:w="6741" w:type="dxa"/>
          </w:tcPr>
          <w:p>
            <w:pPr>
              <w:pStyle w:val="58"/>
              <w:rPr>
                <w:rFonts w:hint="eastAsia"/>
              </w:rPr>
            </w:pPr>
            <w:r>
              <w:rPr>
                <w:rFonts w:hint="eastAsia"/>
              </w:rPr>
              <w:t>如增加对新技术的研发支出，能源、水资源等使用成本的上升，气候高风险地区资产的保险费用提高，高温条件下户外作业员工的保障设施升级支出等。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资产和负债</w:t>
            </w:r>
          </w:p>
        </w:tc>
        <w:tc>
          <w:tcPr>
            <w:tcW w:w="6741" w:type="dxa"/>
          </w:tcPr>
          <w:p>
            <w:pPr>
              <w:pStyle w:val="58"/>
              <w:rPr>
                <w:rFonts w:hint="eastAsia"/>
              </w:rPr>
            </w:pPr>
            <w:r>
              <w:rPr>
                <w:rFonts w:hint="eastAsia"/>
              </w:rPr>
              <w:t>如气候变化及相关政策出台、制定减排目标，部分固定资产需要提前淘汰，导致固定资产减值或折旧年限缩短；公司承担环境保护和生态恢复等义务所计提的预计负债，由于技术进步、法律要求或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现金流等</w:t>
            </w:r>
          </w:p>
        </w:tc>
        <w:tc>
          <w:tcPr>
            <w:tcW w:w="6741" w:type="dxa"/>
          </w:tcPr>
          <w:p>
            <w:pPr>
              <w:pStyle w:val="58"/>
              <w:rPr>
                <w:rFonts w:hint="eastAsia"/>
              </w:rPr>
            </w:pPr>
            <w:r>
              <w:rPr>
                <w:rFonts w:hint="eastAsia"/>
              </w:rPr>
              <w:t>如气候变化导致的自然灾害、市场波动以及原材料和运输成本的变动对经营活动现金流产生影响；增加新的资本支出、提高债务水平，声誉风险对于再融资能力的削弱等对投资和筹资活动现金流产生影响。</w:t>
            </w:r>
          </w:p>
        </w:tc>
      </w:tr>
    </w:tbl>
    <w:p>
      <w:pPr>
        <w:rPr>
          <w:rFonts w:hint="eastAsia"/>
        </w:rPr>
      </w:pPr>
      <w:r>
        <w:rPr>
          <w:rFonts w:hint="eastAsia"/>
        </w:rPr>
        <w:t>气候相关财务影响包括当期（报告期间）的财务影响，以及预期（短期、中期和长期）的财务影响。</w:t>
      </w:r>
    </w:p>
    <w:p>
      <w:pPr>
        <w:pStyle w:val="57"/>
      </w:pPr>
      <w:r>
        <w:t>表2.4 气候相关风险和财务影响的示例</w:t>
      </w:r>
    </w:p>
    <w:tbl>
      <w:tblPr>
        <w:tblStyle w:val="22"/>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542"/>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pStyle w:val="58"/>
              <w:jc w:val="center"/>
              <w:rPr>
                <w:rFonts w:hint="eastAsia"/>
              </w:rPr>
            </w:pPr>
            <w:r>
              <w:rPr>
                <w:rFonts w:hint="eastAsia"/>
              </w:rPr>
              <w:t>类型</w:t>
            </w:r>
          </w:p>
        </w:tc>
        <w:tc>
          <w:tcPr>
            <w:tcW w:w="2542" w:type="dxa"/>
          </w:tcPr>
          <w:p>
            <w:pPr>
              <w:pStyle w:val="58"/>
              <w:jc w:val="center"/>
              <w:rPr>
                <w:rFonts w:hint="eastAsia"/>
              </w:rPr>
            </w:pPr>
            <w:r>
              <w:rPr>
                <w:rFonts w:hint="eastAsia"/>
              </w:rPr>
              <w:t>气候相关风险</w:t>
            </w:r>
          </w:p>
        </w:tc>
        <w:tc>
          <w:tcPr>
            <w:tcW w:w="4698" w:type="dxa"/>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转型风险</w:t>
            </w:r>
          </w:p>
        </w:tc>
        <w:tc>
          <w:tcPr>
            <w:tcW w:w="7240" w:type="dxa"/>
            <w:gridSpan w:val="2"/>
          </w:tcPr>
          <w:p>
            <w:pPr>
              <w:pStyle w:val="58"/>
              <w:rPr>
                <w:rFonts w:hint="eastAsia"/>
              </w:rPr>
            </w:pPr>
            <w:r>
              <w:rPr>
                <w:rFonts w:hint="eastAsia"/>
              </w:rPr>
              <w:t>政策和法律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eastAsia="仿宋"/>
                <w:lang w:eastAsia="zh-CN"/>
              </w:rPr>
            </w:pPr>
            <w:r>
              <w:rPr>
                <w:rFonts w:hint="eastAsia"/>
              </w:rPr>
              <w:t>−上涨的温室气体排放</w:t>
            </w:r>
            <w:r>
              <w:rPr>
                <w:rFonts w:hint="eastAsia"/>
                <w:lang w:eastAsia="zh-CN"/>
              </w:rPr>
              <w:t>配额价格</w:t>
            </w:r>
          </w:p>
          <w:p>
            <w:pPr>
              <w:pStyle w:val="58"/>
              <w:rPr>
                <w:rFonts w:hint="eastAsia"/>
              </w:rPr>
            </w:pPr>
            <w:r>
              <w:t>−强化的排放报告义务</w:t>
            </w:r>
          </w:p>
          <w:p>
            <w:pPr>
              <w:pStyle w:val="58"/>
              <w:rPr>
                <w:rFonts w:hint="eastAsia"/>
              </w:rPr>
            </w:pPr>
            <w:r>
              <w:t>−现有产品和服务的强制要求和监管</w:t>
            </w:r>
          </w:p>
          <w:p>
            <w:pPr>
              <w:pStyle w:val="58"/>
              <w:rPr>
                <w:rFonts w:hint="eastAsia"/>
              </w:rPr>
            </w:pPr>
            <w:r>
              <w:t>−诉讼风险</w:t>
            </w:r>
          </w:p>
        </w:tc>
        <w:tc>
          <w:tcPr>
            <w:tcW w:w="4698" w:type="dxa"/>
          </w:tcPr>
          <w:p>
            <w:pPr>
              <w:pStyle w:val="58"/>
              <w:rPr>
                <w:rFonts w:hint="eastAsia"/>
              </w:rPr>
            </w:pPr>
            <w:r>
              <w:t>−增加的运营成本（例如，更高的合规成本、增加的保险费）</w:t>
            </w:r>
          </w:p>
          <w:p>
            <w:pPr>
              <w:pStyle w:val="58"/>
              <w:rPr>
                <w:rFonts w:hint="eastAsia"/>
              </w:rPr>
            </w:pPr>
            <w:r>
              <w:t>−由于政策变动，</w:t>
            </w:r>
            <w:r>
              <w:rPr>
                <w:rFonts w:hint="eastAsia"/>
              </w:rPr>
              <w:t>现有资产的减值和提前报废</w:t>
            </w:r>
          </w:p>
          <w:p>
            <w:pPr>
              <w:pStyle w:val="58"/>
              <w:rPr>
                <w:rFonts w:hint="eastAsia"/>
              </w:rPr>
            </w:pPr>
            <w:r>
              <w:t>−由于罚款和判决，产品和服务的成本增加和/或相应需求减少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−对现有产品和服务的低排放量替代品</w:t>
            </w:r>
          </w:p>
          <w:p>
            <w:pPr>
              <w:pStyle w:val="58"/>
              <w:rPr>
                <w:rFonts w:hint="eastAsia"/>
              </w:rPr>
            </w:pPr>
            <w:r>
              <w:t>−对新技术的投资失败</w:t>
            </w:r>
          </w:p>
          <w:p>
            <w:pPr>
              <w:pStyle w:val="58"/>
              <w:rPr>
                <w:rFonts w:hint="eastAsia"/>
              </w:rPr>
            </w:pPr>
            <w:r>
              <w:t>−向低排放技术转换的成本</w:t>
            </w:r>
          </w:p>
        </w:tc>
        <w:tc>
          <w:tcPr>
            <w:tcW w:w="4698" w:type="dxa"/>
          </w:tcPr>
          <w:p>
            <w:pPr>
              <w:pStyle w:val="58"/>
              <w:rPr>
                <w:rFonts w:hint="eastAsia"/>
              </w:rPr>
            </w:pPr>
            <w:r>
              <w:t>−</w:t>
            </w:r>
            <w:r>
              <w:rPr>
                <w:rFonts w:hint="eastAsia"/>
              </w:rPr>
              <w:t>现有资产的注销和提前报废</w:t>
            </w:r>
          </w:p>
          <w:p>
            <w:pPr>
              <w:pStyle w:val="58"/>
              <w:rPr>
                <w:rFonts w:hint="eastAsia"/>
              </w:rPr>
            </w:pPr>
            <w:r>
              <w:t>−</w:t>
            </w:r>
            <w:r>
              <w:rPr>
                <w:rFonts w:hint="eastAsia"/>
              </w:rPr>
              <w:t>对现有产品和服务的需求减少</w:t>
            </w:r>
          </w:p>
          <w:p>
            <w:pPr>
              <w:pStyle w:val="58"/>
              <w:rPr>
                <w:rFonts w:hint="eastAsia"/>
              </w:rPr>
            </w:pPr>
            <w:r>
              <w:t>−</w:t>
            </w:r>
            <w:r>
              <w:rPr>
                <w:rFonts w:hint="eastAsia"/>
              </w:rPr>
              <w:t>在创新和替代技术方面的研发（R&amp;D）支出</w:t>
            </w:r>
          </w:p>
          <w:p>
            <w:pPr>
              <w:pStyle w:val="58"/>
              <w:rPr>
                <w:rFonts w:hint="eastAsia"/>
              </w:rPr>
            </w:pPr>
            <w:r>
              <w:t>−</w:t>
            </w:r>
            <w:r>
              <w:rPr>
                <w:rFonts w:hint="eastAsia"/>
              </w:rPr>
              <w:t>在技术开发方面的资金投入</w:t>
            </w:r>
          </w:p>
          <w:p>
            <w:pPr>
              <w:pStyle w:val="58"/>
              <w:rPr>
                <w:rFonts w:hint="eastAsia"/>
              </w:rPr>
            </w:pPr>
            <w:r>
              <w:t>−</w:t>
            </w:r>
            <w:r>
              <w:rPr>
                <w:rFonts w:hint="eastAsia"/>
              </w:rPr>
              <w:t>采用/部署新方法和流程的成本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−不断变化的消费者行为</w:t>
            </w:r>
          </w:p>
          <w:p>
            <w:pPr>
              <w:pStyle w:val="58"/>
              <w:rPr>
                <w:rFonts w:hint="eastAsia"/>
              </w:rPr>
            </w:pPr>
            <w:r>
              <w:t>−市场信号的不确定性</w:t>
            </w:r>
          </w:p>
          <w:p>
            <w:pPr>
              <w:pStyle w:val="58"/>
              <w:rPr>
                <w:rFonts w:hint="eastAsia"/>
              </w:rPr>
            </w:pPr>
            <w:r>
              <w:t>−原材料成本的增加</w:t>
            </w:r>
          </w:p>
        </w:tc>
        <w:tc>
          <w:tcPr>
            <w:tcW w:w="4698" w:type="dxa"/>
          </w:tcPr>
          <w:p>
            <w:pPr>
              <w:pStyle w:val="58"/>
              <w:rPr>
                <w:rFonts w:hint="eastAsia"/>
              </w:rPr>
            </w:pPr>
            <w:r>
              <w:t>−</w:t>
            </w:r>
            <w:r>
              <w:rPr>
                <w:rFonts w:hint="eastAsia"/>
              </w:rPr>
              <w:t>由于消费者偏好的转变，商品和服务的需求减少</w:t>
            </w:r>
          </w:p>
          <w:p>
            <w:pPr>
              <w:pStyle w:val="58"/>
              <w:rPr>
                <w:rFonts w:hint="eastAsia"/>
              </w:rPr>
            </w:pPr>
            <w:r>
              <w:t>−</w:t>
            </w:r>
            <w:r>
              <w:rPr>
                <w:rFonts w:hint="eastAsia"/>
              </w:rPr>
              <w:t>由于投入价格（如能源、水）和产出需求（如废物管理）的不断变化，生产成本增加</w:t>
            </w:r>
          </w:p>
          <w:p>
            <w:pPr>
              <w:pStyle w:val="58"/>
              <w:rPr>
                <w:rFonts w:hint="eastAsia"/>
              </w:rPr>
            </w:pPr>
            <w:r>
              <w:t>−</w:t>
            </w:r>
            <w:r>
              <w:rPr>
                <w:rFonts w:hint="eastAsia"/>
              </w:rPr>
              <w:t>能源成本突然和意外的转变</w:t>
            </w:r>
          </w:p>
          <w:p>
            <w:pPr>
              <w:pStyle w:val="58"/>
              <w:rPr>
                <w:rFonts w:hint="eastAsia"/>
              </w:rPr>
            </w:pPr>
            <w:r>
              <w:t>−</w:t>
            </w:r>
            <w:r>
              <w:rPr>
                <w:rFonts w:hint="eastAsia"/>
              </w:rPr>
              <w:t>由于收入组合和来源的变化，收入减少</w:t>
            </w:r>
          </w:p>
          <w:p>
            <w:pPr>
              <w:pStyle w:val="58"/>
              <w:rPr>
                <w:rFonts w:hint="eastAsia"/>
              </w:rPr>
            </w:pPr>
            <w:r>
              <w:t>−</w:t>
            </w:r>
            <w:r>
              <w:rPr>
                <w:rFonts w:hint="eastAsia"/>
              </w:rPr>
              <w:t>资产的重新定价（如化石燃料的储备、土地估值、证券估值）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消费者偏好的转变</w:t>
            </w:r>
          </w:p>
          <w:p>
            <w:pPr>
              <w:pStyle w:val="58"/>
              <w:rPr>
                <w:rFonts w:hint="eastAsia"/>
              </w:rPr>
            </w:pPr>
            <w:r>
              <w:t>−</w:t>
            </w:r>
            <w:r>
              <w:rPr>
                <w:rFonts w:hint="eastAsia"/>
              </w:rPr>
              <w:t>某些行业的声誉风险</w:t>
            </w:r>
          </w:p>
          <w:p>
            <w:pPr>
              <w:pStyle w:val="58"/>
              <w:rPr>
                <w:rFonts w:hint="eastAsia"/>
              </w:rPr>
            </w:pPr>
            <w:r>
              <w:t>−</w:t>
            </w:r>
            <w:r>
              <w:rPr>
                <w:rFonts w:hint="eastAsia"/>
              </w:rPr>
              <w:t>利益相关方的担忧增加或负面反馈</w:t>
            </w:r>
          </w:p>
        </w:tc>
        <w:tc>
          <w:tcPr>
            <w:tcW w:w="4698" w:type="dxa"/>
          </w:tcPr>
          <w:p>
            <w:pPr>
              <w:pStyle w:val="58"/>
              <w:rPr>
                <w:rFonts w:hint="eastAsia"/>
              </w:rPr>
            </w:pPr>
            <w:r>
              <w:t>−</w:t>
            </w:r>
            <w:r>
              <w:rPr>
                <w:rFonts w:hint="eastAsia"/>
              </w:rPr>
              <w:t>由于商品/服务需求的减少，收入减少</w:t>
            </w:r>
          </w:p>
          <w:p>
            <w:pPr>
              <w:pStyle w:val="58"/>
              <w:rPr>
                <w:rFonts w:hint="eastAsia"/>
              </w:rPr>
            </w:pPr>
            <w:r>
              <w:t>−</w:t>
            </w:r>
            <w:r>
              <w:rPr>
                <w:rFonts w:hint="eastAsia"/>
              </w:rPr>
              <w:t>由于生产能力下降（如计划审批拖延、供应链中断），收入减少</w:t>
            </w:r>
          </w:p>
          <w:p>
            <w:pPr>
              <w:pStyle w:val="58"/>
              <w:rPr>
                <w:rFonts w:hint="eastAsia"/>
              </w:rPr>
            </w:pPr>
            <w:r>
              <w:t>−</w:t>
            </w:r>
            <w:r>
              <w:rPr>
                <w:rFonts w:hint="eastAsia"/>
              </w:rPr>
              <w:t>由于劳动力管理和规划（如吸引和挽留员工）的负面影响，收入减少</w:t>
            </w:r>
          </w:p>
          <w:p>
            <w:pPr>
              <w:pStyle w:val="58"/>
              <w:rPr>
                <w:rFonts w:hint="eastAsia"/>
              </w:rPr>
            </w:pPr>
            <w:r>
              <w:t>−</w:t>
            </w:r>
            <w:r>
              <w:rPr>
                <w:rFonts w:hint="eastAsia"/>
              </w:rPr>
              <w:t>可用资金的减少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物理风险</w:t>
            </w:r>
          </w:p>
        </w:tc>
        <w:tc>
          <w:tcPr>
            <w:tcW w:w="2542" w:type="dxa"/>
          </w:tcPr>
          <w:p>
            <w:pPr>
              <w:pStyle w:val="58"/>
              <w:rPr>
                <w:rFonts w:hint="eastAsia"/>
              </w:rPr>
            </w:pPr>
            <w:r>
              <w:rPr>
                <w:rFonts w:hint="eastAsia"/>
              </w:rPr>
              <w:t>短期</w:t>
            </w:r>
          </w:p>
        </w:tc>
        <w:tc>
          <w:tcPr>
            <w:tcW w:w="4698" w:type="dxa"/>
            <w:vMerge w:val="restart"/>
          </w:tcPr>
          <w:p>
            <w:pPr>
              <w:pStyle w:val="58"/>
              <w:rPr>
                <w:rFonts w:hint="eastAsia"/>
              </w:rPr>
            </w:pPr>
            <w:r>
              <w:t>−</w:t>
            </w:r>
            <w:r>
              <w:rPr>
                <w:rFonts w:hint="eastAsia"/>
              </w:rPr>
              <w:t>由于生产能力下降（如运输困难、供应链中断），收入减少</w:t>
            </w:r>
          </w:p>
          <w:p>
            <w:pPr>
              <w:pStyle w:val="58"/>
              <w:rPr>
                <w:rFonts w:hint="eastAsia"/>
              </w:rPr>
            </w:pPr>
            <w:r>
              <w:t>−</w:t>
            </w:r>
            <w:r>
              <w:rPr>
                <w:rFonts w:hint="eastAsia"/>
              </w:rPr>
              <w:t>由于对劳动力的负面影响（如健康、安全、缺勤），收入减少和成本增加</w:t>
            </w:r>
          </w:p>
          <w:p>
            <w:pPr>
              <w:pStyle w:val="58"/>
              <w:rPr>
                <w:rFonts w:hint="eastAsia"/>
              </w:rPr>
            </w:pPr>
            <w:r>
              <w:t>−</w:t>
            </w:r>
            <w:r>
              <w:rPr>
                <w:rFonts w:hint="eastAsia"/>
              </w:rPr>
              <w:t>现有资产的注销和提前报废（如在极端天气高发地区对财产和资产的损坏）</w:t>
            </w:r>
          </w:p>
          <w:p>
            <w:pPr>
              <w:pStyle w:val="58"/>
              <w:rPr>
                <w:rFonts w:hint="eastAsia"/>
              </w:rPr>
            </w:pPr>
            <w:r>
              <w:t>−</w:t>
            </w:r>
            <w:r>
              <w:rPr>
                <w:rFonts w:hint="eastAsia"/>
              </w:rPr>
              <w:t>运营成本的增加（如水电站的来水不足、核电站和火电厂缺乏足够的冷却水）</w:t>
            </w:r>
          </w:p>
          <w:p>
            <w:pPr>
              <w:pStyle w:val="58"/>
              <w:rPr>
                <w:rFonts w:hint="eastAsia"/>
              </w:rPr>
            </w:pPr>
            <w:r>
              <w:t>−</w:t>
            </w:r>
            <w:r>
              <w:rPr>
                <w:rFonts w:hint="eastAsia"/>
              </w:rPr>
              <w:t>资金成本的增加（如设备损坏）</w:t>
            </w:r>
          </w:p>
          <w:p>
            <w:pPr>
              <w:pStyle w:val="58"/>
              <w:rPr>
                <w:rFonts w:hint="eastAsia"/>
              </w:rPr>
            </w:pPr>
            <w:r>
              <w:t>−</w:t>
            </w:r>
            <w:r>
              <w:rPr>
                <w:rFonts w:hint="eastAsia"/>
              </w:rPr>
              <w:t>销售/产出降低引起的收入减少</w:t>
            </w:r>
          </w:p>
          <w:p>
            <w:pPr>
              <w:pStyle w:val="58"/>
              <w:rPr>
                <w:rFonts w:hint="eastAsia"/>
              </w:rPr>
            </w:pPr>
            <w:r>
              <w:t>−</w:t>
            </w:r>
            <w:r>
              <w:rPr>
                <w:rFonts w:hint="eastAsia"/>
              </w:rPr>
              <w:t>保险费提高以及极端天气高发地区资产可投保险种减少的可能性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极端天气（如</w:t>
            </w:r>
            <w:r>
              <w:rPr>
                <w:rFonts w:hint="eastAsia"/>
                <w:lang w:eastAsia="zh-CN"/>
              </w:rPr>
              <w:t>台</w:t>
            </w:r>
            <w:r>
              <w:rPr>
                <w:rFonts w:hint="eastAsia"/>
              </w:rPr>
              <w:t>风和洪水）恶劣程度的增加</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rPr>
                <w:rFonts w:hint="eastAsia"/>
              </w:rPr>
              <w:t>长期</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降水模式的变化和气候模式的极端波动</w:t>
            </w:r>
          </w:p>
          <w:p>
            <w:pPr>
              <w:pStyle w:val="58"/>
              <w:rPr>
                <w:rFonts w:hint="eastAsia"/>
              </w:rPr>
            </w:pPr>
            <w:r>
              <w:t>−</w:t>
            </w:r>
            <w:r>
              <w:rPr>
                <w:rFonts w:hint="eastAsia"/>
              </w:rPr>
              <w:t>平均气温不断上升</w:t>
            </w:r>
          </w:p>
          <w:p>
            <w:pPr>
              <w:pStyle w:val="58"/>
              <w:rPr>
                <w:rFonts w:hint="eastAsia"/>
              </w:rPr>
            </w:pPr>
            <w:r>
              <w:t>−</w:t>
            </w:r>
            <w:r>
              <w:rPr>
                <w:rFonts w:hint="eastAsia"/>
              </w:rPr>
              <w:t>海平面不断上升</w:t>
            </w:r>
          </w:p>
        </w:tc>
        <w:tc>
          <w:tcPr>
            <w:tcW w:w="4698" w:type="dxa"/>
            <w:vMerge w:val="continue"/>
          </w:tcPr>
          <w:p>
            <w:pPr>
              <w:pStyle w:val="58"/>
              <w:rPr>
                <w:rFonts w:hint="eastAsia"/>
              </w:rPr>
            </w:pPr>
          </w:p>
        </w:tc>
      </w:tr>
    </w:tbl>
    <w:p>
      <w:pPr>
        <w:pStyle w:val="57"/>
      </w:pPr>
      <w:r>
        <w:t>表2.5 气候相关机遇和财务影响的示例</w:t>
      </w:r>
    </w:p>
    <w:tbl>
      <w:tblPr>
        <w:tblStyle w:val="22"/>
        <w:tblW w:w="4827"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44"/>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jc w:val="center"/>
              <w:rPr>
                <w:rFonts w:hint="eastAsia"/>
              </w:rPr>
            </w:pPr>
            <w:r>
              <w:rPr>
                <w:rFonts w:hint="eastAsia"/>
              </w:rPr>
              <w:t>类型</w:t>
            </w:r>
          </w:p>
        </w:tc>
        <w:tc>
          <w:tcPr>
            <w:tcW w:w="1424" w:type="pct"/>
          </w:tcPr>
          <w:p>
            <w:pPr>
              <w:pStyle w:val="58"/>
              <w:jc w:val="center"/>
              <w:rPr>
                <w:rFonts w:hint="eastAsia"/>
              </w:rPr>
            </w:pPr>
            <w:r>
              <w:rPr>
                <w:rFonts w:hint="eastAsia"/>
              </w:rPr>
              <w:t>气候相关机遇</w:t>
            </w:r>
          </w:p>
        </w:tc>
        <w:tc>
          <w:tcPr>
            <w:tcW w:w="2942" w:type="pct"/>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资源效率</w:t>
            </w:r>
          </w:p>
        </w:tc>
        <w:tc>
          <w:tcPr>
            <w:tcW w:w="1424" w:type="pct"/>
          </w:tcPr>
          <w:p>
            <w:pPr>
              <w:pStyle w:val="58"/>
              <w:rPr>
                <w:rFonts w:hint="eastAsia"/>
              </w:rPr>
            </w:pPr>
            <w:r>
              <w:t>−使用更有效率的运输模式</w:t>
            </w:r>
          </w:p>
          <w:p>
            <w:pPr>
              <w:pStyle w:val="58"/>
              <w:rPr>
                <w:rFonts w:hint="eastAsia"/>
              </w:rPr>
            </w:pPr>
            <w:r>
              <w:t>−使用更有效率的生产和配送流程</w:t>
            </w:r>
          </w:p>
          <w:p>
            <w:pPr>
              <w:pStyle w:val="58"/>
              <w:rPr>
                <w:rFonts w:hint="eastAsia"/>
              </w:rPr>
            </w:pPr>
            <w:r>
              <w:t>−使用回收品</w:t>
            </w:r>
          </w:p>
          <w:p>
            <w:pPr>
              <w:pStyle w:val="58"/>
              <w:rPr>
                <w:rFonts w:hint="eastAsia"/>
              </w:rPr>
            </w:pPr>
            <w:r>
              <w:t>−搬到节能效率更高的建筑物</w:t>
            </w:r>
          </w:p>
          <w:p>
            <w:pPr>
              <w:pStyle w:val="58"/>
              <w:rPr>
                <w:rFonts w:hint="eastAsia"/>
              </w:rPr>
            </w:pPr>
            <w:r>
              <w:t>−减少用水和消耗</w:t>
            </w:r>
          </w:p>
        </w:tc>
        <w:tc>
          <w:tcPr>
            <w:tcW w:w="2942" w:type="pct"/>
          </w:tcPr>
          <w:p>
            <w:pPr>
              <w:pStyle w:val="58"/>
              <w:rPr>
                <w:rFonts w:hint="eastAsia"/>
              </w:rPr>
            </w:pPr>
            <w:r>
              <w:t>−降低运营成本（如通过效率提升和降低成本）</w:t>
            </w:r>
          </w:p>
          <w:p>
            <w:pPr>
              <w:pStyle w:val="58"/>
              <w:rPr>
                <w:rFonts w:hint="eastAsia"/>
              </w:rPr>
            </w:pPr>
            <w:r>
              <w:t>−生产能力提高，从而增加收入</w:t>
            </w:r>
          </w:p>
          <w:p>
            <w:pPr>
              <w:pStyle w:val="58"/>
              <w:rPr>
                <w:rFonts w:hint="eastAsia"/>
              </w:rPr>
            </w:pPr>
            <w:r>
              <w:t>−固定资产的价值增加（如节能效率等级高的建筑）</w:t>
            </w:r>
          </w:p>
          <w:p>
            <w:pPr>
              <w:pStyle w:val="58"/>
              <w:rPr>
                <w:rFonts w:hint="eastAsia"/>
              </w:rPr>
            </w:pPr>
            <w:r>
              <w:t>−劳动力管理和规划的收益（如健康水平和安全条件的改善、员工的满意度）而带来的成本下降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能源效率</w:t>
            </w:r>
          </w:p>
        </w:tc>
        <w:tc>
          <w:tcPr>
            <w:tcW w:w="1424" w:type="pct"/>
          </w:tcPr>
          <w:p>
            <w:pPr>
              <w:pStyle w:val="58"/>
              <w:rPr>
                <w:rFonts w:hint="eastAsia"/>
              </w:rPr>
            </w:pPr>
            <w:r>
              <w:t>−使用低排放的能源</w:t>
            </w:r>
          </w:p>
          <w:p>
            <w:pPr>
              <w:pStyle w:val="58"/>
              <w:rPr>
                <w:rFonts w:hint="eastAsia"/>
              </w:rPr>
            </w:pPr>
            <w:r>
              <w:t>−使用政策支持激励</w:t>
            </w:r>
          </w:p>
          <w:p>
            <w:pPr>
              <w:pStyle w:val="58"/>
              <w:rPr>
                <w:rFonts w:hint="eastAsia"/>
              </w:rPr>
            </w:pPr>
            <w:r>
              <w:t>−使用新技术</w:t>
            </w:r>
          </w:p>
          <w:p>
            <w:pPr>
              <w:pStyle w:val="58"/>
              <w:rPr>
                <w:rFonts w:hint="eastAsia"/>
              </w:rPr>
            </w:pPr>
            <w:r>
              <w:t>−参与碳市场</w:t>
            </w:r>
          </w:p>
          <w:p>
            <w:pPr>
              <w:pStyle w:val="58"/>
              <w:rPr>
                <w:rFonts w:hint="eastAsia"/>
              </w:rPr>
            </w:pPr>
            <w:r>
              <w:t>−转向分散的能源产生</w:t>
            </w:r>
            <w:r>
              <w:rPr>
                <w:rFonts w:hint="eastAsia"/>
              </w:rPr>
              <w:t>来源（如增加清洁能源的占比）</w:t>
            </w:r>
          </w:p>
        </w:tc>
        <w:tc>
          <w:tcPr>
            <w:tcW w:w="2942" w:type="pct"/>
          </w:tcPr>
          <w:p>
            <w:pPr>
              <w:pStyle w:val="58"/>
              <w:rPr>
                <w:rFonts w:hint="eastAsia"/>
              </w:rPr>
            </w:pPr>
            <w:r>
              <w:t>−运营成本的降低（如通过使用最低成本的减排方法）</w:t>
            </w:r>
          </w:p>
          <w:p>
            <w:pPr>
              <w:pStyle w:val="58"/>
              <w:rPr>
                <w:rFonts w:hint="eastAsia"/>
              </w:rPr>
            </w:pPr>
            <w:r>
              <w:t>−减少未来化石燃料价格上涨带来的影响</w:t>
            </w:r>
          </w:p>
          <w:p>
            <w:pPr>
              <w:pStyle w:val="58"/>
              <w:rPr>
                <w:rFonts w:hint="eastAsia"/>
              </w:rPr>
            </w:pPr>
            <w:r>
              <w:t>−减少温室气体的排放，从而减少对碳排放成本变化的敏感性</w:t>
            </w:r>
          </w:p>
          <w:p>
            <w:pPr>
              <w:pStyle w:val="58"/>
              <w:rPr>
                <w:rFonts w:hint="eastAsia"/>
              </w:rPr>
            </w:pPr>
            <w:r>
              <w:t>−低排放技术投资的回报</w:t>
            </w:r>
          </w:p>
          <w:p>
            <w:pPr>
              <w:pStyle w:val="58"/>
              <w:rPr>
                <w:rFonts w:hint="eastAsia"/>
              </w:rPr>
            </w:pPr>
            <w:r>
              <w:t>−可用资金的增加（如</w:t>
            </w:r>
            <w:r>
              <w:rPr>
                <w:rFonts w:hint="eastAsia"/>
              </w:rPr>
              <w:t>更多</w:t>
            </w:r>
            <w:r>
              <w:t>的投资者青睐低排放的制造商）</w:t>
            </w:r>
          </w:p>
          <w:p>
            <w:pPr>
              <w:pStyle w:val="58"/>
              <w:rPr>
                <w:rFonts w:hint="eastAsia"/>
              </w:rPr>
            </w:pPr>
            <w:r>
              <w:t>−声誉变好使产品/服务的需求增加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产品和服务</w:t>
            </w:r>
          </w:p>
        </w:tc>
        <w:tc>
          <w:tcPr>
            <w:tcW w:w="1424" w:type="pct"/>
          </w:tcPr>
          <w:p>
            <w:pPr>
              <w:pStyle w:val="58"/>
              <w:rPr>
                <w:rFonts w:hint="eastAsia"/>
              </w:rPr>
            </w:pPr>
            <w:r>
              <w:t>−低排放</w:t>
            </w:r>
            <w:r>
              <w:rPr>
                <w:rFonts w:hint="eastAsia"/>
                <w:lang w:eastAsia="zh-CN"/>
              </w:rPr>
              <w:t>产</w:t>
            </w:r>
            <w:r>
              <w:t>品和服务的发展和/或扩张</w:t>
            </w:r>
          </w:p>
          <w:p>
            <w:pPr>
              <w:pStyle w:val="58"/>
              <w:rPr>
                <w:rFonts w:hint="eastAsia"/>
              </w:rPr>
            </w:pPr>
            <w:r>
              <w:t>−发展适应气候变化的需求（如保险</w:t>
            </w:r>
            <w:r>
              <w:rPr>
                <w:rFonts w:hint="eastAsia"/>
                <w:lang w:eastAsia="zh-CN"/>
              </w:rPr>
              <w:t>中的</w:t>
            </w:r>
            <w:r>
              <w:t>风险转移产品和服务）</w:t>
            </w:r>
          </w:p>
          <w:p>
            <w:pPr>
              <w:pStyle w:val="58"/>
              <w:rPr>
                <w:rFonts w:hint="eastAsia"/>
              </w:rPr>
            </w:pPr>
            <w:r>
              <w:t>−通过研发和创新开发新产品或服务</w:t>
            </w:r>
          </w:p>
          <w:p>
            <w:pPr>
              <w:pStyle w:val="58"/>
              <w:rPr>
                <w:rFonts w:hint="eastAsia"/>
              </w:rPr>
            </w:pPr>
            <w:r>
              <w:t>−多元化经营的能力</w:t>
            </w:r>
          </w:p>
          <w:p>
            <w:pPr>
              <w:pStyle w:val="58"/>
              <w:rPr>
                <w:rFonts w:hint="eastAsia"/>
              </w:rPr>
            </w:pPr>
            <w:r>
              <w:t>−消费者偏好的转变</w:t>
            </w:r>
          </w:p>
        </w:tc>
        <w:tc>
          <w:tcPr>
            <w:tcW w:w="2942" w:type="pct"/>
          </w:tcPr>
          <w:p>
            <w:pPr>
              <w:pStyle w:val="58"/>
              <w:rPr>
                <w:rFonts w:hint="eastAsia"/>
              </w:rPr>
            </w:pPr>
            <w:r>
              <w:t>−对低排放产品和服务的需求增加使收入增加</w:t>
            </w:r>
          </w:p>
          <w:p>
            <w:pPr>
              <w:pStyle w:val="58"/>
              <w:rPr>
                <w:rFonts w:hint="eastAsia"/>
              </w:rPr>
            </w:pPr>
            <w:r>
              <w:t>−</w:t>
            </w:r>
            <w:r>
              <w:rPr>
                <w:rFonts w:hint="eastAsia"/>
              </w:rPr>
              <w:t>提供适应需求的新解决方案增加收入（如保险中的风险转嫁产品和服务）</w:t>
            </w:r>
          </w:p>
          <w:p>
            <w:pPr>
              <w:pStyle w:val="58"/>
              <w:rPr>
                <w:rFonts w:hint="eastAsia"/>
              </w:rPr>
            </w:pPr>
            <w:r>
              <w:t>−</w:t>
            </w:r>
            <w:r>
              <w:rPr>
                <w:rFonts w:hint="eastAsia"/>
              </w:rPr>
              <w:t>符合消费者偏好的转变而处于更好的竞争位置，使收入增加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市场</w:t>
            </w:r>
          </w:p>
        </w:tc>
        <w:tc>
          <w:tcPr>
            <w:tcW w:w="1424" w:type="pct"/>
          </w:tcPr>
          <w:p>
            <w:pPr>
              <w:pStyle w:val="58"/>
              <w:rPr>
                <w:rFonts w:hint="eastAsia"/>
              </w:rPr>
            </w:pPr>
            <w:r>
              <w:t>−进入新市场</w:t>
            </w:r>
          </w:p>
          <w:p>
            <w:pPr>
              <w:pStyle w:val="58"/>
              <w:rPr>
                <w:rFonts w:hint="eastAsia"/>
              </w:rPr>
            </w:pPr>
            <w:r>
              <w:t>−</w:t>
            </w:r>
            <w:r>
              <w:rPr>
                <w:rFonts w:hint="eastAsia"/>
              </w:rPr>
              <w:t>申请获得</w:t>
            </w:r>
            <w:r>
              <w:t>公共部门的激励</w:t>
            </w:r>
            <w:r>
              <w:rPr>
                <w:rFonts w:hint="eastAsia"/>
              </w:rPr>
              <w:t>和奖励</w:t>
            </w:r>
          </w:p>
          <w:p>
            <w:pPr>
              <w:pStyle w:val="58"/>
              <w:rPr>
                <w:rFonts w:hint="eastAsia"/>
              </w:rPr>
            </w:pPr>
            <w:r>
              <w:t>−进入需要保险覆盖的新资产和地区</w:t>
            </w:r>
          </w:p>
        </w:tc>
        <w:tc>
          <w:tcPr>
            <w:tcW w:w="2942" w:type="pct"/>
          </w:tcPr>
          <w:p>
            <w:pPr>
              <w:pStyle w:val="58"/>
              <w:rPr>
                <w:rFonts w:hint="eastAsia"/>
              </w:rPr>
            </w:pPr>
            <w:r>
              <w:t>−通过进入新市场（如和政府、开发银行合作）增加了收入</w:t>
            </w:r>
          </w:p>
          <w:p>
            <w:pPr>
              <w:pStyle w:val="58"/>
              <w:rPr>
                <w:rFonts w:hint="eastAsia"/>
              </w:rPr>
            </w:pPr>
            <w:r>
              <w:t>−增加金融资产的多元化（如绿色债券和基础设施</w:t>
            </w:r>
            <w:r>
              <w:rPr>
                <w:rFonts w:hint="eastAsia"/>
              </w:rPr>
              <w:t>资产支持证券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适应性</w:t>
            </w:r>
          </w:p>
        </w:tc>
        <w:tc>
          <w:tcPr>
            <w:tcW w:w="1424" w:type="pct"/>
          </w:tcPr>
          <w:p>
            <w:pPr>
              <w:pStyle w:val="58"/>
              <w:rPr>
                <w:rFonts w:hint="eastAsia"/>
              </w:rPr>
            </w:pPr>
            <w:r>
              <w:t>−参与可再生能源项目，</w:t>
            </w:r>
            <w:r>
              <w:rPr>
                <w:rFonts w:hint="eastAsia"/>
                <w:lang w:eastAsia="zh-CN"/>
              </w:rPr>
              <w:t>采取</w:t>
            </w:r>
            <w:r>
              <w:t>节能措施</w:t>
            </w:r>
          </w:p>
          <w:p>
            <w:pPr>
              <w:pStyle w:val="58"/>
              <w:rPr>
                <w:rFonts w:hint="eastAsia"/>
              </w:rPr>
            </w:pPr>
            <w:r>
              <w:t>−资源替代/多样化</w:t>
            </w:r>
          </w:p>
        </w:tc>
        <w:tc>
          <w:tcPr>
            <w:tcW w:w="2942" w:type="pct"/>
          </w:tcPr>
          <w:p>
            <w:pPr>
              <w:pStyle w:val="58"/>
              <w:rPr>
                <w:rFonts w:hint="eastAsia"/>
              </w:rPr>
            </w:pPr>
            <w:r>
              <w:t>−通过风险抵御</w:t>
            </w:r>
            <w:r>
              <w:rPr>
                <w:rFonts w:hint="eastAsia"/>
              </w:rPr>
              <w:t>措施</w:t>
            </w:r>
            <w:r>
              <w:t>提高</w:t>
            </w:r>
            <w:r>
              <w:rPr>
                <w:rFonts w:hint="eastAsia"/>
              </w:rPr>
              <w:t>项目（如基础设施、土地、建筑）</w:t>
            </w:r>
            <w:r>
              <w:t>市场估值</w:t>
            </w:r>
          </w:p>
          <w:p>
            <w:pPr>
              <w:pStyle w:val="58"/>
              <w:rPr>
                <w:rFonts w:hint="eastAsia"/>
              </w:rPr>
            </w:pPr>
            <w:r>
              <w:t>−提高在各种条件下供应链的可靠性和经营能力</w:t>
            </w:r>
          </w:p>
          <w:p>
            <w:pPr>
              <w:pStyle w:val="58"/>
              <w:rPr>
                <w:rFonts w:hint="eastAsia"/>
              </w:rPr>
            </w:pPr>
            <w:r>
              <w:t>−通过新产品和服务确保</w:t>
            </w:r>
            <w:r>
              <w:rPr>
                <w:rFonts w:hint="eastAsia"/>
              </w:rPr>
              <w:t>稳健经营</w:t>
            </w:r>
            <w:r>
              <w:t>，从而增加收入</w:t>
            </w:r>
          </w:p>
        </w:tc>
      </w:tr>
    </w:tbl>
    <w:p>
      <w:pPr>
        <w:pStyle w:val="4"/>
        <w:rPr>
          <w:rFonts w:hint="eastAsia"/>
        </w:rPr>
      </w:pPr>
      <w:bookmarkStart w:id="184" w:name="_Toc29813"/>
      <w:bookmarkStart w:id="185" w:name="_Toc31330"/>
      <w:bookmarkStart w:id="186" w:name="_Toc179988026"/>
      <w:bookmarkStart w:id="187" w:name="_Toc177241759"/>
      <w:bookmarkStart w:id="188" w:name="_Toc30507"/>
      <w:bookmarkStart w:id="189" w:name="_Toc177672320"/>
      <w:r>
        <w:rPr>
          <w:rFonts w:hint="eastAsia"/>
        </w:rPr>
        <w:t>四、气候相关财务影响的评估</w:t>
      </w:r>
      <w:bookmarkEnd w:id="184"/>
      <w:bookmarkEnd w:id="185"/>
      <w:bookmarkEnd w:id="186"/>
      <w:bookmarkEnd w:id="187"/>
      <w:bookmarkEnd w:id="188"/>
      <w:bookmarkEnd w:id="189"/>
      <w:r>
        <w:rPr>
          <w:rFonts w:hint="eastAsia"/>
        </w:rPr>
        <w:t>流程</w:t>
      </w:r>
    </w:p>
    <w:p>
      <w:pPr>
        <w:rPr>
          <w:rFonts w:ascii="仿宋_GB2312" w:hAnsi="Times New Roman" w:eastAsia="仿宋_GB2312"/>
          <w:szCs w:val="30"/>
        </w:rPr>
      </w:pPr>
      <w:r>
        <w:rPr>
          <w:rFonts w:hint="eastAsia"/>
        </w:rPr>
        <w:t>在分析气候相关财务影响之前，披露主体应该了解并遵守与其相关的可持续和气候标准、法规和监管政策，披露主体可以通过以下四个步骤分析气候相关财务影响：</w:t>
      </w:r>
    </w:p>
    <w:p>
      <w:pPr>
        <w:pStyle w:val="5"/>
        <w:rPr>
          <w:rFonts w:ascii="仿宋_GB2312" w:hAnsi="Times New Roman" w:eastAsia="仿宋_GB2312" w:cs="Times New Roman"/>
          <w:b/>
          <w:bCs/>
          <w:szCs w:val="30"/>
        </w:rPr>
      </w:pPr>
      <w:bookmarkStart w:id="190" w:name="_Toc179988027"/>
      <w:r>
        <w:rPr>
          <w:rFonts w:hint="eastAsia"/>
        </w:rPr>
        <w:t>步骤一：了解与气候相关的公司活动和业务关系背景</w:t>
      </w:r>
      <w:bookmarkEnd w:id="190"/>
    </w:p>
    <w:p>
      <w:pPr>
        <w:rPr>
          <w:rFonts w:hint="eastAsia"/>
        </w:rPr>
      </w:pPr>
      <w:r>
        <w:rPr>
          <w:rFonts w:hint="eastAsia"/>
        </w:rPr>
        <w:t>此步骤详见本指南第一章影响重要性评估部分步骤一。</w:t>
      </w:r>
    </w:p>
    <w:p>
      <w:pPr>
        <w:pStyle w:val="5"/>
        <w:rPr>
          <w:rFonts w:hint="eastAsia"/>
        </w:rPr>
      </w:pPr>
      <w:bookmarkStart w:id="191" w:name="_Toc179988028"/>
      <w:r>
        <w:rPr>
          <w:rFonts w:hint="eastAsia"/>
        </w:rPr>
        <w:t>步骤二：分析气候相关财务影响</w:t>
      </w:r>
      <w:bookmarkEnd w:id="191"/>
      <w:r>
        <w:rPr>
          <w:rFonts w:hint="eastAsia"/>
        </w:rPr>
        <w:t>的方式</w:t>
      </w:r>
    </w:p>
    <w:p>
      <w:pPr>
        <w:rPr>
          <w:rFonts w:hint="eastAsia"/>
        </w:rPr>
      </w:pPr>
      <w:r>
        <w:rPr>
          <w:rFonts w:hint="eastAsia"/>
        </w:rPr>
        <w:t>披露主体可以针对识别的重大气候相关风险和机遇，分析对披露主体经营活动的影响以及产生的财务影响。</w:t>
      </w:r>
    </w:p>
    <w:p>
      <w:pPr>
        <w:rPr>
          <w:rFonts w:hint="eastAsia"/>
        </w:rPr>
      </w:pPr>
      <w:r>
        <w:rPr>
          <w:rFonts w:hint="eastAsia"/>
        </w:rPr>
        <w:t>分析要素包括：气候相关风险</w:t>
      </w:r>
      <w:r>
        <w:t>/</w:t>
      </w:r>
      <w:r>
        <w:rPr>
          <w:rFonts w:hint="eastAsia"/>
        </w:rPr>
        <w:t>机遇；气候相关风险</w:t>
      </w:r>
      <w:r>
        <w:t>/</w:t>
      </w:r>
      <w:r>
        <w:rPr>
          <w:rFonts w:hint="eastAsia"/>
        </w:rPr>
        <w:t>机遇产生的直接和间接结果；对业务活动的影响，如商业模式、业务运营、发展战略、融资方式等；以及财务影响等。</w:t>
      </w:r>
    </w:p>
    <w:p>
      <w:pPr>
        <w:spacing w:line="240" w:lineRule="auto"/>
        <w:ind w:firstLine="0" w:firstLineChars="0"/>
        <w:jc w:val="center"/>
        <w:rPr>
          <w:rFonts w:ascii="仿宋_GB2312" w:hAnsi="Times New Roman" w:eastAsia="仿宋_GB2312"/>
          <w:sz w:val="30"/>
          <w:szCs w:val="30"/>
        </w:rPr>
      </w:pPr>
      <w:r>
        <w:rPr>
          <w:rFonts w:hint="eastAsia" w:ascii="仿宋_GB2312" w:hAnsi="Times New Roman" w:eastAsia="仿宋_GB2312"/>
          <w:sz w:val="30"/>
          <w:szCs w:val="30"/>
        </w:rPr>
        <w:drawing>
          <wp:inline distT="0" distB="0" distL="114300" distR="114300">
            <wp:extent cx="5285740" cy="2772410"/>
            <wp:effectExtent l="0" t="0" r="10160" b="8890"/>
            <wp:docPr id="2" name="图片 2" descr="微信图片_2024110517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5174930"/>
                    <pic:cNvPicPr>
                      <a:picLocks noChangeAspect="1"/>
                    </pic:cNvPicPr>
                  </pic:nvPicPr>
                  <pic:blipFill>
                    <a:blip r:embed="rId22"/>
                    <a:stretch>
                      <a:fillRect/>
                    </a:stretch>
                  </pic:blipFill>
                  <pic:spPr>
                    <a:xfrm>
                      <a:off x="0" y="0"/>
                      <a:ext cx="5285740" cy="2772410"/>
                    </a:xfrm>
                    <a:prstGeom prst="rect">
                      <a:avLst/>
                    </a:prstGeom>
                  </pic:spPr>
                </pic:pic>
              </a:graphicData>
            </a:graphic>
          </wp:inline>
        </w:drawing>
      </w:r>
    </w:p>
    <w:p>
      <w:pPr>
        <w:pStyle w:val="57"/>
        <w:rPr>
          <w:rFonts w:hint="default" w:ascii="仿宋_GB2312" w:hAnsi="Times New Roman" w:eastAsia="仿宋_GB2312"/>
          <w:szCs w:val="30"/>
        </w:rPr>
      </w:pPr>
      <w:r>
        <w:t>图2.2 气候相关财务影响方式的分析示例</w:t>
      </w:r>
    </w:p>
    <w:p>
      <w:pPr>
        <w:pStyle w:val="5"/>
        <w:rPr>
          <w:rFonts w:ascii="仿宋_GB2312" w:hAnsi="Times New Roman" w:eastAsia="仿宋_GB2312" w:cs="Times New Roman"/>
          <w:b/>
          <w:bCs/>
          <w:szCs w:val="30"/>
        </w:rPr>
      </w:pPr>
      <w:bookmarkStart w:id="192" w:name="_Toc179988029"/>
      <w:r>
        <w:rPr>
          <w:rFonts w:hint="eastAsia"/>
        </w:rPr>
        <w:t>步骤三：气候相关财务影响的评估与确认</w:t>
      </w:r>
      <w:bookmarkEnd w:id="192"/>
    </w:p>
    <w:p>
      <w:pPr>
        <w:rPr>
          <w:rFonts w:hint="eastAsia"/>
        </w:rPr>
      </w:pPr>
      <w:r>
        <w:rPr>
          <w:rFonts w:hint="eastAsia"/>
        </w:rPr>
        <w:t>公司应当结合自身所处行业和经营业务的特点等情况，识别与气候相关的经济、环境和社会因素对披露主体的商业模式、业务运营、发展战略、财务状况、经营成果、现金流、融资方式等产生的影响。</w:t>
      </w:r>
    </w:p>
    <w:p>
      <w:pPr>
        <w:rPr>
          <w:rFonts w:hint="eastAsia"/>
        </w:rPr>
      </w:pPr>
      <w:r>
        <w:rPr>
          <w:rFonts w:hint="eastAsia"/>
        </w:rPr>
        <w:t>气候相关财务重要性评估要结合风险和机遇发生的可能性和财务影响的程度判断。气候相关财务重要性的评估流程包括：分析财务重要性评估因素、利益相关方与专家参与、设置判定财务重要性的阈值、形成财务重要性评估结论。就气候议题财务重要性评估结果与设置的重要性阈值进行比较，确定该议题是否具有财务重要性。（具体财务重要性评估要点详见本指南第一章）</w:t>
      </w:r>
    </w:p>
    <w:p>
      <w:pPr>
        <w:rPr>
          <w:rFonts w:hint="eastAsia" w:ascii="仿宋_GB2312" w:hAnsi="仿宋_GB2312" w:eastAsia="仿宋_GB2312" w:cs="仿宋_GB2312"/>
          <w:szCs w:val="30"/>
          <w:lang w:bidi="ar"/>
        </w:rPr>
      </w:pPr>
      <w:r>
        <w:rPr>
          <w:rFonts w:hint="eastAsia"/>
        </w:rPr>
        <w:t>此外，披露主体在评估气候相关财务影响时，可以与投资者、债权人等利益相关方保持沟通。（具体详见本</w:t>
      </w:r>
      <w:r>
        <w:rPr>
          <w:rFonts w:hint="eastAsia" w:ascii="仿宋_GB2312" w:hAnsi="Times New Roman" w:eastAsia="仿宋_GB2312"/>
          <w:szCs w:val="30"/>
        </w:rPr>
        <w:t>指南</w:t>
      </w:r>
      <w:r>
        <w:rPr>
          <w:rFonts w:hint="eastAsia"/>
        </w:rPr>
        <w:t>第一章</w:t>
      </w:r>
      <w:r>
        <w:rPr>
          <w:rFonts w:hint="eastAsia" w:ascii="仿宋_GB2312" w:hAnsi="Times New Roman" w:eastAsia="仿宋_GB2312"/>
          <w:szCs w:val="30"/>
        </w:rPr>
        <w:t>）</w:t>
      </w:r>
    </w:p>
    <w:p>
      <w:pPr>
        <w:pStyle w:val="5"/>
        <w:rPr>
          <w:rFonts w:hint="eastAsia"/>
        </w:rPr>
      </w:pPr>
      <w:bookmarkStart w:id="193" w:name="_Toc179988030"/>
      <w:r>
        <w:rPr>
          <w:rFonts w:hint="eastAsia"/>
        </w:rPr>
        <w:t>步骤四：气候相关影响的报告</w:t>
      </w:r>
      <w:bookmarkEnd w:id="193"/>
    </w:p>
    <w:p>
      <w:pPr>
        <w:rPr>
          <w:rFonts w:hint="eastAsia" w:ascii="仿宋_GB2312" w:hAnsi="仿宋_GB2312" w:eastAsia="仿宋_GB2312" w:cs="仿宋_GB2312"/>
          <w:szCs w:val="30"/>
          <w:lang w:bidi="ar"/>
        </w:rPr>
      </w:pPr>
      <w:r>
        <w:rPr>
          <w:rFonts w:hint="eastAsia"/>
        </w:rPr>
        <w:t>在完成气候相关财务重要性评估后，披露主体应对外报告议题重要性的分析过程及其结果。（具体要点详见本指南第一章）</w:t>
      </w:r>
    </w:p>
    <w:p>
      <w:pPr>
        <w:rPr>
          <w:rFonts w:hint="eastAsia"/>
        </w:rPr>
      </w:pPr>
    </w:p>
    <w:p>
      <w:pPr>
        <w:ind w:firstLine="0" w:firstLineChars="0"/>
        <w:jc w:val="center"/>
        <w:rPr>
          <w:rFonts w:hint="eastAsia" w:eastAsia="黑体"/>
          <w:b/>
          <w:bCs/>
          <w:sz w:val="30"/>
          <w:szCs w:val="30"/>
        </w:rPr>
        <w:sectPr>
          <w:footerReference r:id="rId5" w:type="default"/>
          <w:pgSz w:w="11906" w:h="16838"/>
          <w:pgMar w:top="1440" w:right="1800" w:bottom="1440" w:left="1800" w:header="851" w:footer="992" w:gutter="0"/>
          <w:cols w:space="720" w:num="1"/>
          <w:docGrid w:type="lines" w:linePitch="312" w:charSpace="0"/>
        </w:sectPr>
      </w:pPr>
    </w:p>
    <w:p>
      <w:pPr>
        <w:pStyle w:val="3"/>
        <w:rPr>
          <w:rFonts w:ascii="Times New Roman" w:hAnsi="Times New Roman" w:eastAsia="黑体" w:cs="Times New Roman"/>
          <w:b/>
          <w:bCs/>
          <w:szCs w:val="30"/>
        </w:rPr>
      </w:pPr>
      <w:bookmarkStart w:id="194" w:name="_Toc179988031"/>
      <w:bookmarkStart w:id="195" w:name="_Toc7060"/>
      <w:r>
        <w:rPr>
          <w:rFonts w:hint="eastAsia"/>
        </w:rPr>
        <w:t>第三节</w:t>
      </w:r>
      <w:r>
        <w:t xml:space="preserve"> </w:t>
      </w:r>
      <w:r>
        <w:rPr>
          <w:rFonts w:hint="eastAsia"/>
        </w:rPr>
        <w:t>气候适应性和气候相关情景分析</w:t>
      </w:r>
      <w:bookmarkEnd w:id="194"/>
      <w:bookmarkEnd w:id="195"/>
    </w:p>
    <w:p>
      <w:pPr>
        <w:pStyle w:val="4"/>
        <w:rPr>
          <w:rFonts w:hint="eastAsia"/>
          <w:szCs w:val="30"/>
        </w:rPr>
      </w:pPr>
      <w:bookmarkStart w:id="196" w:name="_Toc179988032"/>
      <w:r>
        <w:rPr>
          <w:rFonts w:hint="eastAsia"/>
        </w:rPr>
        <w:t>一、气候适应性</w:t>
      </w:r>
      <w:bookmarkEnd w:id="196"/>
    </w:p>
    <w:p>
      <w:pPr>
        <w:rPr>
          <w:rFonts w:hint="eastAsia"/>
        </w:rPr>
      </w:pPr>
      <w:r>
        <w:rPr>
          <w:rFonts w:hint="eastAsia"/>
        </w:rPr>
        <w:t>气候适应性是指公司管理与气候有关的风险和从与气候有关的机遇中获益的能力，包括其战略适应性和应对气候相关变化或不确定性的业务适应性。情景分析是指在不确定的条件下，确定和评估未来事件的潜在</w:t>
      </w:r>
      <w:r>
        <w:rPr>
          <w:rFonts w:hint="eastAsia"/>
          <w:lang w:eastAsia="zh-CN"/>
        </w:rPr>
        <w:t>影响</w:t>
      </w:r>
      <w:r>
        <w:rPr>
          <w:rFonts w:hint="eastAsia"/>
        </w:rPr>
        <w:t>范围的方法，是评估气候适应性的常见工具。就气候变化而言，披露主体可以使用气候相关情景分析，评估气候变化的物理风险和转型风险未来可能如何影响其业务、战略和财务状况。</w:t>
      </w:r>
    </w:p>
    <w:p>
      <w:pPr>
        <w:pStyle w:val="4"/>
        <w:rPr>
          <w:rFonts w:hint="eastAsia"/>
          <w:szCs w:val="30"/>
        </w:rPr>
      </w:pPr>
      <w:bookmarkStart w:id="197" w:name="_Toc179988033"/>
      <w:r>
        <w:rPr>
          <w:rFonts w:hint="eastAsia"/>
        </w:rPr>
        <w:t>二、气候相关情景分析</w:t>
      </w:r>
      <w:bookmarkEnd w:id="197"/>
    </w:p>
    <w:p>
      <w:pPr>
        <w:rPr>
          <w:rFonts w:hint="eastAsia"/>
        </w:rPr>
      </w:pPr>
      <w:r>
        <w:rPr>
          <w:rFonts w:hint="eastAsia"/>
        </w:rPr>
        <w:t>在识别、分析和管理气候相关风险和机遇时，披露主体可以利用与气候相关的情景，了解气候变化的物理风险及转型风险与机遇，如何随着时间的推移对其业务产生合理影响。</w:t>
      </w:r>
    </w:p>
    <w:p>
      <w:pPr>
        <w:rPr>
          <w:rFonts w:hint="eastAsia"/>
        </w:rPr>
      </w:pPr>
      <w:r>
        <w:rPr>
          <w:rFonts w:hint="eastAsia"/>
        </w:rPr>
        <w:t>整体而言，气候相关情景分析通过模拟的方式，展示了在不同的经济发展、能源使用条件下世界可能演变的方式，以及相应的气候变化后果。</w:t>
      </w:r>
    </w:p>
    <w:p>
      <w:pPr>
        <w:rPr>
          <w:rFonts w:hint="eastAsia"/>
        </w:rPr>
      </w:pPr>
      <w:r>
        <w:rPr>
          <w:rFonts w:hint="eastAsia"/>
        </w:rPr>
        <w:t>使用气候相关情景分析，可以帮助披露主体建立和评估气候变化对业务、战略和财务产生影响的潜在范围，以及可能需要在战略和财务规划中考虑的行动。</w:t>
      </w:r>
    </w:p>
    <w:p>
      <w:pPr>
        <w:rPr>
          <w:rFonts w:hint="eastAsia"/>
        </w:rPr>
      </w:pPr>
      <w:r>
        <w:rPr>
          <w:rFonts w:hint="eastAsia"/>
        </w:rPr>
        <w:t>将气候相关情景与公司战略相结合进行分析，可以探究公司发展策略和方向，能承受的风险程度，辅助公司识别潜在风险和机遇点，提前做好应对准备。</w:t>
      </w:r>
    </w:p>
    <w:p>
      <w:pPr>
        <w:rPr>
          <w:rFonts w:hint="eastAsia"/>
        </w:rPr>
      </w:pPr>
      <w:r>
        <w:rPr>
          <w:rFonts w:hint="eastAsia"/>
        </w:rPr>
        <w:t>在缺乏具体可用的关系和趋势数据时，气候相关情景分析可以是定性分析，即依赖于描述性的非数值型信息。气候相关情景分析也可以是定量分析，利用数字数据、模型和其他分析技术，评估可衡量的趋势和关系。</w:t>
      </w:r>
    </w:p>
    <w:p>
      <w:pPr>
        <w:pStyle w:val="4"/>
        <w:rPr>
          <w:rFonts w:ascii="Times New Roman" w:hAnsi="Times New Roman"/>
          <w:szCs w:val="30"/>
        </w:rPr>
      </w:pPr>
      <w:bookmarkStart w:id="198" w:name="_Toc179988034"/>
      <w:r>
        <w:rPr>
          <w:rFonts w:hint="eastAsia"/>
        </w:rPr>
        <w:t>三、气候相关情景分析的一般流</w:t>
      </w:r>
      <w:bookmarkEnd w:id="198"/>
      <w:r>
        <w:rPr>
          <w:rFonts w:hint="eastAsia"/>
        </w:rPr>
        <w:t>程</w:t>
      </w:r>
    </w:p>
    <w:p>
      <w:pPr>
        <w:rPr>
          <w:rFonts w:ascii="仿宋_GB2312" w:hAnsi="Times New Roman" w:eastAsia="仿宋_GB2312"/>
          <w:szCs w:val="30"/>
        </w:rPr>
      </w:pPr>
      <w:r>
        <w:rPr>
          <w:rFonts w:hint="eastAsia"/>
        </w:rPr>
        <w:t>披露主体可以通过以下五个步骤进行气候相关情景分析：</w:t>
      </w:r>
    </w:p>
    <w:p>
      <w:pPr>
        <w:pStyle w:val="5"/>
        <w:rPr>
          <w:rFonts w:hint="eastAsia"/>
        </w:rPr>
      </w:pPr>
      <w:r>
        <w:rPr>
          <w:rFonts w:hint="eastAsia"/>
        </w:rPr>
        <w:t>步骤一：确定开展气候相关情景分析的范围</w:t>
      </w:r>
    </w:p>
    <w:p>
      <w:pPr>
        <w:rPr>
          <w:rFonts w:hint="eastAsia"/>
        </w:rPr>
      </w:pPr>
      <w:r>
        <w:rPr>
          <w:rFonts w:hint="eastAsia"/>
        </w:rPr>
        <w:t>披露主体在进行情景分析时，可先考虑确定开展气候相关情景分析的范围。随着披露主体经验积累，可考虑逐步扩大情景分析所覆盖的业务及风险范围等。</w:t>
      </w:r>
    </w:p>
    <w:p>
      <w:pPr>
        <w:pStyle w:val="57"/>
        <w:rPr>
          <w:rFonts w:hint="default" w:ascii="仿宋_GB2312" w:hAnsi="Times New Roman" w:eastAsia="仿宋_GB2312"/>
          <w:szCs w:val="30"/>
        </w:rPr>
      </w:pPr>
      <w:r>
        <w:t>表2.6 气候相关情景分析范围的维度参考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jc w:val="center"/>
              <w:rPr>
                <w:rFonts w:hint="eastAsia"/>
              </w:rPr>
            </w:pPr>
            <w:r>
              <w:rPr>
                <w:rFonts w:hint="eastAsia"/>
              </w:rPr>
              <w:t>范围</w:t>
            </w:r>
          </w:p>
        </w:tc>
        <w:tc>
          <w:tcPr>
            <w:tcW w:w="5749"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业务覆盖范围</w:t>
            </w:r>
          </w:p>
        </w:tc>
        <w:tc>
          <w:tcPr>
            <w:tcW w:w="5749" w:type="dxa"/>
          </w:tcPr>
          <w:p>
            <w:pPr>
              <w:pStyle w:val="58"/>
              <w:rPr>
                <w:rFonts w:hint="eastAsia"/>
              </w:rPr>
            </w:pPr>
            <w:r>
              <w:rPr>
                <w:rFonts w:hint="eastAsia"/>
              </w:rPr>
              <w:t>是否对公司所有业务模块展开分析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价值链覆盖范围</w:t>
            </w:r>
          </w:p>
        </w:tc>
        <w:tc>
          <w:tcPr>
            <w:tcW w:w="5749" w:type="dxa"/>
          </w:tcPr>
          <w:p>
            <w:pPr>
              <w:pStyle w:val="58"/>
              <w:rPr>
                <w:rFonts w:hint="eastAsia"/>
              </w:rPr>
            </w:pPr>
            <w:r>
              <w:rPr>
                <w:rFonts w:hint="eastAsia"/>
              </w:rPr>
              <w:t xml:space="preserve">除公司核心运营模块外，是否覆盖价值链上下游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pStyle w:val="58"/>
              <w:rPr>
                <w:rFonts w:hint="eastAsia"/>
              </w:rPr>
            </w:pPr>
            <w:r>
              <w:rPr>
                <w:rFonts w:hint="eastAsia"/>
              </w:rPr>
              <w:t>地理位置覆盖范围</w:t>
            </w:r>
          </w:p>
        </w:tc>
        <w:tc>
          <w:tcPr>
            <w:tcW w:w="5749" w:type="dxa"/>
          </w:tcPr>
          <w:p>
            <w:pPr>
              <w:pStyle w:val="58"/>
              <w:rPr>
                <w:rFonts w:hint="eastAsia"/>
              </w:rPr>
            </w:pPr>
            <w:r>
              <w:rPr>
                <w:rFonts w:hint="eastAsia"/>
              </w:rPr>
              <w:t>是否对分布在全球各个区域的业务模块展开分析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风险范围</w:t>
            </w:r>
          </w:p>
        </w:tc>
        <w:tc>
          <w:tcPr>
            <w:tcW w:w="5749" w:type="dxa"/>
          </w:tcPr>
          <w:p>
            <w:pPr>
              <w:pStyle w:val="58"/>
              <w:rPr>
                <w:rFonts w:hint="eastAsia"/>
              </w:rPr>
            </w:pPr>
            <w:r>
              <w:rPr>
                <w:rFonts w:hint="eastAsia"/>
              </w:rPr>
              <w:t>依据公司重大风险识别，确认需开展气候相关情景分析的风险类型，是否需要开展转型风险和物理风险的分析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时间范围</w:t>
            </w:r>
          </w:p>
        </w:tc>
        <w:tc>
          <w:tcPr>
            <w:tcW w:w="5749" w:type="dxa"/>
          </w:tcPr>
          <w:p>
            <w:pPr>
              <w:pStyle w:val="58"/>
              <w:rPr>
                <w:rFonts w:hint="eastAsia"/>
              </w:rPr>
            </w:pPr>
            <w:r>
              <w:rPr>
                <w:rFonts w:hint="eastAsia"/>
              </w:rPr>
              <w:t>根据公司战略、资本规划和投资期限，以及主要资产的使用年限，设定情景时间范围</w:t>
            </w:r>
          </w:p>
        </w:tc>
      </w:tr>
    </w:tbl>
    <w:p>
      <w:pPr>
        <w:pStyle w:val="5"/>
        <w:rPr>
          <w:rFonts w:hint="eastAsia"/>
        </w:rPr>
      </w:pPr>
      <w:bookmarkStart w:id="199" w:name="_Toc179988036"/>
      <w:r>
        <w:rPr>
          <w:rFonts w:hint="eastAsia"/>
        </w:rPr>
        <w:t>步骤二：选择气候相关情景</w:t>
      </w:r>
      <w:bookmarkEnd w:id="199"/>
    </w:p>
    <w:p>
      <w:pPr>
        <w:rPr>
          <w:rFonts w:hint="eastAsia"/>
        </w:rPr>
      </w:pPr>
      <w:r>
        <w:rPr>
          <w:rFonts w:hint="eastAsia"/>
        </w:rPr>
        <w:t>目前市场中已有多种公开气候情景来源可供选择。在选择情景来源时，公司需要先了解情景来源的特征、背后的假设、内置参数与公司的适配性等，根据所在行业、待评估风险类型、地理覆盖范围以及时间范围等实际情况，选择最适合的情景来源。</w:t>
      </w:r>
    </w:p>
    <w:p>
      <w:pPr>
        <w:pStyle w:val="57"/>
      </w:pPr>
      <w:r>
        <w:t>表2.7 选择情景来源时的主要考虑因素</w:t>
      </w:r>
    </w:p>
    <w:tbl>
      <w:tblPr>
        <w:tblStyle w:val="2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pStyle w:val="58"/>
              <w:widowControl/>
              <w:spacing w:line="240" w:lineRule="auto"/>
              <w:jc w:val="center"/>
              <w:rPr>
                <w:rFonts w:hint="eastAsia"/>
              </w:rPr>
            </w:pPr>
            <w:r>
              <w:rPr>
                <w:rFonts w:hint="eastAsia"/>
              </w:rPr>
              <w:t>因素</w:t>
            </w:r>
          </w:p>
        </w:tc>
        <w:tc>
          <w:tcPr>
            <w:tcW w:w="5828" w:type="dxa"/>
          </w:tcPr>
          <w:p>
            <w:pPr>
              <w:pStyle w:val="58"/>
              <w:widowControl/>
              <w:spacing w:line="240" w:lineRule="auto"/>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所属行业</w:t>
            </w:r>
          </w:p>
        </w:tc>
        <w:tc>
          <w:tcPr>
            <w:tcW w:w="5828" w:type="dxa"/>
          </w:tcPr>
          <w:p>
            <w:pPr>
              <w:pStyle w:val="58"/>
              <w:widowControl/>
              <w:spacing w:line="240" w:lineRule="auto"/>
              <w:rPr>
                <w:rFonts w:hint="eastAsia"/>
              </w:rPr>
            </w:pPr>
            <w:r>
              <w:rPr>
                <w:rFonts w:hint="eastAsia"/>
              </w:rPr>
              <w:t>不同行业特点显著，特定情景来源更适合特定行业的特征和需要。例如，能源行业企业可以参考相关行业组织或其他专注于转型风险的能源情景来源。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待评估风险类型</w:t>
            </w:r>
          </w:p>
        </w:tc>
        <w:tc>
          <w:tcPr>
            <w:tcW w:w="5828" w:type="dxa"/>
          </w:tcPr>
          <w:p>
            <w:pPr>
              <w:pStyle w:val="58"/>
              <w:widowControl/>
              <w:spacing w:line="240" w:lineRule="auto"/>
              <w:rPr>
                <w:rFonts w:hint="eastAsia"/>
              </w:rPr>
            </w:pPr>
            <w:r>
              <w:rPr>
                <w:rFonts w:hint="eastAsia"/>
              </w:rPr>
              <w:t>不同的情景来源专注于不同的气候相关风险。公司可以根据所评估的风险类型选择情景来源。例如，分析气候相关物理风险的公司可选择专注于物理科学影响的情景来源。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业务运营所在地</w:t>
            </w:r>
          </w:p>
        </w:tc>
        <w:tc>
          <w:tcPr>
            <w:tcW w:w="5828" w:type="dxa"/>
          </w:tcPr>
          <w:p>
            <w:pPr>
              <w:pStyle w:val="58"/>
              <w:widowControl/>
              <w:spacing w:line="240" w:lineRule="auto"/>
              <w:rPr>
                <w:rFonts w:hint="eastAsia" w:eastAsia="仿宋"/>
                <w:lang w:eastAsia="zh-CN"/>
              </w:rPr>
            </w:pPr>
            <w:r>
              <w:rPr>
                <w:rFonts w:hint="eastAsia"/>
              </w:rPr>
              <w:t>公司可以选择在其业务所在地覆盖最全面的全球或地区气候情景来源</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确定的时间范围</w:t>
            </w:r>
          </w:p>
        </w:tc>
        <w:tc>
          <w:tcPr>
            <w:tcW w:w="5828" w:type="dxa"/>
          </w:tcPr>
          <w:p>
            <w:pPr>
              <w:pStyle w:val="58"/>
              <w:widowControl/>
              <w:spacing w:line="240" w:lineRule="auto"/>
              <w:rPr>
                <w:rFonts w:hint="eastAsia"/>
              </w:rPr>
            </w:pPr>
            <w:r>
              <w:rPr>
                <w:rFonts w:hint="eastAsia"/>
              </w:rPr>
              <w:t>综合考虑公司的资本规划、投资期限以及资产使用年限，以及所在地政策规划（如我国提出的力争2030年前实现“碳达峰”，2060年前实现“碳中和”目标）等，公司可以选择</w:t>
            </w:r>
            <w:r>
              <w:rPr>
                <w:rFonts w:hint="eastAsia"/>
                <w:lang w:eastAsia="zh-CN"/>
              </w:rPr>
              <w:t>与</w:t>
            </w:r>
            <w:r>
              <w:rPr>
                <w:rFonts w:hint="eastAsia"/>
              </w:rPr>
              <w:t>时间范围匹配的情景来源</w:t>
            </w:r>
            <w:r>
              <w:t>。</w:t>
            </w:r>
          </w:p>
        </w:tc>
      </w:tr>
    </w:tbl>
    <w:p>
      <w:pPr>
        <w:widowControl/>
        <w:adjustRightInd/>
        <w:snapToGrid/>
        <w:spacing w:line="240" w:lineRule="auto"/>
        <w:rPr>
          <w:rFonts w:hint="eastAsia" w:eastAsia="仿宋_GB2312"/>
          <w:szCs w:val="30"/>
        </w:rPr>
      </w:pPr>
      <w:r>
        <w:rPr>
          <w:rFonts w:hint="eastAsia"/>
        </w:rPr>
        <w:t>典型的气候相关情景是基于目标温度</w:t>
      </w:r>
      <w:r>
        <w:rPr>
          <w:rFonts w:hint="eastAsia"/>
          <w:lang w:eastAsia="zh-CN"/>
        </w:rPr>
        <w:t>变化</w:t>
      </w:r>
      <w:r>
        <w:rPr>
          <w:rFonts w:hint="eastAsia"/>
        </w:rPr>
        <w:t>以及一系列能源、政策和技术等假设。因此，</w:t>
      </w:r>
      <w:r>
        <w:t>在确定情景来源后需要选择情景分析所基于的温升幅度。公司可以选择高对比性的情景，例如温升1.5摄氏度的情景</w:t>
      </w:r>
      <w:r>
        <w:rPr>
          <w:rFonts w:hint="eastAsia"/>
        </w:rPr>
        <w:t>，以及</w:t>
      </w:r>
      <w:r>
        <w:t>温升3摄氏度或以上的情景，以展示更多不同路径及结果</w:t>
      </w:r>
      <w:r>
        <w:rPr>
          <w:rFonts w:hint="eastAsia"/>
        </w:rPr>
        <w:t>、分析不同状况下气候相关风险和机遇的潜在影响</w:t>
      </w:r>
      <w:r>
        <w:t>。例如，温升1.5摄氏度的情景符合《巴黎协定》</w:t>
      </w:r>
      <w:r>
        <w:rPr>
          <w:rFonts w:hint="eastAsia"/>
        </w:rPr>
        <w:t>约定</w:t>
      </w:r>
      <w:r>
        <w:t>，即于本世纪</w:t>
      </w:r>
      <w:r>
        <w:rPr>
          <w:rFonts w:hint="eastAsia"/>
          <w:lang w:eastAsia="zh-CN"/>
        </w:rPr>
        <w:t>末</w:t>
      </w:r>
      <w:r>
        <w:t>将全球平均气温上升幅度限制在1.5摄氏度以内</w:t>
      </w:r>
      <w:r>
        <w:rPr>
          <w:rFonts w:hint="eastAsia"/>
        </w:rPr>
        <w:t>的目标</w:t>
      </w:r>
      <w:r>
        <w:t>。</w:t>
      </w:r>
    </w:p>
    <w:p>
      <w:pPr>
        <w:widowControl/>
        <w:rPr>
          <w:rFonts w:hint="eastAsia" w:ascii="楷体" w:hAnsi="楷体" w:eastAsia="楷体" w:cs="楷体"/>
        </w:rPr>
      </w:pPr>
      <w:r>
        <w:rPr>
          <w:rFonts w:hint="eastAsia" w:ascii="楷体" w:hAnsi="楷体" w:eastAsia="楷体" w:cs="楷体"/>
        </w:rPr>
        <w:t>步骤三：确定用于情景分析的变量</w:t>
      </w:r>
    </w:p>
    <w:p>
      <w:pPr>
        <w:widowControl/>
        <w:adjustRightInd/>
        <w:snapToGrid/>
        <w:spacing w:line="240" w:lineRule="auto"/>
        <w:rPr>
          <w:rFonts w:hint="eastAsia"/>
        </w:rPr>
      </w:pPr>
      <w:r>
        <w:rPr>
          <w:rFonts w:hint="eastAsia"/>
        </w:rPr>
        <w:t>公司需要了解公司行业性质以及</w:t>
      </w:r>
      <w:r>
        <w:rPr>
          <w:rFonts w:hint="eastAsia"/>
          <w:lang w:eastAsia="zh-CN"/>
        </w:rPr>
        <w:t>与</w:t>
      </w:r>
      <w:r>
        <w:rPr>
          <w:rFonts w:hint="eastAsia"/>
        </w:rPr>
        <w:t>气候相关</w:t>
      </w:r>
      <w:r>
        <w:rPr>
          <w:rFonts w:hint="eastAsia"/>
          <w:lang w:eastAsia="zh-CN"/>
        </w:rPr>
        <w:t>的</w:t>
      </w:r>
      <w:r>
        <w:rPr>
          <w:rFonts w:hint="eastAsia"/>
        </w:rPr>
        <w:t>风险和机遇，以便优先考虑对</w:t>
      </w:r>
      <w:r>
        <w:rPr>
          <w:rFonts w:hint="eastAsia"/>
          <w:lang w:eastAsia="zh-CN"/>
        </w:rPr>
        <w:t>其</w:t>
      </w:r>
      <w:r>
        <w:rPr>
          <w:rFonts w:hint="eastAsia"/>
        </w:rPr>
        <w:t>情景分析影响最大的变量。不同的公司，即使是同一类风险，对其影响最大的变量也可能会有所不同。</w:t>
      </w:r>
    </w:p>
    <w:p>
      <w:pPr>
        <w:widowControl/>
        <w:adjustRightInd/>
        <w:snapToGrid/>
        <w:spacing w:line="240" w:lineRule="auto"/>
        <w:rPr>
          <w:rFonts w:hint="eastAsia"/>
        </w:rPr>
      </w:pPr>
      <w:r>
        <w:rPr>
          <w:rFonts w:hint="eastAsia"/>
        </w:rPr>
        <w:t>例如，建筑企业、数据中心运营商可能均将平均气温上升视为重大气候相关风险，但其用于评估该风险影响的变量可能有所不同。建筑企业因为气温上升预计会导致户外工作时长下降，从而产生财务影响，可能选择与员工生产率相关的变量；数据中心运营商因为气温上升导致冷气使用量增加，从而增加营运成本，可能将电价作为相关变量。</w:t>
      </w:r>
    </w:p>
    <w:p>
      <w:pPr>
        <w:pStyle w:val="57"/>
      </w:pPr>
      <w:r>
        <w:t>表2.8 常见气候相关风险的变量</w:t>
      </w: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91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432" w:type="dxa"/>
            <w:vAlign w:val="center"/>
          </w:tcPr>
          <w:p>
            <w:pPr>
              <w:pStyle w:val="58"/>
              <w:rPr>
                <w:rFonts w:hint="eastAsia"/>
              </w:rPr>
            </w:pPr>
            <w:r>
              <w:rPr>
                <w:rFonts w:hint="eastAsia"/>
              </w:rPr>
              <w:t>风险类型</w:t>
            </w:r>
          </w:p>
        </w:tc>
        <w:tc>
          <w:tcPr>
            <w:tcW w:w="2914" w:type="dxa"/>
            <w:vAlign w:val="center"/>
          </w:tcPr>
          <w:p>
            <w:pPr>
              <w:pStyle w:val="58"/>
              <w:rPr>
                <w:rFonts w:hint="eastAsia"/>
              </w:rPr>
            </w:pPr>
            <w:r>
              <w:rPr>
                <w:rFonts w:hint="eastAsia"/>
              </w:rPr>
              <w:t>风险的影响</w:t>
            </w:r>
          </w:p>
        </w:tc>
        <w:tc>
          <w:tcPr>
            <w:tcW w:w="2914" w:type="dxa"/>
            <w:vAlign w:val="center"/>
          </w:tcPr>
          <w:p>
            <w:pPr>
              <w:pStyle w:val="58"/>
              <w:rPr>
                <w:rFonts w:hint="eastAsia"/>
              </w:rPr>
            </w:pPr>
            <w:r>
              <w:rPr>
                <w:rFonts w:hint="eastAsia"/>
              </w:rPr>
              <w:t>变量举例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60" w:type="dxa"/>
            <w:gridSpan w:val="3"/>
            <w:vAlign w:val="center"/>
          </w:tcPr>
          <w:p>
            <w:pPr>
              <w:pStyle w:val="58"/>
              <w:rPr>
                <w:rFonts w:hint="eastAsia"/>
              </w:rPr>
            </w:pPr>
            <w:r>
              <w:rPr>
                <w:rFonts w:hint="eastAsia"/>
              </w:rPr>
              <w:t>气候相关物理风险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洪灾严重程度增加</w:t>
            </w:r>
          </w:p>
        </w:tc>
        <w:tc>
          <w:tcPr>
            <w:tcW w:w="2914" w:type="dxa"/>
            <w:vAlign w:val="center"/>
          </w:tcPr>
          <w:p>
            <w:pPr>
              <w:pStyle w:val="58"/>
              <w:rPr>
                <w:rFonts w:hint="eastAsia"/>
              </w:rPr>
            </w:pPr>
            <w:r>
              <w:rPr>
                <w:rFonts w:hint="eastAsia"/>
              </w:rPr>
              <w:t>洪灾频率及严重程度增加可能导致设备损坏，从而导致资产</w:t>
            </w:r>
            <w:r>
              <w:rPr>
                <w:rFonts w:hint="eastAsia"/>
                <w:lang w:eastAsia="zh-CN"/>
              </w:rPr>
              <w:t>减值增加或者修理支出</w:t>
            </w:r>
            <w:r>
              <w:rPr>
                <w:rFonts w:hint="eastAsia"/>
              </w:rPr>
              <w:t>增加</w:t>
            </w:r>
          </w:p>
        </w:tc>
        <w:tc>
          <w:tcPr>
            <w:tcW w:w="2914" w:type="dxa"/>
            <w:vAlign w:val="center"/>
          </w:tcPr>
          <w:p>
            <w:pPr>
              <w:pStyle w:val="58"/>
              <w:rPr>
                <w:rFonts w:hint="eastAsia"/>
              </w:rPr>
            </w:pPr>
            <w:r>
              <w:t>1.</w:t>
            </w:r>
            <w:r>
              <w:rPr>
                <w:rFonts w:hint="eastAsia"/>
              </w:rPr>
              <w:t>洪灾发生频率</w:t>
            </w:r>
          </w:p>
          <w:p>
            <w:pPr>
              <w:pStyle w:val="58"/>
              <w:rPr>
                <w:rFonts w:hint="eastAsia"/>
              </w:rPr>
            </w:pPr>
            <w:r>
              <w:t>2.</w:t>
            </w:r>
            <w:r>
              <w:rPr>
                <w:rFonts w:hint="eastAsia"/>
              </w:rPr>
              <w:t>洪灾造成的预期损失</w:t>
            </w:r>
          </w:p>
          <w:p>
            <w:pPr>
              <w:pStyle w:val="58"/>
              <w:rPr>
                <w:rFonts w:hint="eastAsia"/>
              </w:rPr>
            </w:pPr>
            <w:r>
              <w:t>3.</w:t>
            </w:r>
            <w:r>
              <w:rPr>
                <w:rFonts w:hint="eastAsia"/>
              </w:rPr>
              <w:t>业务中断造成的预期营运损失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平均气温上升</w:t>
            </w:r>
          </w:p>
        </w:tc>
        <w:tc>
          <w:tcPr>
            <w:tcW w:w="2914" w:type="dxa"/>
            <w:vAlign w:val="center"/>
          </w:tcPr>
          <w:p>
            <w:pPr>
              <w:pStyle w:val="58"/>
              <w:rPr>
                <w:rFonts w:hint="eastAsia"/>
              </w:rPr>
            </w:pPr>
            <w:r>
              <w:t>1.</w:t>
            </w:r>
            <w:r>
              <w:rPr>
                <w:rFonts w:hint="eastAsia"/>
              </w:rPr>
              <w:t>平均气温上升会降低户外工作的生产效率</w:t>
            </w:r>
          </w:p>
          <w:p>
            <w:pPr>
              <w:pStyle w:val="58"/>
              <w:rPr>
                <w:rFonts w:hint="eastAsia"/>
              </w:rPr>
            </w:pPr>
            <w:r>
              <w:t>2.</w:t>
            </w:r>
            <w:r>
              <w:rPr>
                <w:rFonts w:hint="eastAsia"/>
              </w:rPr>
              <w:t>使用冷气频率增加导致的开支上升</w:t>
            </w:r>
          </w:p>
        </w:tc>
        <w:tc>
          <w:tcPr>
            <w:tcW w:w="2914" w:type="dxa"/>
            <w:vAlign w:val="center"/>
          </w:tcPr>
          <w:p>
            <w:pPr>
              <w:pStyle w:val="58"/>
              <w:rPr>
                <w:rFonts w:hint="eastAsia"/>
              </w:rPr>
            </w:pPr>
            <w:r>
              <w:t>1.</w:t>
            </w:r>
            <w:r>
              <w:rPr>
                <w:rFonts w:hint="eastAsia"/>
              </w:rPr>
              <w:t>使用冷气天数的变化情况（例如温度超过25℃的天数）</w:t>
            </w:r>
          </w:p>
          <w:p>
            <w:pPr>
              <w:pStyle w:val="58"/>
              <w:rPr>
                <w:rFonts w:hint="eastAsia"/>
              </w:rPr>
            </w:pPr>
            <w:r>
              <w:t>2.</w:t>
            </w:r>
            <w:r>
              <w:rPr>
                <w:rFonts w:hint="eastAsia"/>
              </w:rPr>
              <w:t>炎热天气对员工生产率的影响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gridSpan w:val="3"/>
            <w:vAlign w:val="center"/>
          </w:tcPr>
          <w:p>
            <w:pPr>
              <w:pStyle w:val="58"/>
              <w:rPr>
                <w:rFonts w:hint="eastAsia"/>
              </w:rPr>
            </w:pPr>
            <w:r>
              <w:rPr>
                <w:rFonts w:hint="eastAsia"/>
              </w:rPr>
              <w:t>气候相关转型风险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碳价上升</w:t>
            </w:r>
          </w:p>
        </w:tc>
        <w:tc>
          <w:tcPr>
            <w:tcW w:w="2914" w:type="dxa"/>
            <w:vAlign w:val="center"/>
          </w:tcPr>
          <w:p>
            <w:pPr>
              <w:pStyle w:val="58"/>
              <w:rPr>
                <w:rFonts w:hint="eastAsia"/>
              </w:rPr>
            </w:pPr>
            <w:r>
              <w:rPr>
                <w:rFonts w:hint="eastAsia"/>
              </w:rPr>
              <w:t>碳配额价格上升</w:t>
            </w:r>
          </w:p>
        </w:tc>
        <w:tc>
          <w:tcPr>
            <w:tcW w:w="2914" w:type="dxa"/>
            <w:vAlign w:val="center"/>
          </w:tcPr>
          <w:p>
            <w:pPr>
              <w:pStyle w:val="58"/>
              <w:rPr>
                <w:rFonts w:hint="eastAsia"/>
              </w:rPr>
            </w:pPr>
            <w:r>
              <w:t>1.</w:t>
            </w:r>
            <w:r>
              <w:rPr>
                <w:rFonts w:hint="eastAsia"/>
              </w:rPr>
              <w:t>碳价格</w:t>
            </w:r>
          </w:p>
          <w:p>
            <w:pPr>
              <w:pStyle w:val="58"/>
              <w:rPr>
                <w:rFonts w:hint="eastAsia"/>
              </w:rPr>
            </w:pPr>
            <w:r>
              <w:t>2.</w:t>
            </w:r>
            <w:r>
              <w:rPr>
                <w:rFonts w:hint="eastAsia"/>
              </w:rPr>
              <w:t>温室气体排放量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使用低碳能源</w:t>
            </w:r>
          </w:p>
        </w:tc>
        <w:tc>
          <w:tcPr>
            <w:tcW w:w="2914" w:type="dxa"/>
            <w:vAlign w:val="center"/>
          </w:tcPr>
          <w:p>
            <w:pPr>
              <w:pStyle w:val="58"/>
              <w:rPr>
                <w:rFonts w:hint="eastAsia"/>
              </w:rPr>
            </w:pPr>
            <w:r>
              <w:t>1.</w:t>
            </w:r>
            <w:r>
              <w:rPr>
                <w:rFonts w:hint="eastAsia"/>
              </w:rPr>
              <w:t>向低碳能源的转型需要升级现有设备</w:t>
            </w:r>
          </w:p>
          <w:p>
            <w:pPr>
              <w:pStyle w:val="58"/>
              <w:rPr>
                <w:rFonts w:hint="eastAsia"/>
              </w:rPr>
            </w:pPr>
            <w:r>
              <w:t>2.</w:t>
            </w:r>
            <w:r>
              <w:rPr>
                <w:rFonts w:hint="eastAsia"/>
              </w:rPr>
              <w:t>改用低碳能源的成本变化</w:t>
            </w:r>
          </w:p>
        </w:tc>
        <w:tc>
          <w:tcPr>
            <w:tcW w:w="2914" w:type="dxa"/>
            <w:vAlign w:val="center"/>
          </w:tcPr>
          <w:p>
            <w:pPr>
              <w:pStyle w:val="58"/>
              <w:rPr>
                <w:rFonts w:hint="eastAsia"/>
              </w:rPr>
            </w:pPr>
            <w:r>
              <w:t>1.</w:t>
            </w:r>
            <w:r>
              <w:rPr>
                <w:rFonts w:hint="eastAsia"/>
              </w:rPr>
              <w:t>能源价格</w:t>
            </w:r>
          </w:p>
          <w:p>
            <w:pPr>
              <w:pStyle w:val="58"/>
              <w:rPr>
                <w:rFonts w:hint="eastAsia"/>
              </w:rPr>
            </w:pPr>
            <w:r>
              <w:t>2.</w:t>
            </w:r>
            <w:r>
              <w:rPr>
                <w:rFonts w:hint="eastAsia"/>
              </w:rPr>
              <w:t>能源结构</w:t>
            </w:r>
          </w:p>
        </w:tc>
      </w:tr>
    </w:tbl>
    <w:p>
      <w:pPr>
        <w:widowControl/>
        <w:rPr>
          <w:rFonts w:hint="eastAsia" w:ascii="楷体" w:hAnsi="楷体" w:eastAsia="楷体" w:cs="楷体"/>
        </w:rPr>
      </w:pPr>
      <w:r>
        <w:rPr>
          <w:rFonts w:hint="eastAsia" w:ascii="楷体" w:hAnsi="楷体" w:eastAsia="楷体" w:cs="楷体"/>
        </w:rPr>
        <w:t>步骤四：确定情景分析方法</w:t>
      </w:r>
    </w:p>
    <w:p>
      <w:pPr>
        <w:rPr>
          <w:rFonts w:hint="eastAsia"/>
        </w:rPr>
      </w:pPr>
      <w:r>
        <w:rPr>
          <w:rFonts w:hint="eastAsia"/>
        </w:rPr>
        <w:t>常见的情景分析方法包括定性分析法与定量分析法。披露主体在确定情景分析方法时结合面临的气候相关风险和机遇，应使用与自身能力或资源相称的方法，兼顾成本的可负担性。例如</w:t>
      </w:r>
      <w:r>
        <w:rPr>
          <w:rFonts w:hint="eastAsia"/>
          <w:lang w:eastAsia="zh-CN"/>
        </w:rPr>
        <w:t>，</w:t>
      </w:r>
      <w:r>
        <w:rPr>
          <w:rFonts w:hint="eastAsia"/>
        </w:rPr>
        <w:t>如果披露主体目前不具备进行气候情景定量分析的技能、能力或资源，但又面临较高的气候相关风险，则最初可以使用定性情景叙述等简单的方法，通过积累经验具备相关能力后，逐渐采用更先进的定量方法进行气候情景分析；如果披露主体面临较高的气候相关风险和机遇且具备必要的技能、能力和资源，可考虑使用定量分析方法。</w:t>
      </w:r>
    </w:p>
    <w:p>
      <w:pPr>
        <w:rPr>
          <w:rFonts w:hint="eastAsia"/>
        </w:rPr>
      </w:pPr>
      <w:r>
        <w:rPr>
          <w:rFonts w:hint="eastAsia"/>
        </w:rPr>
        <w:t>定性分析法可使用风险等级代表，例如，电价上涨对于能源开支的影响为“较高”，极端天气事件对资产价值的影响为“较低”等。定量分析法则可分析气候相关物理风险、转型风险影响的资产金额区间或占比等，例如，</w:t>
      </w:r>
      <w:r>
        <w:t>2030</w:t>
      </w:r>
      <w:r>
        <w:rPr>
          <w:rFonts w:hint="eastAsia"/>
        </w:rPr>
        <w:t>年如果用电量维持不变、电价的预期变动预计影响公司电力成本的</w:t>
      </w:r>
      <w:r>
        <w:t>2</w:t>
      </w:r>
      <w:r>
        <w:rPr>
          <w:rFonts w:hint="eastAsia"/>
        </w:rPr>
        <w:t>%</w:t>
      </w:r>
      <w:r>
        <w:t>-5%</w:t>
      </w:r>
      <w:r>
        <w:rPr>
          <w:rFonts w:hint="eastAsia"/>
        </w:rPr>
        <w:t>，2060年极寒、干旱等极端天气事件预计影响公司的水力发电业务收入的10%。</w:t>
      </w:r>
    </w:p>
    <w:p>
      <w:pPr>
        <w:widowControl/>
        <w:rPr>
          <w:rFonts w:hint="eastAsia" w:ascii="楷体" w:hAnsi="楷体" w:eastAsia="楷体" w:cs="楷体"/>
        </w:rPr>
      </w:pPr>
      <w:r>
        <w:rPr>
          <w:rFonts w:hint="eastAsia" w:ascii="楷体" w:hAnsi="楷体" w:eastAsia="楷体" w:cs="楷体"/>
        </w:rPr>
        <w:t>步骤五：开展气候相关情景分析</w:t>
      </w:r>
    </w:p>
    <w:p>
      <w:pPr>
        <w:rPr>
          <w:rFonts w:hint="eastAsia"/>
        </w:rPr>
      </w:pPr>
      <w:r>
        <w:rPr>
          <w:rFonts w:hint="eastAsia"/>
        </w:rPr>
        <w:t>披露主体可根据上述步骤确定的情景来源、分析方法等进行情景分析。</w:t>
      </w:r>
    </w:p>
    <w:p>
      <w:pPr>
        <w:rPr>
          <w:rFonts w:hint="eastAsia"/>
        </w:rPr>
      </w:pPr>
      <w:r>
        <w:rPr>
          <w:rFonts w:hint="eastAsia"/>
        </w:rPr>
        <w:t>计划开展情景分析的披露主体无需每年更新气候情景模型，可以按照战略规划周期（如每三到五年）进行气候相关情景分析。计划开展情景分析的披露主体至少应根据战略规划周期更新气候相关情景分析，并且当业务模式出现重大变动（</w:t>
      </w:r>
      <w:r>
        <w:rPr>
          <w:rFonts w:hint="eastAsia"/>
          <w:lang w:eastAsia="zh-CN"/>
        </w:rPr>
        <w:t>资产</w:t>
      </w:r>
      <w:r>
        <w:rPr>
          <w:rFonts w:hint="eastAsia"/>
        </w:rPr>
        <w:t>收购、业务转型等）、之前的估计与目前情况不符、或出现之前假设无效等情形</w:t>
      </w:r>
      <w:r>
        <w:rPr>
          <w:rFonts w:hint="eastAsia"/>
          <w:lang w:eastAsia="zh-CN"/>
        </w:rPr>
        <w:t>时</w:t>
      </w:r>
      <w:r>
        <w:rPr>
          <w:rFonts w:hint="eastAsia"/>
        </w:rPr>
        <w:t>，披露主体需要再次开展分析，以评估公司在发生变动后受气候风险影响的程度。</w:t>
      </w:r>
      <w:bookmarkStart w:id="200" w:name="_Toc179988041"/>
      <w:r>
        <w:rPr>
          <w:rFonts w:hint="eastAsia"/>
        </w:rPr>
        <w:t>如果披露主体并未每年进行情景分析，则披露主体对气候相关情景分析的披露可</w:t>
      </w:r>
      <w:r>
        <w:rPr>
          <w:rFonts w:hint="eastAsia"/>
          <w:lang w:eastAsia="zh-CN"/>
        </w:rPr>
        <w:t>以</w:t>
      </w:r>
      <w:r>
        <w:rPr>
          <w:rFonts w:hint="eastAsia"/>
        </w:rPr>
        <w:t>与上一个报告期间保持不变。</w:t>
      </w:r>
      <w:r>
        <w:rPr>
          <w:rFonts w:hint="eastAsia"/>
        </w:rPr>
        <w:br w:type="page"/>
      </w:r>
    </w:p>
    <w:p>
      <w:pPr>
        <w:pStyle w:val="3"/>
        <w:rPr>
          <w:rFonts w:hint="eastAsia"/>
        </w:rPr>
      </w:pPr>
      <w:bookmarkStart w:id="201" w:name="_Toc3022"/>
      <w:r>
        <w:rPr>
          <w:rFonts w:hint="eastAsia"/>
        </w:rPr>
        <w:t>第四节</w:t>
      </w:r>
      <w:r>
        <w:t xml:space="preserve"> </w:t>
      </w:r>
      <w:r>
        <w:rPr>
          <w:rFonts w:hint="eastAsia"/>
        </w:rPr>
        <w:t>核算温室气体排放量的流程和方法</w:t>
      </w:r>
      <w:bookmarkEnd w:id="200"/>
      <w:bookmarkEnd w:id="201"/>
    </w:p>
    <w:bookmarkEnd w:id="153"/>
    <w:bookmarkEnd w:id="154"/>
    <w:bookmarkEnd w:id="155"/>
    <w:p>
      <w:pPr>
        <w:pStyle w:val="4"/>
        <w:rPr>
          <w:rFonts w:hint="eastAsia"/>
          <w:szCs w:val="30"/>
        </w:rPr>
      </w:pPr>
      <w:bookmarkStart w:id="202" w:name="_Toc177672327"/>
      <w:bookmarkStart w:id="203" w:name="_Toc20330"/>
      <w:bookmarkStart w:id="204" w:name="_Toc179988042"/>
      <w:bookmarkStart w:id="205" w:name="_Toc1089"/>
      <w:bookmarkStart w:id="206" w:name="_Toc14830"/>
      <w:bookmarkStart w:id="207" w:name="_Toc177241766"/>
      <w:r>
        <w:rPr>
          <w:rFonts w:hint="eastAsia"/>
        </w:rPr>
        <w:t>一、界定组织边界</w:t>
      </w:r>
      <w:bookmarkEnd w:id="202"/>
      <w:bookmarkEnd w:id="203"/>
      <w:bookmarkEnd w:id="204"/>
      <w:bookmarkEnd w:id="205"/>
      <w:bookmarkEnd w:id="206"/>
      <w:bookmarkEnd w:id="207"/>
    </w:p>
    <w:p>
      <w:pPr>
        <w:rPr>
          <w:rFonts w:hint="eastAsia"/>
        </w:rPr>
      </w:pPr>
      <w:r>
        <w:rPr>
          <w:rFonts w:hint="eastAsia"/>
        </w:rPr>
        <w:t>组织边界决定了披露主体所拥有或控制的温室气体排放活动。因此，披露主体在对温室气体排放量进行核算和报告前，需首先确定温室气体排放量的组织边界。常用的方法包括股权比例法和控制权法等。需要注意的是，披露主体所选用的组织边界界定方法需一致，即披露主体不应对不同的业务单位应用不同的界定方法。</w:t>
      </w:r>
    </w:p>
    <w:p>
      <w:pPr>
        <w:rPr>
          <w:rFonts w:hint="eastAsia"/>
        </w:rPr>
      </w:pPr>
      <w:r>
        <w:rPr>
          <w:rFonts w:hint="eastAsia"/>
        </w:rPr>
        <w:t>在采用股权比例法下，披露主体根据其在业务中的股权比例核算温室气体排放量。使用股权比例法时，披露主体与业务之间的经济实质重于法律形式（所有权结构），披露主体核算的温室气体排放量应反映其经济利益的比例。</w:t>
      </w:r>
    </w:p>
    <w:p>
      <w:pPr>
        <w:rPr>
          <w:rFonts w:hint="eastAsia"/>
        </w:rPr>
      </w:pPr>
      <w:r>
        <w:rPr>
          <w:rFonts w:hint="eastAsia"/>
        </w:rPr>
        <w:t>在控制权法下，披露主体需要核算其所控制业务范围内的全部温室气体排放量。其中，披露主体不核算享有权益但不具有控制权的业务所产生的温室气体排放量。当采用控制权法时，披露主体应选择运营控制</w:t>
      </w:r>
      <w:r>
        <w:rPr>
          <w:rFonts w:hint="eastAsia"/>
          <w:lang w:eastAsia="zh-CN"/>
        </w:rPr>
        <w:t>权法</w:t>
      </w:r>
      <w:r>
        <w:rPr>
          <w:rFonts w:hint="eastAsia"/>
        </w:rPr>
        <w:t>或财务控制</w:t>
      </w:r>
      <w:r>
        <w:rPr>
          <w:rFonts w:hint="eastAsia"/>
          <w:lang w:eastAsia="zh-CN"/>
        </w:rPr>
        <w:t>权法</w:t>
      </w:r>
      <w:r>
        <w:rPr>
          <w:rFonts w:hint="eastAsia"/>
        </w:rPr>
        <w:t>。</w:t>
      </w:r>
    </w:p>
    <w:p>
      <w:pPr>
        <w:pStyle w:val="57"/>
        <w:rPr>
          <w:rFonts w:hint="default" w:ascii="仿宋_GB2312" w:hAnsi="Times New Roman" w:eastAsia="仿宋_GB2312"/>
          <w:szCs w:val="30"/>
        </w:rPr>
      </w:pPr>
      <w:r>
        <w:t>表2.9 组织边界的定义方法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方法</w:t>
            </w:r>
          </w:p>
        </w:tc>
        <w:tc>
          <w:tcPr>
            <w:tcW w:w="6741" w:type="dxa"/>
          </w:tcPr>
          <w:p>
            <w:pPr>
              <w:pStyle w:val="58"/>
              <w:jc w:val="center"/>
              <w:rPr>
                <w:rFonts w:hint="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股权比例法</w:t>
            </w:r>
          </w:p>
        </w:tc>
        <w:tc>
          <w:tcPr>
            <w:tcW w:w="6741" w:type="dxa"/>
          </w:tcPr>
          <w:p>
            <w:pPr>
              <w:pStyle w:val="58"/>
              <w:rPr>
                <w:rFonts w:hint="eastAsia"/>
              </w:rPr>
            </w:pPr>
            <w:r>
              <w:rPr>
                <w:rFonts w:hint="eastAsia"/>
              </w:rPr>
              <w:t>企业根据其在运营中的股权比例核算温室气体排放。例如，对子公司持股比例为70%，则合并时仅按照该子公司排放量的70%进行合并。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eastAsia="仿宋"/>
                <w:lang w:eastAsia="zh-CN"/>
              </w:rPr>
            </w:pPr>
            <w:r>
              <w:rPr>
                <w:rFonts w:hint="eastAsia"/>
              </w:rPr>
              <w:t>控制权</w:t>
            </w:r>
            <w:r>
              <w:rPr>
                <w:rFonts w:hint="eastAsia"/>
                <w:lang w:eastAsia="zh-CN"/>
              </w:rPr>
              <w:t>法</w:t>
            </w:r>
          </w:p>
        </w:tc>
        <w:tc>
          <w:tcPr>
            <w:tcW w:w="6741" w:type="dxa"/>
          </w:tcPr>
          <w:p>
            <w:pPr>
              <w:pStyle w:val="58"/>
              <w:rPr>
                <w:rFonts w:hint="eastAsia"/>
              </w:rPr>
            </w:pPr>
            <w:r>
              <w:rPr>
                <w:rFonts w:hint="eastAsia"/>
                <w:lang w:val="en-US" w:eastAsia="zh-CN"/>
              </w:rPr>
              <w:t>1.财务控制权法：</w:t>
            </w:r>
            <w:r>
              <w:rPr>
                <w:rFonts w:hint="eastAsia"/>
              </w:rPr>
              <w:t>企业对其具有财务控制权的温室气体排放进行100%核算。例如，对持股55%但具有财务控制权的子公司，按照该子公司排放量的100%进行合并。</w:t>
            </w:r>
          </w:p>
          <w:p>
            <w:pPr>
              <w:pStyle w:val="58"/>
              <w:rPr>
                <w:rFonts w:hint="eastAsia"/>
              </w:rPr>
            </w:pPr>
            <w:r>
              <w:rPr>
                <w:rFonts w:hint="eastAsia"/>
              </w:rPr>
              <w:t>2.运营控制权法：公司对其具有运营控制权的温室气体排放进行100%核算。</w:t>
            </w:r>
          </w:p>
        </w:tc>
      </w:tr>
    </w:tbl>
    <w:p>
      <w:pPr>
        <w:pStyle w:val="4"/>
        <w:rPr>
          <w:rFonts w:hint="eastAsia"/>
          <w:szCs w:val="30"/>
        </w:rPr>
      </w:pPr>
      <w:bookmarkStart w:id="208" w:name="_Toc180162857"/>
      <w:r>
        <w:rPr>
          <w:rFonts w:hint="eastAsia"/>
        </w:rPr>
        <w:t>二、界定运营边界</w:t>
      </w:r>
      <w:bookmarkEnd w:id="208"/>
    </w:p>
    <w:p>
      <w:pPr>
        <w:rPr>
          <w:rFonts w:hint="eastAsia"/>
        </w:rPr>
      </w:pPr>
      <w:r>
        <w:rPr>
          <w:rFonts w:hint="eastAsia"/>
        </w:rPr>
        <w:t xml:space="preserve">披露主体在确定组织边界后，需要设定其运营边界，即识别与其运营相关的排放。与运营相关的排放可分为直接温室气体排放与间接温室气体排放。其中，直接温室气体排放是指来自披露主体拥有或控制的排放源的排放；间接温室气体排放是指由披露主体活动导致的、但发生在其他披露主体拥有或控制的排放源的排放。 </w:t>
      </w:r>
    </w:p>
    <w:p>
      <w:pPr>
        <w:rPr>
          <w:rFonts w:hint="eastAsia"/>
        </w:rPr>
      </w:pPr>
      <w:r>
        <w:rPr>
          <w:rFonts w:hint="eastAsia"/>
        </w:rPr>
        <w:t>温室气体排放</w:t>
      </w:r>
      <w:r>
        <w:rPr>
          <w:rFonts w:hint="eastAsia"/>
          <w:lang w:eastAsia="zh-CN"/>
        </w:rPr>
        <w:t>还</w:t>
      </w:r>
      <w:r>
        <w:rPr>
          <w:rFonts w:hint="eastAsia"/>
        </w:rPr>
        <w:t>可分类为范围</w:t>
      </w:r>
      <w:r>
        <w:rPr>
          <w:rFonts w:hint="eastAsia"/>
          <w:lang w:eastAsia="zh-CN"/>
        </w:rPr>
        <w:t>一</w:t>
      </w:r>
      <w:r>
        <w:rPr>
          <w:rFonts w:hint="eastAsia"/>
        </w:rPr>
        <w:t>、范围</w:t>
      </w:r>
      <w:r>
        <w:rPr>
          <w:rFonts w:hint="eastAsia"/>
          <w:lang w:eastAsia="zh-CN"/>
        </w:rPr>
        <w:t>二</w:t>
      </w:r>
      <w:r>
        <w:rPr>
          <w:rFonts w:hint="eastAsia"/>
        </w:rPr>
        <w:t>和范围</w:t>
      </w:r>
      <w:r>
        <w:rPr>
          <w:rFonts w:hint="eastAsia"/>
          <w:lang w:eastAsia="zh-CN"/>
        </w:rPr>
        <w:t>三</w:t>
      </w:r>
      <w:r>
        <w:rPr>
          <w:rFonts w:hint="eastAsia"/>
        </w:rPr>
        <w:t>排放。</w:t>
      </w:r>
    </w:p>
    <w:p>
      <w:pPr>
        <w:pStyle w:val="57"/>
      </w:pPr>
      <w:r>
        <w:t>表2.10 温室气体排放范围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8"/>
              <w:jc w:val="center"/>
              <w:rPr>
                <w:rFonts w:hint="eastAsia"/>
              </w:rPr>
            </w:pPr>
            <w:r>
              <w:rPr>
                <w:rFonts w:hint="eastAsia"/>
              </w:rPr>
              <w:t>范围</w:t>
            </w:r>
          </w:p>
        </w:tc>
        <w:tc>
          <w:tcPr>
            <w:tcW w:w="7167"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一</w:t>
            </w:r>
          </w:p>
        </w:tc>
        <w:tc>
          <w:tcPr>
            <w:tcW w:w="7167" w:type="dxa"/>
          </w:tcPr>
          <w:p>
            <w:pPr>
              <w:pStyle w:val="58"/>
              <w:rPr>
                <w:rFonts w:hint="eastAsia"/>
              </w:rPr>
            </w:pPr>
            <w:r>
              <w:rPr>
                <w:rFonts w:hint="eastAsia"/>
              </w:rPr>
              <w:t>企业拥有或控制的排放源的直接温室气体排放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二</w:t>
            </w:r>
          </w:p>
        </w:tc>
        <w:tc>
          <w:tcPr>
            <w:tcW w:w="7167" w:type="dxa"/>
          </w:tcPr>
          <w:p>
            <w:pPr>
              <w:pStyle w:val="58"/>
              <w:rPr>
                <w:rFonts w:hint="eastAsia"/>
              </w:rPr>
            </w:pPr>
            <w:r>
              <w:rPr>
                <w:rFonts w:hint="eastAsia"/>
              </w:rPr>
              <w:t>企业自用的外购电力、蒸汽、供热或制冷产生的间接温室气体排放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三</w:t>
            </w:r>
          </w:p>
        </w:tc>
        <w:tc>
          <w:tcPr>
            <w:tcW w:w="7167" w:type="dxa"/>
          </w:tcPr>
          <w:p>
            <w:pPr>
              <w:pStyle w:val="58"/>
              <w:rPr>
                <w:rFonts w:hint="eastAsia"/>
              </w:rPr>
            </w:pPr>
            <w:r>
              <w:rPr>
                <w:rFonts w:hint="eastAsia"/>
              </w:rPr>
              <w:t>企业价值链上发生的所有间接排放（除范围</w:t>
            </w:r>
            <w:r>
              <w:rPr>
                <w:rFonts w:hint="eastAsia"/>
                <w:lang w:eastAsia="zh-CN"/>
              </w:rPr>
              <w:t>二</w:t>
            </w:r>
            <w:r>
              <w:rPr>
                <w:rFonts w:hint="eastAsia"/>
              </w:rPr>
              <w:t>以外的），包括上游和下游的排放</w:t>
            </w:r>
          </w:p>
        </w:tc>
      </w:tr>
    </w:tbl>
    <w:p>
      <w:pPr>
        <w:pStyle w:val="4"/>
        <w:rPr>
          <w:rFonts w:hint="eastAsia" w:eastAsia="黑体"/>
          <w:szCs w:val="30"/>
          <w:lang w:eastAsia="zh-CN"/>
        </w:rPr>
      </w:pPr>
      <w:bookmarkStart w:id="209" w:name="_Toc180162858"/>
      <w:r>
        <w:rPr>
          <w:rFonts w:hint="eastAsia"/>
        </w:rPr>
        <w:t>三、界定时间</w:t>
      </w:r>
      <w:bookmarkEnd w:id="209"/>
      <w:r>
        <w:rPr>
          <w:rFonts w:hint="eastAsia"/>
          <w:lang w:eastAsia="zh-CN"/>
        </w:rPr>
        <w:t>范围</w:t>
      </w:r>
    </w:p>
    <w:p>
      <w:pPr>
        <w:rPr>
          <w:rFonts w:hint="eastAsia" w:ascii="黑体" w:hAnsi="黑体" w:eastAsia="黑体"/>
          <w:b/>
          <w:bCs/>
          <w:szCs w:val="32"/>
        </w:rPr>
      </w:pPr>
      <w:r>
        <w:rPr>
          <w:rFonts w:hint="eastAsia"/>
        </w:rPr>
        <w:t>温室气体排放核算与报告的时间</w:t>
      </w:r>
      <w:r>
        <w:rPr>
          <w:rFonts w:hint="eastAsia"/>
          <w:lang w:eastAsia="zh-CN"/>
        </w:rPr>
        <w:t>范围</w:t>
      </w:r>
      <w:r>
        <w:rPr>
          <w:rFonts w:hint="eastAsia"/>
        </w:rPr>
        <w:t>，应与可持续发展报告的</w:t>
      </w:r>
      <w:r>
        <w:rPr>
          <w:rFonts w:hint="eastAsia"/>
          <w:lang w:eastAsia="zh-CN"/>
        </w:rPr>
        <w:t>报告期间</w:t>
      </w:r>
      <w:r>
        <w:rPr>
          <w:rFonts w:hint="eastAsia"/>
        </w:rPr>
        <w:t>保持一致。</w:t>
      </w:r>
    </w:p>
    <w:p>
      <w:pPr>
        <w:pStyle w:val="4"/>
        <w:rPr>
          <w:rFonts w:hint="eastAsia"/>
          <w:szCs w:val="30"/>
        </w:rPr>
      </w:pPr>
      <w:bookmarkStart w:id="210" w:name="_Toc180162859"/>
      <w:r>
        <w:rPr>
          <w:rFonts w:hint="eastAsia"/>
        </w:rPr>
        <w:t>四、识别温室气体排放源</w:t>
      </w:r>
      <w:bookmarkEnd w:id="210"/>
    </w:p>
    <w:p>
      <w:pPr>
        <w:rPr>
          <w:rFonts w:hint="eastAsia"/>
        </w:rPr>
      </w:pPr>
      <w:r>
        <w:rPr>
          <w:rFonts w:hint="eastAsia"/>
        </w:rPr>
        <w:t>披露主体在确定排放组织和运营边界后，根据自身运营生产流程及相关生产设备开始识别边界内相关排放源。</w:t>
      </w:r>
    </w:p>
    <w:p>
      <w:pPr>
        <w:pStyle w:val="57"/>
      </w:pPr>
      <w:r>
        <w:t>表2.11 温室气体排放源</w:t>
      </w:r>
    </w:p>
    <w:tbl>
      <w:tblPr>
        <w:tblStyle w:val="2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7" w:type="dxa"/>
          </w:tcPr>
          <w:p>
            <w:pPr>
              <w:pStyle w:val="58"/>
              <w:jc w:val="center"/>
              <w:rPr>
                <w:rFonts w:hint="eastAsia"/>
              </w:rPr>
            </w:pPr>
            <w:r>
              <w:rPr>
                <w:rFonts w:hint="eastAsia"/>
              </w:rPr>
              <w:t>范围</w:t>
            </w:r>
          </w:p>
        </w:tc>
        <w:tc>
          <w:tcPr>
            <w:tcW w:w="6503" w:type="dxa"/>
          </w:tcPr>
          <w:p>
            <w:pPr>
              <w:pStyle w:val="58"/>
              <w:jc w:val="center"/>
              <w:rPr>
                <w:rFonts w:hint="eastAsia"/>
              </w:rPr>
            </w:pPr>
            <w:r>
              <w:rPr>
                <w:rFonts w:hint="eastAsia"/>
              </w:rPr>
              <w:t>温室气体排放源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47" w:type="dxa"/>
            <w:vAlign w:val="center"/>
          </w:tcPr>
          <w:p>
            <w:pPr>
              <w:pStyle w:val="58"/>
              <w:rPr>
                <w:rFonts w:hint="eastAsia"/>
              </w:rPr>
            </w:pPr>
            <w:r>
              <w:rPr>
                <w:rFonts w:hint="eastAsia"/>
              </w:rPr>
              <w:t>范围</w:t>
            </w:r>
            <w:r>
              <w:rPr>
                <w:rFonts w:hint="eastAsia"/>
                <w:lang w:eastAsia="zh-CN"/>
              </w:rPr>
              <w:t>一</w:t>
            </w:r>
            <w:r>
              <w:rPr>
                <w:rFonts w:hint="eastAsia"/>
              </w:rPr>
              <w:t>排放源</w:t>
            </w:r>
          </w:p>
        </w:tc>
        <w:tc>
          <w:tcPr>
            <w:tcW w:w="6503" w:type="dxa"/>
          </w:tcPr>
          <w:p>
            <w:pPr>
              <w:pStyle w:val="58"/>
              <w:rPr>
                <w:rFonts w:hint="eastAsia"/>
              </w:rPr>
            </w:pPr>
            <w:r>
              <w:rPr>
                <w:rFonts w:hint="eastAsia"/>
              </w:rPr>
              <w:t>1．固定源排放：锅炉、熔炉、燃烧器、涡轮、加热器、焚烧炉和燃烧塔等。</w:t>
            </w:r>
          </w:p>
          <w:p>
            <w:pPr>
              <w:pStyle w:val="58"/>
              <w:rPr>
                <w:rFonts w:hint="eastAsia"/>
              </w:rPr>
            </w:pPr>
            <w:r>
              <w:rPr>
                <w:rFonts w:hint="eastAsia"/>
              </w:rPr>
              <w:t>2．移动源排放：汽车、卡车、巴士、火车、飞机、轮船、船舶等。</w:t>
            </w:r>
          </w:p>
          <w:p>
            <w:pPr>
              <w:pStyle w:val="58"/>
              <w:rPr>
                <w:rFonts w:hint="eastAsia"/>
              </w:rPr>
            </w:pPr>
            <w:r>
              <w:rPr>
                <w:rFonts w:hint="eastAsia"/>
              </w:rPr>
              <w:t>3．工业制程排放：如水泥生产过程中煅烧环节产生的二氧化碳，石化工艺中催化裂化产生的二氧化碳，电解铝产生的全氟碳化物等。</w:t>
            </w:r>
          </w:p>
          <w:p>
            <w:pPr>
              <w:pStyle w:val="58"/>
              <w:rPr>
                <w:rFonts w:hint="eastAsia"/>
              </w:rPr>
            </w:pPr>
            <w:r>
              <w:rPr>
                <w:rFonts w:hint="eastAsia"/>
              </w:rPr>
              <w:t>4．无组织排放（逸散排放）：设备的接缝、密封件、包装和垫圈等发生的有意和无意的</w:t>
            </w:r>
            <w:r>
              <w:rPr>
                <w:rFonts w:hint="eastAsia"/>
                <w:lang w:eastAsia="zh-CN"/>
              </w:rPr>
              <w:t>泄漏</w:t>
            </w:r>
            <w:r>
              <w:rPr>
                <w:rFonts w:hint="eastAsia"/>
              </w:rPr>
              <w:t>，以及煤堆、废水处理、维修区、冷却塔等。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二</w:t>
            </w:r>
            <w:r>
              <w:rPr>
                <w:rFonts w:hint="eastAsia"/>
              </w:rPr>
              <w:t>排放源</w:t>
            </w:r>
          </w:p>
        </w:tc>
        <w:tc>
          <w:tcPr>
            <w:tcW w:w="6503" w:type="dxa"/>
            <w:vAlign w:val="center"/>
          </w:tcPr>
          <w:p>
            <w:pPr>
              <w:pStyle w:val="58"/>
              <w:rPr>
                <w:rFonts w:hint="eastAsia" w:eastAsia="仿宋"/>
                <w:lang w:eastAsia="zh-CN"/>
              </w:rPr>
            </w:pPr>
            <w:r>
              <w:rPr>
                <w:rFonts w:hint="eastAsia"/>
              </w:rPr>
              <w:t>外购电力、热力、制冷或蒸汽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三</w:t>
            </w:r>
            <w:r>
              <w:rPr>
                <w:rFonts w:hint="eastAsia"/>
              </w:rPr>
              <w:t>排放源</w:t>
            </w:r>
          </w:p>
        </w:tc>
        <w:tc>
          <w:tcPr>
            <w:tcW w:w="6503" w:type="dxa"/>
            <w:vAlign w:val="center"/>
          </w:tcPr>
          <w:p>
            <w:pPr>
              <w:pStyle w:val="58"/>
              <w:rPr>
                <w:rFonts w:hint="eastAsia" w:eastAsia="仿宋"/>
                <w:lang w:eastAsia="zh-CN"/>
              </w:rPr>
            </w:pPr>
            <w:r>
              <w:rPr>
                <w:rFonts w:hint="eastAsia"/>
              </w:rPr>
              <w:t>价值链上产生温室气体排放的活动</w:t>
            </w:r>
            <w:r>
              <w:rPr>
                <w:rFonts w:hint="eastAsia"/>
                <w:lang w:eastAsia="zh-CN"/>
              </w:rPr>
              <w:t>。</w:t>
            </w:r>
          </w:p>
        </w:tc>
      </w:tr>
    </w:tbl>
    <w:p>
      <w:pPr>
        <w:pStyle w:val="4"/>
        <w:rPr>
          <w:rFonts w:hint="eastAsia"/>
          <w:szCs w:val="30"/>
        </w:rPr>
      </w:pPr>
      <w:bookmarkStart w:id="211" w:name="_Toc180162860"/>
      <w:r>
        <w:rPr>
          <w:rFonts w:hint="eastAsia"/>
        </w:rPr>
        <w:t>五、计算温室气体排放量</w:t>
      </w:r>
      <w:bookmarkEnd w:id="211"/>
    </w:p>
    <w:p>
      <w:pPr>
        <w:pStyle w:val="5"/>
        <w:rPr>
          <w:rFonts w:hint="eastAsia"/>
        </w:rPr>
      </w:pPr>
      <w:r>
        <w:rPr>
          <w:rFonts w:hint="eastAsia"/>
        </w:rPr>
        <w:t>（一）范围一排放计算方法</w:t>
      </w:r>
    </w:p>
    <w:p>
      <w:pPr>
        <w:rPr>
          <w:rFonts w:hint="eastAsia"/>
        </w:rPr>
      </w:pPr>
      <w:r>
        <w:rPr>
          <w:rFonts w:hint="eastAsia"/>
        </w:rPr>
        <w:t>范围一温室气体排放量一般采用排放因子法或者</w:t>
      </w:r>
      <w:r>
        <w:rPr>
          <w:rFonts w:hint="eastAsia"/>
          <w:lang w:eastAsia="zh-CN"/>
        </w:rPr>
        <w:t>物料</w:t>
      </w:r>
      <w:r>
        <w:rPr>
          <w:rFonts w:hint="eastAsia"/>
        </w:rPr>
        <w:t>平衡法进行核算。排放因子是每一单位排放源活动水平（如每吨煤）所对应的温室气体排放量。具体核算方法可以参考国家主管部门发布的相关行业温室气体排放核算与报告指南，以及相关的国家标准等；排放因子可以参考国家主管部门发布的有关温室气体排放因子数据库。</w:t>
      </w:r>
    </w:p>
    <w:p>
      <w:pPr>
        <w:rPr>
          <w:rFonts w:hint="eastAsia"/>
        </w:rPr>
      </w:pPr>
      <w:r>
        <w:rPr>
          <w:rFonts w:hint="eastAsia"/>
        </w:rPr>
        <w:t>在核算并披露报告期内的温室气体排放总量时，披露主体应当将不同温室气体排放量换算成二氧化碳当量公吨数。不同温室气体的特性不同、对全球增温的影响不同，全球变暖潜势值（GWP）是最常用于将其他温室气体排放量换算成二氧化碳当量的指标，代表在给定时间内，不同温室气体相对于二氧化碳对全球变暖的贡献程度。GWP值由政府间气候变化专门委员会（IPCC）定义并定期更新，如根据IPCC第六次评估报告，甲烷的100年时间范围全球变暖潜势值为28，即表明排放1吨甲烷对气候变化的影响相当于28吨二氧化碳。</w:t>
      </w:r>
    </w:p>
    <w:p>
      <w:pPr>
        <w:pStyle w:val="57"/>
        <w:rPr>
          <w:rFonts w:hint="eastAsia" w:eastAsia="仿宋"/>
          <w:lang w:eastAsia="zh-CN"/>
        </w:rPr>
      </w:pPr>
      <w:r>
        <w:t>表2.12 范围一排放计算方法</w:t>
      </w:r>
      <w:r>
        <w:rPr>
          <w:rFonts w:hint="eastAsia"/>
          <w:lang w:eastAsia="zh-CN"/>
        </w:rPr>
        <w:t>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范围一排放源</w:t>
            </w:r>
          </w:p>
        </w:tc>
        <w:tc>
          <w:tcPr>
            <w:tcW w:w="6316" w:type="dxa"/>
          </w:tcPr>
          <w:p>
            <w:pPr>
              <w:pStyle w:val="58"/>
              <w:rPr>
                <w:rFonts w:hint="eastAsia"/>
              </w:rPr>
            </w:pPr>
            <w:r>
              <w:rPr>
                <w:rFonts w:hint="eastAsia"/>
              </w:rPr>
              <w:t>温室气体排放计算方法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固定排放源/移动排放源</w:t>
            </w:r>
          </w:p>
        </w:tc>
        <w:tc>
          <w:tcPr>
            <w:tcW w:w="6316" w:type="dxa"/>
          </w:tcPr>
          <w:p>
            <w:pPr>
              <w:widowControl/>
              <w:adjustRightInd w:val="0"/>
              <w:snapToGrid w:val="0"/>
              <w:spacing w:line="400" w:lineRule="exact"/>
              <w:ind w:firstLine="0" w:firstLineChars="0"/>
              <w:rPr>
                <w:rFonts w:hint="eastAsia" w:ascii="仿宋" w:hAnsi="仿宋" w:cs="仿宋"/>
                <w:b w:val="0"/>
                <w:bCs w:val="0"/>
                <w:i w:val="0"/>
                <w:iCs w:val="0"/>
                <w:sz w:val="24"/>
                <w:szCs w:val="24"/>
              </w:rPr>
            </w:pPr>
            <w:r>
              <w:rPr>
                <w:rFonts w:hint="eastAsia" w:ascii="仿宋" w:hAnsi="仿宋" w:cs="仿宋"/>
                <w:b w:val="0"/>
                <w:bCs w:val="0"/>
                <w:i w:val="0"/>
                <w:iCs w:val="0"/>
                <w:sz w:val="24"/>
                <w:szCs w:val="24"/>
              </w:rPr>
              <w:t>示例：排放因子法</w:t>
            </w:r>
          </w:p>
          <w:p>
            <w:pPr>
              <w:widowControl/>
              <w:adjustRightInd w:val="0"/>
              <w:snapToGrid w:val="0"/>
              <w:spacing w:line="400" w:lineRule="exact"/>
              <w:ind w:firstLine="0" w:firstLineChars="0"/>
              <w:rPr>
                <w:rFonts w:ascii="仿宋_GB2312" w:hAnsi="Times New Roman" w:cs="Times New Roman"/>
                <w:sz w:val="24"/>
                <w:szCs w:val="24"/>
              </w:rPr>
            </w:pPr>
            <w:r>
              <w:rPr>
                <w:rFonts w:hint="eastAsia" w:ascii="仿宋" w:hAnsi="仿宋" w:cs="仿宋"/>
                <w:sz w:val="24"/>
                <w:szCs w:val="24"/>
              </w:rPr>
              <w:t>采用排放因子法计算时，温室气体排放量为活动数据与温室气体排放因子的乘积</w:t>
            </w:r>
          </w:p>
          <w:p>
            <w:pPr>
              <w:widowControl/>
              <w:adjustRightInd w:val="0"/>
              <w:snapToGrid w:val="0"/>
              <w:spacing w:line="400" w:lineRule="exact"/>
              <w:rPr>
                <w:rFonts w:ascii="仿宋_GB2312" w:hAnsi="Times New Roman" w:cs="Times New Roman"/>
                <w:i w:val="0"/>
                <w:iCs w:val="0"/>
                <w:sz w:val="24"/>
                <w:szCs w:val="24"/>
              </w:rPr>
            </w:pPr>
            <m:oMathPara>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r>
                  <m:rPr/>
                  <w:rPr>
                    <w:rFonts w:ascii="Cambria Math" w:hAnsi="Cambria Math" w:cs="Times New Roman"/>
                    <w:sz w:val="24"/>
                    <w:szCs w:val="24"/>
                  </w:rPr>
                  <m:t>=AD×EF×GWP</m:t>
                </m:r>
              </m:oMath>
            </m:oMathPara>
          </w:p>
          <w:p>
            <w:pPr>
              <w:widowControl/>
              <w:adjustRightInd w:val="0"/>
              <w:snapToGrid w:val="0"/>
              <w:spacing w:line="400" w:lineRule="exact"/>
              <w:ind w:firstLine="0" w:firstLineChars="0"/>
              <w:rPr>
                <w:rFonts w:ascii="仿宋_GB2312" w:hAnsi="Times New Roman" w:cs="Times New Roman"/>
                <w:iCs/>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oMath>
            <w:r>
              <w:rPr>
                <w:rFonts w:hint="eastAsia" w:ascii="仿宋_GB2312" w:hAnsi="Times New Roman" w:cs="Times New Roman"/>
                <w:i w:val="0"/>
                <w:iCs/>
                <w:sz w:val="24"/>
                <w:szCs w:val="24"/>
              </w:rPr>
              <w:t>——温室气体排放量</w:t>
            </w:r>
            <w:r>
              <w:rPr>
                <w:rFonts w:hint="eastAsia" w:ascii="仿宋_GB2312" w:hAnsi="Times New Roman" w:cs="Times New Roman"/>
                <w:iCs/>
                <w:sz w:val="24"/>
                <w:szCs w:val="24"/>
              </w:rPr>
              <w:t>，单位为吨二氧化碳当量</w:t>
            </w:r>
            <w:r>
              <w:rPr>
                <w:rFonts w:hint="eastAsia" w:ascii="仿宋" w:hAnsi="仿宋" w:cs="仿宋"/>
                <w:iCs/>
                <w:sz w:val="24"/>
                <w:szCs w:val="24"/>
              </w:rPr>
              <w:t>（t</w:t>
            </w:r>
            <w:r>
              <w:rPr>
                <w:rFonts w:hint="eastAsia" w:ascii="仿宋" w:hAnsi="仿宋" w:cs="仿宋"/>
                <w:sz w:val="24"/>
                <w:szCs w:val="24"/>
              </w:rPr>
              <w:t>CO</w:t>
            </w:r>
            <w:r>
              <w:rPr>
                <w:rFonts w:hint="eastAsia" w:ascii="仿宋" w:hAnsi="仿宋" w:cs="仿宋"/>
                <w:sz w:val="24"/>
                <w:szCs w:val="24"/>
                <w:vertAlign w:val="subscript"/>
              </w:rPr>
              <w:t>2</w:t>
            </w:r>
            <w:r>
              <w:rPr>
                <w:rFonts w:hint="eastAsia" w:ascii="仿宋" w:hAnsi="仿宋" w:cs="仿宋"/>
                <w:sz w:val="24"/>
                <w:szCs w:val="24"/>
              </w:rPr>
              <w:t>e</w:t>
            </w:r>
            <w:r>
              <w:rPr>
                <w:rFonts w:hint="eastAsia" w:ascii="仿宋" w:hAnsi="仿宋" w:cs="仿宋"/>
                <w:iCs/>
                <w:sz w:val="24"/>
                <w:szCs w:val="24"/>
              </w:rPr>
              <w:t>）</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AD</m:t>
              </m:r>
            </m:oMath>
            <w:r>
              <w:rPr>
                <w:rFonts w:hint="eastAsia" w:ascii="仿宋_GB2312" w:hAnsi="Times New Roman" w:cs="Times New Roman"/>
                <w:iCs/>
                <w:sz w:val="24"/>
                <w:szCs w:val="24"/>
              </w:rPr>
              <w:t>——温室气体活动数据（如锅炉、车辆等排放源的化石燃料消耗量），单位根据具体排放源确定</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EF</m:t>
              </m:r>
            </m:oMath>
            <w:r>
              <w:rPr>
                <w:rFonts w:hint="eastAsia" w:ascii="仿宋_GB2312" w:hAnsi="Times New Roman" w:cs="Times New Roman"/>
                <w:iCs/>
                <w:sz w:val="24"/>
                <w:szCs w:val="24"/>
              </w:rPr>
              <w:t>——温室气体排放因子（如每吨化石燃料二氧化碳排放当量），单位与活动数据的单位相匹配</w:t>
            </w:r>
          </w:p>
          <w:p>
            <w:pPr>
              <w:pStyle w:val="58"/>
              <w:rPr>
                <w:rFonts w:hint="eastAsia"/>
              </w:rPr>
            </w:pPr>
            <m:oMath>
              <m:r>
                <m:rPr/>
                <w:rPr>
                  <w:rFonts w:hint="default" w:ascii="Cambria Math" w:hAnsi="Cambria Math" w:cs="Times New Roman"/>
                  <w:sz w:val="24"/>
                  <w:szCs w:val="24"/>
                  <w:lang w:val="en-US" w:eastAsia="zh-CN"/>
                </w:rPr>
                <m:t xml:space="preserve"> </m:t>
              </m:r>
              <m:r>
                <m:rPr/>
                <w:rPr>
                  <w:rFonts w:ascii="Cambria Math" w:hAnsi="Cambria Math" w:cs="Times New Roman"/>
                  <w:sz w:val="24"/>
                  <w:szCs w:val="24"/>
                </w:rPr>
                <m:t>GWP</m:t>
              </m:r>
            </m:oMath>
            <w:r>
              <w:rPr>
                <w:rFonts w:hint="eastAsia" w:ascii="仿宋_GB2312" w:hAnsi="Times New Roman" w:cs="Times New Roman"/>
                <w:iCs/>
                <w:sz w:val="24"/>
                <w:szCs w:val="24"/>
              </w:rPr>
              <w:t>——全球变暖潜势</w:t>
            </w:r>
            <w:r>
              <w:rPr>
                <w:rFonts w:hint="eastAsia" w:ascii="仿宋_GB2312" w:hAnsi="Times New Roman" w:cs="Times New Roman"/>
                <w:iCs/>
                <w:sz w:val="24"/>
                <w:szCs w:val="24"/>
                <w:lang w:eastAsia="zh-CN"/>
              </w:rPr>
              <w:t>值</w:t>
            </w:r>
            <w:r>
              <w:rPr>
                <w:rFonts w:hint="eastAsia" w:ascii="仿宋_GB2312" w:hAnsi="Times New Roman" w:cs="Times New Roman"/>
                <w:iCs/>
                <w:sz w:val="24"/>
                <w:szCs w:val="24"/>
              </w:rPr>
              <w:t>，数值可参考政府间气候变化专门委员会（</w:t>
            </w:r>
            <w:r>
              <w:rPr>
                <w:rFonts w:ascii="Times New Roman" w:hAnsi="Times New Roman" w:cs="Times New Roman"/>
                <w:iCs/>
                <w:sz w:val="24"/>
                <w:szCs w:val="24"/>
              </w:rPr>
              <w:t>IPCC</w:t>
            </w:r>
            <w:r>
              <w:rPr>
                <w:rFonts w:hint="eastAsia" w:ascii="仿宋_GB2312" w:hAnsi="Times New Roman" w:cs="Times New Roman"/>
                <w:iCs/>
                <w:sz w:val="24"/>
                <w:szCs w:val="24"/>
              </w:rPr>
              <w:t>）最新提供的数据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1980" w:type="dxa"/>
          </w:tcPr>
          <w:p>
            <w:pPr>
              <w:pStyle w:val="58"/>
              <w:rPr>
                <w:rFonts w:hint="eastAsia"/>
              </w:rPr>
            </w:pPr>
            <w:r>
              <w:rPr>
                <w:rFonts w:hint="eastAsia"/>
                <w:lang w:eastAsia="zh-CN"/>
              </w:rPr>
              <w:t>过程</w:t>
            </w:r>
            <w:r>
              <w:rPr>
                <w:rFonts w:hint="eastAsia"/>
              </w:rPr>
              <w:t>排放</w:t>
            </w:r>
          </w:p>
        </w:tc>
        <w:tc>
          <w:tcPr>
            <w:tcW w:w="6316" w:type="dxa"/>
          </w:tcPr>
          <w:p>
            <w:pPr>
              <w:pStyle w:val="58"/>
              <w:rPr>
                <w:rFonts w:hint="eastAsia"/>
              </w:rPr>
            </w:pPr>
            <w:r>
              <w:rPr>
                <w:rFonts w:hint="eastAsia"/>
              </w:rPr>
              <w:t>示例：物料平衡法</w:t>
            </w:r>
          </w:p>
          <w:p>
            <w:pPr>
              <w:pStyle w:val="58"/>
              <w:rPr>
                <w:rFonts w:hint="eastAsia"/>
              </w:rPr>
            </w:pPr>
            <w:r>
              <w:rPr>
                <w:rFonts w:hint="eastAsia"/>
              </w:rPr>
              <w:t>使用物料平衡法计算时，根据质量守恒定律，用输入物料中的含碳量减去输出物料中的含碳量进行平衡计算得到二氧化碳排放量。</w:t>
            </w:r>
          </w:p>
          <w:p>
            <w:pPr>
              <w:pStyle w:val="58"/>
              <w:rPr>
                <w:rFonts w:hint="eastAsia"/>
              </w:rPr>
            </w:pPr>
            <m:oMathPara>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r>
                  <m:rPr>
                    <m:sty m:val="p"/>
                  </m:rPr>
                  <w:rPr>
                    <w:rFonts w:hint="eastAsia" w:ascii="Cambria Math" w:hAnsi="Cambria Math"/>
                  </w:rPr>
                  <m:t>=</m:t>
                </m:r>
                <m:d>
                  <m:dPr>
                    <m:begChr m:val="["/>
                    <m:endChr m:val="]"/>
                    <m:ctrlPr>
                      <w:rPr>
                        <w:rFonts w:hint="eastAsia" w:ascii="Cambria Math" w:hAnsi="Cambria Math"/>
                      </w:rPr>
                    </m:ctrlPr>
                  </m:dPr>
                  <m:e>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ctrlPr>
                              <w:rPr>
                                <w:rFonts w:hint="eastAsia" w:ascii="Cambria Math" w:hAnsi="Cambria Math"/>
                              </w:rPr>
                            </m:ctrlPr>
                          </m:e>
                        </m:nary>
                        <m:ctrlPr>
                          <w:rPr>
                            <w:rFonts w:hint="eastAsia" w:ascii="Cambria Math" w:hAnsi="Cambria Math"/>
                          </w:rPr>
                        </m:ctrlPr>
                      </m:e>
                    </m:nary>
                    <m:ctrlPr>
                      <w:rPr>
                        <w:rFonts w:hint="eastAsia" w:ascii="Cambria Math" w:hAnsi="Cambria Math"/>
                      </w:rPr>
                    </m:ctrlPr>
                  </m:e>
                </m:d>
                <m:r>
                  <m:rPr>
                    <m:sty m:val="p"/>
                  </m:rPr>
                  <w:rPr>
                    <w:rFonts w:hint="eastAsia" w:ascii="Cambria Math" w:hAnsi="Cambria Math"/>
                  </w:rPr>
                  <m:t>×</m:t>
                </m:r>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r>
                  <m:rPr>
                    <m:sty m:val="p"/>
                  </m:rPr>
                  <w:rPr>
                    <w:rFonts w:hint="eastAsia" w:ascii="Cambria Math" w:hAnsi="Cambria Math"/>
                  </w:rPr>
                  <m:t>×GWP</m:t>
                </m:r>
              </m:oMath>
            </m:oMathPara>
          </w:p>
          <w:p>
            <w:pPr>
              <w:pStyle w:val="58"/>
              <w:rPr>
                <w:rFonts w:hint="eastAsia"/>
              </w:rPr>
            </w:pPr>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oMath>
            <w:r>
              <w:rPr>
                <w:rFonts w:hint="eastAsia"/>
              </w:rPr>
              <w:t>——温室气体排放量，单位为吨二氧化碳当量（tCO</w:t>
            </w:r>
            <w:r>
              <w:rPr>
                <w:rFonts w:hint="eastAsia"/>
                <w:vertAlign w:val="subscript"/>
              </w:rPr>
              <w:t>2</w:t>
            </w:r>
            <w:r>
              <w:rPr>
                <w:rFonts w:hint="eastAsia"/>
              </w:rPr>
              <w:t>e）</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——输入物料的含碳量，单位与输入物料的量的单位相匹配</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——输出物料的含碳量，单位与输出物料的量的单位相匹配</w:t>
            </w:r>
          </w:p>
          <w:p>
            <w:pPr>
              <w:pStyle w:val="58"/>
              <w:spacing w:line="560" w:lineRule="exact"/>
              <w:rPr>
                <w:rFonts w:hint="eastAsia"/>
              </w:rPr>
            </w:pPr>
            <m:oMath>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oMath>
            <w:r>
              <w:rPr>
                <w:rFonts w:hint="eastAsia"/>
              </w:rPr>
              <w:t>——碳质量转化为温室气体质量的转换系数（二氧化碳与碳的相对分子质量之比）</w:t>
            </w:r>
          </w:p>
        </w:tc>
      </w:tr>
    </w:tbl>
    <w:p>
      <w:pPr>
        <w:widowControl/>
        <w:outlineLvl w:val="3"/>
        <w:rPr>
          <w:rFonts w:hint="eastAsia" w:cs="仿宋"/>
          <w:b/>
          <w:bCs/>
          <w:szCs w:val="32"/>
        </w:rPr>
      </w:pPr>
      <w:r>
        <w:rPr>
          <w:rFonts w:hint="eastAsia" w:ascii="楷体" w:hAnsi="楷体" w:eastAsia="楷体" w:cs="楷体"/>
          <w:szCs w:val="32"/>
        </w:rPr>
        <w:t>（二）范围二排放计算方法</w:t>
      </w:r>
    </w:p>
    <w:p>
      <w:pPr>
        <w:widowControl/>
        <w:rPr>
          <w:rFonts w:hint="eastAsia" w:cs="仿宋"/>
          <w:szCs w:val="32"/>
        </w:rPr>
      </w:pPr>
      <w:r>
        <w:rPr>
          <w:rFonts w:hint="eastAsia" w:cs="仿宋"/>
          <w:szCs w:val="32"/>
        </w:rPr>
        <w:t>一般而言，公司涉及的范围二排放源以外购电力和外购热力为主，主要采用排放因子法计算。</w:t>
      </w:r>
    </w:p>
    <w:p>
      <w:pPr>
        <w:widowControl/>
        <w:rPr>
          <w:rFonts w:hint="eastAsia" w:cs="仿宋"/>
          <w:szCs w:val="32"/>
        </w:rPr>
      </w:pPr>
      <w:r>
        <w:rPr>
          <w:rFonts w:hint="eastAsia" w:cs="仿宋"/>
          <w:szCs w:val="32"/>
        </w:rPr>
        <w:t>1.公司购入的电力消费所对应的电力生产环节二氧化碳排放量计算公式为：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w:t>
      </w:r>
      <w:r>
        <w:rPr>
          <w:rFonts w:hint="eastAsia" w:cs="仿宋"/>
          <w:szCs w:val="32"/>
          <w:vertAlign w:val="subscript"/>
        </w:rPr>
        <w:t>电</w:t>
      </w:r>
      <w:r>
        <w:rPr>
          <w:rFonts w:hint="eastAsia" w:cs="仿宋"/>
          <w:szCs w:val="32"/>
        </w:rPr>
        <w:t>——外购电力所对应的电力生产环节二氧化碳排放量，单位为吨二氧化碳（tCO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电</w:t>
      </w:r>
      <w:r>
        <w:rPr>
          <w:rFonts w:hint="eastAsia" w:cs="仿宋"/>
          <w:szCs w:val="32"/>
        </w:rPr>
        <w:t>——核算和报告年度内的外购电量，单位为兆瓦时（MW·h）；</w:t>
      </w:r>
    </w:p>
    <w:p>
      <w:pPr>
        <w:widowControl/>
        <w:jc w:val="left"/>
        <w:rPr>
          <w:rFonts w:hint="eastAsia" w:cs="仿宋"/>
          <w:szCs w:val="32"/>
        </w:rPr>
      </w:pPr>
      <w:r>
        <w:rPr>
          <w:rFonts w:hint="eastAsia" w:cs="仿宋"/>
          <w:szCs w:val="32"/>
        </w:rPr>
        <w:t>EF</w:t>
      </w:r>
      <w:r>
        <w:rPr>
          <w:rFonts w:hint="eastAsia" w:cs="仿宋"/>
          <w:szCs w:val="32"/>
          <w:vertAlign w:val="subscript"/>
        </w:rPr>
        <w:t>电</w:t>
      </w:r>
      <w:r>
        <w:rPr>
          <w:rFonts w:hint="eastAsia" w:cs="仿宋"/>
          <w:szCs w:val="32"/>
        </w:rPr>
        <w:t>——电网排放因子，单位为吨二氧化碳/兆瓦时（tCO</w:t>
      </w:r>
      <w:r>
        <w:rPr>
          <w:rFonts w:hint="eastAsia" w:cs="仿宋"/>
          <w:szCs w:val="32"/>
          <w:vertAlign w:val="subscript"/>
        </w:rPr>
        <w:t>2</w:t>
      </w:r>
      <w:r>
        <w:rPr>
          <w:rFonts w:hint="eastAsia" w:cs="仿宋"/>
          <w:szCs w:val="32"/>
        </w:rPr>
        <w:t>/MW·h）。</w:t>
      </w:r>
    </w:p>
    <w:p>
      <w:pPr>
        <w:widowControl/>
        <w:jc w:val="left"/>
        <w:rPr>
          <w:rFonts w:hint="eastAsia" w:cs="仿宋"/>
          <w:szCs w:val="32"/>
        </w:rPr>
      </w:pPr>
      <w:r>
        <w:rPr>
          <w:rFonts w:hint="eastAsia" w:cs="仿宋"/>
          <w:szCs w:val="32"/>
        </w:rPr>
        <w:t>对于电网排放因子的选择，可以参考使用生态环境部不定期更新发布的全国、区域和省级电力平均二氧化碳排放因子。</w:t>
      </w:r>
    </w:p>
    <w:p>
      <w:pPr>
        <w:widowControl/>
        <w:rPr>
          <w:rFonts w:hint="eastAsia" w:cs="仿宋"/>
          <w:szCs w:val="32"/>
        </w:rPr>
      </w:pPr>
      <w:r>
        <w:rPr>
          <w:rFonts w:hint="eastAsia" w:cs="仿宋"/>
          <w:szCs w:val="32"/>
        </w:rPr>
        <w:t>2.公司购入的热力消费所对应的热力生产环节二氧化碳排放量计算公式为：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外购热</w:t>
      </w:r>
      <w:r>
        <w:rPr>
          <w:rFonts w:hint="eastAsia" w:cs="仿宋"/>
          <w:szCs w:val="32"/>
        </w:rPr>
        <w:t>——外购热力所对应的热力生产环节二氧化碳排放量，单位为吨二氧化碳（tCO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热</w:t>
      </w:r>
      <w:r>
        <w:rPr>
          <w:rFonts w:hint="eastAsia" w:cs="仿宋"/>
          <w:szCs w:val="32"/>
        </w:rPr>
        <w:t>——核算和报告年度内的外购热力，单位为吉焦（GJ）；</w:t>
      </w:r>
    </w:p>
    <w:p>
      <w:pPr>
        <w:widowControl/>
        <w:jc w:val="left"/>
        <w:rPr>
          <w:rFonts w:hint="eastAsia" w:cs="仿宋"/>
          <w:szCs w:val="32"/>
        </w:rPr>
      </w:pPr>
      <w:r>
        <w:rPr>
          <w:rFonts w:hint="eastAsia" w:cs="仿宋"/>
          <w:szCs w:val="32"/>
        </w:rPr>
        <w:t>EF</w:t>
      </w:r>
      <w:r>
        <w:rPr>
          <w:rFonts w:hint="eastAsia" w:cs="仿宋"/>
          <w:szCs w:val="32"/>
          <w:vertAlign w:val="subscript"/>
        </w:rPr>
        <w:t>热</w:t>
      </w:r>
      <w:r>
        <w:rPr>
          <w:rFonts w:hint="eastAsia" w:cs="仿宋"/>
          <w:szCs w:val="32"/>
        </w:rPr>
        <w:t>——热力消费的排放因子，单位为吨二氧化碳/吉焦（tCO</w:t>
      </w:r>
      <w:r>
        <w:rPr>
          <w:rFonts w:hint="eastAsia" w:cs="仿宋"/>
          <w:szCs w:val="32"/>
          <w:vertAlign w:val="subscript"/>
        </w:rPr>
        <w:t>2</w:t>
      </w:r>
      <w:r>
        <w:rPr>
          <w:rFonts w:hint="eastAsia" w:cs="仿宋"/>
          <w:szCs w:val="32"/>
        </w:rPr>
        <w:t>/GJ）。</w:t>
      </w:r>
    </w:p>
    <w:p>
      <w:pPr>
        <w:widowControl/>
        <w:jc w:val="left"/>
        <w:rPr>
          <w:rFonts w:hint="eastAsia" w:cs="仿宋"/>
          <w:szCs w:val="32"/>
        </w:rPr>
      </w:pPr>
      <w:r>
        <w:rPr>
          <w:rFonts w:hint="eastAsia" w:cs="仿宋"/>
          <w:szCs w:val="32"/>
        </w:rPr>
        <w:t>若外购热力可溯源，具备实测条件，可采用供热单位提供的二氧化碳排放因子；若条件不具备，热力供应的二氧化碳排放因子可采用</w:t>
      </w:r>
      <w:r>
        <w:rPr>
          <w:rFonts w:hint="eastAsia" w:cs="仿宋"/>
          <w:szCs w:val="32"/>
          <w:lang w:eastAsia="zh-CN"/>
        </w:rPr>
        <w:t>推荐值</w:t>
      </w:r>
      <w:r>
        <w:rPr>
          <w:rFonts w:hint="eastAsia" w:cs="仿宋"/>
          <w:szCs w:val="32"/>
        </w:rPr>
        <w:t>0.11吨CO</w:t>
      </w:r>
      <w:r>
        <w:rPr>
          <w:rFonts w:hint="eastAsia" w:cs="仿宋"/>
          <w:szCs w:val="32"/>
          <w:vertAlign w:val="subscript"/>
        </w:rPr>
        <w:t>2</w:t>
      </w:r>
      <w:r>
        <w:rPr>
          <w:rFonts w:hint="eastAsia" w:cs="仿宋"/>
          <w:szCs w:val="32"/>
        </w:rPr>
        <w:t>/GJ，同时根据主管部门最新发布的数据及时更新。</w:t>
      </w:r>
    </w:p>
    <w:p>
      <w:pPr>
        <w:outlineLvl w:val="3"/>
        <w:rPr>
          <w:rFonts w:hint="eastAsia" w:ascii="楷体" w:hAnsi="楷体" w:eastAsia="楷体" w:cs="楷体"/>
        </w:rPr>
      </w:pPr>
      <w:r>
        <w:rPr>
          <w:rFonts w:hint="eastAsia" w:ascii="楷体" w:hAnsi="楷体" w:eastAsia="楷体" w:cs="楷体"/>
        </w:rPr>
        <w:t>（三）范围三排放计算方法</w:t>
      </w:r>
    </w:p>
    <w:p>
      <w:pPr>
        <w:rPr>
          <w:rFonts w:hint="eastAsia"/>
        </w:rPr>
      </w:pPr>
      <w:r>
        <w:rPr>
          <w:rFonts w:hint="eastAsia"/>
        </w:rPr>
        <w:t>范围三排放可分为上游排放和下游排放，共包括15个类别。上游排放是指与购买或收购的商品和服务相关的间接温室气体排放，下游排放是指与售出商品和服务相关的间接温室气体排放。</w:t>
      </w:r>
    </w:p>
    <w:p>
      <w:pPr>
        <w:rPr>
          <w:rFonts w:hint="eastAsia"/>
        </w:rPr>
      </w:pPr>
      <w:r>
        <w:rPr>
          <w:rFonts w:hint="eastAsia"/>
        </w:rPr>
        <w:t>有条件的披露主体可以就温室气体范围三排放量进行核算，明确纳入其核算的具体排放类别。</w:t>
      </w:r>
    </w:p>
    <w:p>
      <w:pPr>
        <w:rPr>
          <w:rFonts w:hint="eastAsia"/>
        </w:rPr>
      </w:pPr>
      <w:r>
        <w:rPr>
          <w:rFonts w:hint="eastAsia"/>
        </w:rPr>
        <w:t>如果核算全部类别的范围三排放难度较大，公司可以根据自身实际情况先行核算部分重要类别，后逐步扩大核算范围。例如</w:t>
      </w:r>
      <w:r>
        <w:rPr>
          <w:rFonts w:hint="eastAsia"/>
          <w:lang w:eastAsia="zh-CN"/>
        </w:rPr>
        <w:t>，</w:t>
      </w:r>
      <w:r>
        <w:rPr>
          <w:rFonts w:hint="eastAsia"/>
        </w:rPr>
        <w:t>部分企业可能并无任何租赁资产，因此类别8“上游租赁</w:t>
      </w:r>
      <w:r>
        <w:rPr>
          <w:rFonts w:hint="eastAsia"/>
          <w:lang w:eastAsia="zh-CN"/>
        </w:rPr>
        <w:t>的</w:t>
      </w:r>
      <w:r>
        <w:rPr>
          <w:rFonts w:hint="eastAsia"/>
        </w:rPr>
        <w:t>资产”以及类别13“下游租赁</w:t>
      </w:r>
      <w:r>
        <w:rPr>
          <w:rFonts w:hint="eastAsia"/>
          <w:lang w:eastAsia="zh-CN"/>
        </w:rPr>
        <w:t>的</w:t>
      </w:r>
      <w:r>
        <w:rPr>
          <w:rFonts w:hint="eastAsia"/>
        </w:rPr>
        <w:t>资产”均不适用；如预计范围三排放中的部分类别在规模上与其他排放源相比显著较小，或由于数据缺乏、收集数据能力有限以及其他限制因素，可以暂不核算。</w:t>
      </w:r>
    </w:p>
    <w:p>
      <w:pPr>
        <w:pStyle w:val="57"/>
        <w:widowControl/>
        <w:spacing w:line="560" w:lineRule="exact"/>
        <w:ind w:firstLine="560" w:firstLineChars="200"/>
        <w:rPr>
          <w:rFonts w:ascii="仿宋_GB2312" w:eastAsia="仿宋_GB2312"/>
          <w:szCs w:val="30"/>
        </w:rPr>
      </w:pPr>
      <w:r>
        <w:t>表2.13 范围三温室气体排放类别</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pStyle w:val="58"/>
              <w:rPr>
                <w:rFonts w:hint="eastAsia"/>
              </w:rPr>
            </w:pPr>
            <w:r>
              <w:rPr>
                <w:rFonts w:hint="eastAsia"/>
              </w:rPr>
              <w:t>上游排放</w:t>
            </w:r>
          </w:p>
        </w:tc>
        <w:tc>
          <w:tcPr>
            <w:tcW w:w="4149" w:type="dxa"/>
          </w:tcPr>
          <w:p>
            <w:pPr>
              <w:pStyle w:val="58"/>
              <w:rPr>
                <w:rFonts w:hint="eastAsia"/>
              </w:rPr>
            </w:pPr>
            <w:r>
              <w:rPr>
                <w:rFonts w:hint="eastAsia"/>
              </w:rPr>
              <w:t>下游排放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pStyle w:val="58"/>
              <w:rPr>
                <w:rFonts w:hint="eastAsia"/>
              </w:rPr>
            </w:pPr>
            <w:r>
              <w:rPr>
                <w:rFonts w:hint="eastAsia"/>
                <w:lang w:eastAsia="zh-CN"/>
              </w:rPr>
              <w:t>购买的货物</w:t>
            </w:r>
            <w:r>
              <w:rPr>
                <w:rFonts w:hint="eastAsia"/>
              </w:rPr>
              <w:t>和服务</w:t>
            </w:r>
          </w:p>
          <w:p>
            <w:pPr>
              <w:pStyle w:val="58"/>
              <w:rPr>
                <w:rFonts w:hint="eastAsia"/>
              </w:rPr>
            </w:pPr>
            <w:r>
              <w:rPr>
                <w:rFonts w:hint="eastAsia"/>
              </w:rPr>
              <w:t>资本</w:t>
            </w:r>
            <w:r>
              <w:rPr>
                <w:rFonts w:hint="eastAsia"/>
                <w:lang w:eastAsia="zh-CN"/>
              </w:rPr>
              <w:t>货物</w:t>
            </w:r>
          </w:p>
          <w:p>
            <w:pPr>
              <w:pStyle w:val="58"/>
              <w:rPr>
                <w:rFonts w:hint="eastAsia"/>
              </w:rPr>
            </w:pPr>
            <w:r>
              <w:rPr>
                <w:rFonts w:hint="eastAsia"/>
              </w:rPr>
              <w:t>燃料和能源相关活动（未包括在范围一和范围二中的部分）</w:t>
            </w:r>
          </w:p>
          <w:p>
            <w:pPr>
              <w:pStyle w:val="58"/>
              <w:rPr>
                <w:rFonts w:hint="eastAsia" w:eastAsia="仿宋"/>
                <w:lang w:eastAsia="zh-CN"/>
              </w:rPr>
            </w:pPr>
            <w:r>
              <w:rPr>
                <w:rFonts w:hint="eastAsia"/>
              </w:rPr>
              <w:t>上游运输和</w:t>
            </w:r>
            <w:r>
              <w:rPr>
                <w:rFonts w:hint="eastAsia"/>
                <w:lang w:eastAsia="zh-CN"/>
              </w:rPr>
              <w:t>分配</w:t>
            </w:r>
          </w:p>
          <w:p>
            <w:pPr>
              <w:pStyle w:val="58"/>
              <w:rPr>
                <w:rFonts w:hint="eastAsia"/>
              </w:rPr>
            </w:pPr>
            <w:r>
              <w:rPr>
                <w:rFonts w:hint="eastAsia"/>
                <w:lang w:eastAsia="zh-CN"/>
              </w:rPr>
              <w:t>操作中</w:t>
            </w:r>
            <w:r>
              <w:rPr>
                <w:rFonts w:hint="eastAsia"/>
              </w:rPr>
              <w:t>产生的废物</w:t>
            </w:r>
          </w:p>
          <w:p>
            <w:pPr>
              <w:pStyle w:val="58"/>
              <w:rPr>
                <w:rFonts w:hint="eastAsia" w:eastAsia="仿宋"/>
                <w:lang w:eastAsia="zh-CN"/>
              </w:rPr>
            </w:pPr>
            <w:r>
              <w:rPr>
                <w:rFonts w:hint="eastAsia"/>
              </w:rPr>
              <w:t>商务</w:t>
            </w:r>
            <w:r>
              <w:rPr>
                <w:rFonts w:hint="eastAsia"/>
                <w:lang w:eastAsia="zh-CN"/>
              </w:rPr>
              <w:t>旅行</w:t>
            </w:r>
          </w:p>
          <w:p>
            <w:pPr>
              <w:pStyle w:val="58"/>
              <w:rPr>
                <w:rFonts w:hint="eastAsia"/>
              </w:rPr>
            </w:pPr>
            <w:r>
              <w:rPr>
                <w:rFonts w:hint="eastAsia"/>
                <w:lang w:eastAsia="zh-CN"/>
              </w:rPr>
              <w:t>雇员</w:t>
            </w:r>
            <w:r>
              <w:rPr>
                <w:rFonts w:hint="eastAsia"/>
              </w:rPr>
              <w:t>通勤</w:t>
            </w:r>
          </w:p>
          <w:p>
            <w:pPr>
              <w:pStyle w:val="58"/>
              <w:rPr>
                <w:rFonts w:hint="eastAsia"/>
              </w:rPr>
            </w:pPr>
            <w:r>
              <w:rPr>
                <w:rFonts w:hint="eastAsia"/>
              </w:rPr>
              <w:t>上游租赁</w:t>
            </w:r>
            <w:r>
              <w:rPr>
                <w:rFonts w:hint="eastAsia"/>
                <w:lang w:eastAsia="zh-CN"/>
              </w:rPr>
              <w:t>的</w:t>
            </w:r>
            <w:r>
              <w:rPr>
                <w:rFonts w:hint="eastAsia"/>
              </w:rPr>
              <w:t>资产</w:t>
            </w:r>
          </w:p>
        </w:tc>
        <w:tc>
          <w:tcPr>
            <w:tcW w:w="4149" w:type="dxa"/>
          </w:tcPr>
          <w:p>
            <w:pPr>
              <w:pStyle w:val="58"/>
              <w:rPr>
                <w:rFonts w:hint="eastAsia" w:eastAsia="仿宋"/>
                <w:lang w:eastAsia="zh-CN"/>
              </w:rPr>
            </w:pPr>
            <w:r>
              <w:rPr>
                <w:rFonts w:hint="eastAsia"/>
              </w:rPr>
              <w:t>下游</w:t>
            </w:r>
            <w:r>
              <w:rPr>
                <w:rFonts w:hint="eastAsia"/>
                <w:lang w:eastAsia="zh-CN"/>
              </w:rPr>
              <w:t>的</w:t>
            </w:r>
            <w:r>
              <w:rPr>
                <w:rFonts w:hint="eastAsia"/>
              </w:rPr>
              <w:t>运输和</w:t>
            </w:r>
            <w:r>
              <w:rPr>
                <w:rFonts w:hint="eastAsia"/>
                <w:lang w:eastAsia="zh-CN"/>
              </w:rPr>
              <w:t>分配</w:t>
            </w:r>
          </w:p>
          <w:p>
            <w:pPr>
              <w:pStyle w:val="58"/>
              <w:rPr>
                <w:rFonts w:hint="eastAsia"/>
              </w:rPr>
            </w:pPr>
            <w:r>
              <w:rPr>
                <w:rFonts w:hint="eastAsia"/>
                <w:lang w:eastAsia="zh-CN"/>
              </w:rPr>
              <w:t>销售</w:t>
            </w:r>
            <w:r>
              <w:rPr>
                <w:rFonts w:hint="eastAsia"/>
              </w:rPr>
              <w:t>产品的加工</w:t>
            </w:r>
          </w:p>
          <w:p>
            <w:pPr>
              <w:pStyle w:val="58"/>
              <w:rPr>
                <w:rFonts w:hint="eastAsia"/>
              </w:rPr>
            </w:pPr>
            <w:r>
              <w:rPr>
                <w:rFonts w:hint="eastAsia"/>
                <w:lang w:eastAsia="zh-CN"/>
              </w:rPr>
              <w:t>销售</w:t>
            </w:r>
            <w:r>
              <w:rPr>
                <w:rFonts w:hint="eastAsia"/>
              </w:rPr>
              <w:t>产品的使用</w:t>
            </w:r>
          </w:p>
          <w:p>
            <w:pPr>
              <w:pStyle w:val="58"/>
              <w:rPr>
                <w:rFonts w:hint="eastAsia"/>
              </w:rPr>
            </w:pPr>
            <w:r>
              <w:rPr>
                <w:rFonts w:hint="eastAsia"/>
                <w:lang w:eastAsia="zh-CN"/>
              </w:rPr>
              <w:t>售出产品的报废处理</w:t>
            </w:r>
          </w:p>
          <w:p>
            <w:pPr>
              <w:pStyle w:val="58"/>
              <w:rPr>
                <w:rFonts w:hint="eastAsia"/>
              </w:rPr>
            </w:pPr>
            <w:r>
              <w:rPr>
                <w:rFonts w:hint="eastAsia"/>
              </w:rPr>
              <w:t>下游租赁</w:t>
            </w:r>
            <w:r>
              <w:rPr>
                <w:rFonts w:hint="eastAsia"/>
                <w:lang w:eastAsia="zh-CN"/>
              </w:rPr>
              <w:t>的</w:t>
            </w:r>
            <w:r>
              <w:rPr>
                <w:rFonts w:hint="eastAsia"/>
              </w:rPr>
              <w:t>资产</w:t>
            </w:r>
          </w:p>
          <w:p>
            <w:pPr>
              <w:pStyle w:val="58"/>
              <w:rPr>
                <w:rFonts w:hint="eastAsia"/>
              </w:rPr>
            </w:pPr>
            <w:r>
              <w:rPr>
                <w:rFonts w:hint="eastAsia"/>
              </w:rPr>
              <w:t>特许权</w:t>
            </w:r>
          </w:p>
          <w:p>
            <w:pPr>
              <w:pStyle w:val="58"/>
              <w:rPr>
                <w:rFonts w:hint="eastAsia"/>
              </w:rPr>
            </w:pPr>
            <w:r>
              <w:rPr>
                <w:rFonts w:hint="eastAsia"/>
              </w:rPr>
              <w:t>投资</w:t>
            </w:r>
          </w:p>
        </w:tc>
      </w:tr>
    </w:tbl>
    <w:p>
      <w:pPr>
        <w:pStyle w:val="57"/>
        <w:widowControl/>
        <w:spacing w:line="560" w:lineRule="exact"/>
        <w:ind w:firstLine="560" w:firstLineChars="200"/>
      </w:pPr>
      <w:r>
        <w:t>表2.14 确定纳入范围三排放核算的考虑因素</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pPr>
              <w:pStyle w:val="58"/>
              <w:widowControl/>
              <w:jc w:val="center"/>
              <w:rPr>
                <w:rFonts w:hint="eastAsia"/>
              </w:rPr>
            </w:pPr>
            <w:r>
              <w:rPr>
                <w:rFonts w:hint="eastAsia"/>
              </w:rPr>
              <w:t>因素</w:t>
            </w:r>
          </w:p>
        </w:tc>
        <w:tc>
          <w:tcPr>
            <w:tcW w:w="5484" w:type="dxa"/>
          </w:tcPr>
          <w:p>
            <w:pPr>
              <w:pStyle w:val="58"/>
              <w:widowControl/>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规模</w:t>
            </w:r>
          </w:p>
        </w:tc>
        <w:tc>
          <w:tcPr>
            <w:tcW w:w="5484" w:type="dxa"/>
          </w:tcPr>
          <w:p>
            <w:pPr>
              <w:pStyle w:val="58"/>
              <w:widowControl/>
              <w:jc w:val="left"/>
              <w:rPr>
                <w:rFonts w:hint="eastAsia"/>
              </w:rPr>
            </w:pPr>
            <w:r>
              <w:rPr>
                <w:rFonts w:hint="eastAsia"/>
              </w:rPr>
              <w:t>对企业的范围三总排放</w:t>
            </w:r>
            <w:r>
              <w:rPr>
                <w:rFonts w:hint="eastAsia"/>
                <w:lang w:eastAsia="zh-CN"/>
              </w:rPr>
              <w:t>量</w:t>
            </w:r>
            <w:r>
              <w:rPr>
                <w:rFonts w:hint="eastAsia"/>
              </w:rPr>
              <w:t>影响重大，例如相对企业的范围一和范围二排放量规模较大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影响力</w:t>
            </w:r>
          </w:p>
        </w:tc>
        <w:tc>
          <w:tcPr>
            <w:tcW w:w="5484" w:type="dxa"/>
          </w:tcPr>
          <w:p>
            <w:pPr>
              <w:pStyle w:val="58"/>
              <w:widowControl/>
              <w:jc w:val="left"/>
              <w:rPr>
                <w:rFonts w:hint="eastAsia"/>
              </w:rPr>
            </w:pPr>
            <w:r>
              <w:rPr>
                <w:rFonts w:hint="eastAsia"/>
              </w:rPr>
              <w:t>企业对于潜在的温室气体减排活动可施加影响力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行业标准</w:t>
            </w:r>
          </w:p>
        </w:tc>
        <w:tc>
          <w:tcPr>
            <w:tcW w:w="5484" w:type="dxa"/>
          </w:tcPr>
          <w:p>
            <w:pPr>
              <w:pStyle w:val="58"/>
              <w:widowControl/>
              <w:jc w:val="left"/>
              <w:rPr>
                <w:rFonts w:hint="eastAsia"/>
              </w:rPr>
            </w:pPr>
            <w:r>
              <w:rPr>
                <w:rFonts w:hint="eastAsia"/>
              </w:rPr>
              <w:t>行业特定标准已将其识别为重要的排放类别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风险</w:t>
            </w:r>
          </w:p>
        </w:tc>
        <w:tc>
          <w:tcPr>
            <w:tcW w:w="5484" w:type="dxa"/>
          </w:tcPr>
          <w:p>
            <w:pPr>
              <w:pStyle w:val="58"/>
              <w:widowControl/>
              <w:jc w:val="left"/>
              <w:rPr>
                <w:rFonts w:hint="eastAsia"/>
              </w:rPr>
            </w:pPr>
            <w:r>
              <w:rPr>
                <w:rFonts w:hint="eastAsia"/>
              </w:rPr>
              <w:t>构成企业的风险（例如气候变化相关</w:t>
            </w:r>
            <w:r>
              <w:rPr>
                <w:rFonts w:hint="eastAsia"/>
                <w:lang w:eastAsia="zh-CN"/>
              </w:rPr>
              <w:t>转型</w:t>
            </w:r>
            <w:r>
              <w:rPr>
                <w:rFonts w:hint="eastAsia"/>
              </w:rPr>
              <w:t>风险中，如诉讼、声誉等风险）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外包</w:t>
            </w:r>
          </w:p>
        </w:tc>
        <w:tc>
          <w:tcPr>
            <w:tcW w:w="5484" w:type="dxa"/>
          </w:tcPr>
          <w:p>
            <w:pPr>
              <w:pStyle w:val="58"/>
              <w:widowControl/>
              <w:jc w:val="left"/>
              <w:rPr>
                <w:rFonts w:hint="eastAsia"/>
              </w:rPr>
            </w:pPr>
            <w:r>
              <w:rPr>
                <w:rFonts w:hint="eastAsia"/>
              </w:rPr>
              <w:t>以前报告期在企业内部完成而现在进行外包的活动，或企业外包而同行业其他企业通常在内部完成的活动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利益相关方</w:t>
            </w:r>
          </w:p>
        </w:tc>
        <w:tc>
          <w:tcPr>
            <w:tcW w:w="5484" w:type="dxa"/>
          </w:tcPr>
          <w:p>
            <w:pPr>
              <w:pStyle w:val="58"/>
              <w:widowControl/>
              <w:jc w:val="left"/>
              <w:rPr>
                <w:rFonts w:hint="eastAsia"/>
              </w:rPr>
            </w:pPr>
            <w:r>
              <w:rPr>
                <w:rFonts w:hint="eastAsia"/>
              </w:rPr>
              <w:t>被利益相关方认为是重要的，例如客户、供应商、投资者等</w:t>
            </w:r>
          </w:p>
        </w:tc>
      </w:tr>
    </w:tbl>
    <w:p>
      <w:pPr>
        <w:widowControl/>
        <w:rPr>
          <w:rFonts w:hint="eastAsia" w:cs="仿宋"/>
          <w:szCs w:val="32"/>
        </w:rPr>
      </w:pPr>
      <w:r>
        <w:rPr>
          <w:rFonts w:hint="eastAsia" w:cs="仿宋"/>
          <w:szCs w:val="32"/>
        </w:rPr>
        <w:t>披露主体计算范围三温室气体排放量时，</w:t>
      </w:r>
      <w:r>
        <w:rPr>
          <w:rFonts w:hint="eastAsia" w:cs="仿宋"/>
          <w:szCs w:val="32"/>
          <w:lang w:eastAsia="zh-CN"/>
        </w:rPr>
        <w:t>一般</w:t>
      </w:r>
      <w:r>
        <w:rPr>
          <w:rFonts w:hint="eastAsia" w:cs="仿宋"/>
          <w:szCs w:val="32"/>
        </w:rPr>
        <w:t>使用活动数据和排放因子两种类型的数据，进而通过以下公式计算：</w:t>
      </w:r>
    </w:p>
    <w:p>
      <w:pPr>
        <w:widowControl/>
        <w:rPr>
          <w:rFonts w:hint="eastAsia" w:cs="仿宋"/>
          <w:szCs w:val="32"/>
        </w:rPr>
      </w:pPr>
      <w:r>
        <w:rPr>
          <w:rFonts w:hint="eastAsia" w:cs="仿宋"/>
          <w:szCs w:val="32"/>
        </w:rPr>
        <w:t>二氧化碳当量（CO</w:t>
      </w:r>
      <w:r>
        <w:rPr>
          <w:rFonts w:hint="eastAsia" w:cs="仿宋"/>
          <w:szCs w:val="32"/>
          <w:vertAlign w:val="subscript"/>
        </w:rPr>
        <w:t>2</w:t>
      </w:r>
      <w:r>
        <w:rPr>
          <w:rFonts w:hint="eastAsia" w:cs="仿宋"/>
          <w:szCs w:val="32"/>
        </w:rPr>
        <w:t>e）= A × EF × GWP</w:t>
      </w:r>
    </w:p>
    <w:p>
      <w:pPr>
        <w:widowControl/>
        <w:rPr>
          <w:rFonts w:hint="eastAsia" w:cs="仿宋"/>
          <w:szCs w:val="32"/>
        </w:rPr>
      </w:pPr>
      <w:r>
        <w:rPr>
          <w:rFonts w:hint="eastAsia" w:cs="仿宋"/>
          <w:szCs w:val="32"/>
        </w:rPr>
        <w:t>A——活动数据</w:t>
      </w:r>
    </w:p>
    <w:p>
      <w:pPr>
        <w:widowControl/>
        <w:rPr>
          <w:rFonts w:hint="eastAsia" w:cs="仿宋"/>
          <w:szCs w:val="32"/>
        </w:rPr>
      </w:pPr>
      <w:r>
        <w:rPr>
          <w:rFonts w:hint="eastAsia" w:cs="仿宋"/>
          <w:szCs w:val="32"/>
        </w:rPr>
        <w:t>EF——排放因子</w:t>
      </w:r>
    </w:p>
    <w:p>
      <w:pPr>
        <w:widowControl/>
        <w:rPr>
          <w:rFonts w:hint="eastAsia" w:cs="仿宋"/>
          <w:szCs w:val="32"/>
        </w:rPr>
      </w:pPr>
      <w:r>
        <w:rPr>
          <w:rFonts w:hint="eastAsia" w:cs="仿宋"/>
          <w:szCs w:val="32"/>
        </w:rPr>
        <w:t>GWP——全球变暖潜势值</w:t>
      </w:r>
    </w:p>
    <w:p>
      <w:pPr>
        <w:widowControl/>
        <w:rPr>
          <w:rFonts w:hint="eastAsia" w:ascii="仿宋_GB2312" w:eastAsia="仿宋_GB2312"/>
          <w:sz w:val="30"/>
          <w:szCs w:val="30"/>
        </w:rPr>
      </w:pPr>
      <w:r>
        <w:rPr>
          <w:rFonts w:hint="eastAsia" w:cs="仿宋"/>
          <w:szCs w:val="32"/>
        </w:rPr>
        <w:t>其中，活动数据是对产生温室气体排放的活动水平的量化测量；排放因子是指将活动数据转化为温室气体排放数据的因子；全球变暖潜势值主要</w:t>
      </w:r>
      <w:r>
        <w:rPr>
          <w:rFonts w:hint="eastAsia" w:cs="仿宋"/>
          <w:szCs w:val="32"/>
          <w:lang w:eastAsia="zh-CN"/>
        </w:rPr>
        <w:t>用于</w:t>
      </w:r>
      <w:r>
        <w:rPr>
          <w:rFonts w:hint="eastAsia" w:cs="仿宋"/>
          <w:szCs w:val="32"/>
        </w:rPr>
        <w:t>将其他温室气体统一换算成二氧化碳当量（CO</w:t>
      </w:r>
      <w:r>
        <w:rPr>
          <w:rFonts w:hint="eastAsia" w:cs="仿宋"/>
          <w:szCs w:val="32"/>
          <w:vertAlign w:val="subscript"/>
        </w:rPr>
        <w:t>2</w:t>
      </w:r>
      <w:r>
        <w:rPr>
          <w:rFonts w:hint="eastAsia" w:cs="仿宋"/>
          <w:szCs w:val="32"/>
        </w:rPr>
        <w:t>e）。</w:t>
      </w:r>
    </w:p>
    <w:p>
      <w:pPr>
        <w:pStyle w:val="57"/>
        <w:widowControl/>
        <w:spacing w:line="560" w:lineRule="exact"/>
        <w:ind w:firstLine="560" w:firstLineChars="200"/>
      </w:pPr>
      <w:r>
        <w:t>表2.15 活动数据和排放因子示例</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center"/>
              <w:rPr>
                <w:rFonts w:hint="eastAsia"/>
              </w:rPr>
            </w:pPr>
            <w:r>
              <w:rPr>
                <w:rFonts w:hint="eastAsia"/>
              </w:rPr>
              <w:t>活动数据</w:t>
            </w:r>
          </w:p>
        </w:tc>
        <w:tc>
          <w:tcPr>
            <w:tcW w:w="5436" w:type="dxa"/>
          </w:tcPr>
          <w:p>
            <w:pPr>
              <w:pStyle w:val="58"/>
              <w:widowControl/>
              <w:jc w:val="center"/>
              <w:rPr>
                <w:rFonts w:hint="eastAsia"/>
              </w:rPr>
            </w:pPr>
            <w:r>
              <w:rPr>
                <w:rFonts w:hint="eastAsia"/>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消耗的燃料（升）</w:t>
            </w:r>
          </w:p>
        </w:tc>
        <w:tc>
          <w:tcPr>
            <w:tcW w:w="5436" w:type="dxa"/>
          </w:tcPr>
          <w:p>
            <w:pPr>
              <w:pStyle w:val="58"/>
              <w:widowControl/>
              <w:jc w:val="left"/>
              <w:rPr>
                <w:rFonts w:hint="eastAsia"/>
              </w:rPr>
            </w:pPr>
            <w:r>
              <w:rPr>
                <w:rFonts w:hint="eastAsia"/>
              </w:rPr>
              <w:t>消耗每升燃料产生的二氧化碳（千克/升）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运轮距离（千米）</w:t>
            </w:r>
          </w:p>
        </w:tc>
        <w:tc>
          <w:tcPr>
            <w:tcW w:w="5436" w:type="dxa"/>
          </w:tcPr>
          <w:p>
            <w:pPr>
              <w:pStyle w:val="58"/>
              <w:widowControl/>
              <w:jc w:val="left"/>
              <w:rPr>
                <w:rFonts w:hint="eastAsia"/>
              </w:rPr>
            </w:pPr>
            <w:r>
              <w:rPr>
                <w:rFonts w:hint="eastAsia"/>
              </w:rPr>
              <w:t>每千米运输产生的二氧化碳（千克/千米）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68" w:type="dxa"/>
          </w:tcPr>
          <w:p>
            <w:pPr>
              <w:pStyle w:val="58"/>
              <w:widowControl/>
              <w:jc w:val="left"/>
              <w:rPr>
                <w:rFonts w:hint="eastAsia"/>
              </w:rPr>
            </w:pPr>
            <w:r>
              <w:rPr>
                <w:rFonts w:hint="eastAsia"/>
              </w:rPr>
              <w:t>采购的材料（千克）</w:t>
            </w:r>
          </w:p>
        </w:tc>
        <w:tc>
          <w:tcPr>
            <w:tcW w:w="5436" w:type="dxa"/>
          </w:tcPr>
          <w:p>
            <w:pPr>
              <w:pStyle w:val="58"/>
              <w:widowControl/>
              <w:jc w:val="left"/>
              <w:rPr>
                <w:rFonts w:hint="eastAsia"/>
              </w:rPr>
            </w:pPr>
            <w:r>
              <w:rPr>
                <w:rFonts w:hint="eastAsia"/>
              </w:rPr>
              <w:t>采购每千克材料产生的碳氢化合物（千克/千克）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运行时间（小时）</w:t>
            </w:r>
          </w:p>
        </w:tc>
        <w:tc>
          <w:tcPr>
            <w:tcW w:w="5436" w:type="dxa"/>
          </w:tcPr>
          <w:p>
            <w:pPr>
              <w:pStyle w:val="58"/>
              <w:widowControl/>
              <w:jc w:val="left"/>
              <w:rPr>
                <w:rFonts w:hint="eastAsia"/>
              </w:rPr>
            </w:pPr>
            <w:r>
              <w:rPr>
                <w:rFonts w:hint="eastAsia"/>
              </w:rPr>
              <w:t>每小时运行产生的六氟化硫（千克/小时）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支出的金额（元人民币）</w:t>
            </w:r>
          </w:p>
        </w:tc>
        <w:tc>
          <w:tcPr>
            <w:tcW w:w="5436" w:type="dxa"/>
          </w:tcPr>
          <w:p>
            <w:pPr>
              <w:pStyle w:val="58"/>
              <w:widowControl/>
              <w:jc w:val="left"/>
              <w:rPr>
                <w:rFonts w:hint="eastAsia"/>
              </w:rPr>
            </w:pPr>
            <w:r>
              <w:rPr>
                <w:rFonts w:hint="eastAsia"/>
              </w:rPr>
              <w:t>支出每单位费用产生的二氧化碳（千克/元人民币）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产生的废物（千克）</w:t>
            </w:r>
          </w:p>
        </w:tc>
        <w:tc>
          <w:tcPr>
            <w:tcW w:w="5436" w:type="dxa"/>
          </w:tcPr>
          <w:p>
            <w:pPr>
              <w:pStyle w:val="58"/>
              <w:widowControl/>
              <w:jc w:val="left"/>
              <w:rPr>
                <w:rFonts w:hint="eastAsia"/>
              </w:rPr>
            </w:pPr>
            <w:r>
              <w:rPr>
                <w:rFonts w:hint="eastAsia"/>
              </w:rPr>
              <w:t>每千克废物产生的甲烷（千克/千克）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vAlign w:val="center"/>
          </w:tcPr>
          <w:p>
            <w:pPr>
              <w:pStyle w:val="58"/>
              <w:widowControl/>
              <w:jc w:val="left"/>
              <w:rPr>
                <w:rFonts w:hint="eastAsia"/>
              </w:rPr>
            </w:pPr>
            <w:r>
              <w:rPr>
                <w:rFonts w:hint="eastAsia"/>
              </w:rPr>
              <w:t>消耗的电力（千瓦时）</w:t>
            </w:r>
          </w:p>
        </w:tc>
        <w:tc>
          <w:tcPr>
            <w:tcW w:w="5436" w:type="dxa"/>
          </w:tcPr>
          <w:p>
            <w:pPr>
              <w:pStyle w:val="58"/>
              <w:widowControl/>
              <w:jc w:val="left"/>
              <w:rPr>
                <w:rFonts w:hint="eastAsia"/>
              </w:rPr>
            </w:pPr>
            <w:r>
              <w:rPr>
                <w:rFonts w:hint="eastAsia"/>
              </w:rPr>
              <w:t>消耗每千瓦时电力产生的二氧化碳（千克/千瓦时）</w:t>
            </w:r>
          </w:p>
        </w:tc>
      </w:tr>
    </w:tbl>
    <w:p>
      <w:pPr>
        <w:widowControl/>
        <w:adjustRightInd/>
        <w:snapToGrid/>
        <w:spacing w:line="240" w:lineRule="auto"/>
        <w:rPr>
          <w:rFonts w:hint="eastAsia"/>
        </w:rPr>
      </w:pPr>
      <w:r>
        <w:rPr>
          <w:rFonts w:hint="eastAsia"/>
        </w:rPr>
        <w:t>活动数据可以来自一手数据或二手数据，在其他条件相同的情况下应优先使用一手数据。其中，一手数据主要由价值链上的供应商或其他合作方直接提供；二手数据包括行业平均数据（如已公开的数据库、政府统计、文献研究和行业协会</w:t>
      </w:r>
      <w:r>
        <w:rPr>
          <w:rFonts w:hint="eastAsia"/>
          <w:lang w:eastAsia="zh-CN"/>
        </w:rPr>
        <w:t>数据</w:t>
      </w:r>
      <w:r>
        <w:rPr>
          <w:rFonts w:hint="eastAsia"/>
        </w:rPr>
        <w:t>）、财务数据、替代数据和其他通用数据。若本报告期内所获得的价值链活动数据存在时间跨期（上一报告期）或时间区间不一致（仅涵盖本报告期部分时间或上一报告期部分月份和本报告期部分月份）的情况，则允许在注明所获活动数据时间区间的基础上进行核算和披露。随着活动数据可得性和及时性的提升，披露主体需尽可能使用最新的一手数据。</w:t>
      </w:r>
    </w:p>
    <w:p>
      <w:pPr>
        <w:pStyle w:val="57"/>
        <w:widowControl/>
        <w:spacing w:line="560" w:lineRule="exact"/>
        <w:ind w:firstLine="560" w:firstLineChars="200"/>
      </w:pPr>
      <w:r>
        <w:t>表2.16 范围三类别一手数据和二手数据的示例</w:t>
      </w:r>
    </w:p>
    <w:tbl>
      <w:tblPr>
        <w:tblStyle w:val="22"/>
        <w:tblW w:w="831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3086"/>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1" w:type="dxa"/>
          </w:tcPr>
          <w:p>
            <w:pPr>
              <w:pStyle w:val="58"/>
              <w:widowControl/>
              <w:jc w:val="center"/>
              <w:rPr>
                <w:rFonts w:hint="eastAsia"/>
              </w:rPr>
            </w:pPr>
            <w:r>
              <w:rPr>
                <w:rFonts w:hint="eastAsia"/>
              </w:rPr>
              <w:t>类别</w:t>
            </w:r>
          </w:p>
        </w:tc>
        <w:tc>
          <w:tcPr>
            <w:tcW w:w="3086" w:type="dxa"/>
          </w:tcPr>
          <w:p>
            <w:pPr>
              <w:pStyle w:val="58"/>
              <w:widowControl/>
              <w:jc w:val="center"/>
              <w:rPr>
                <w:rFonts w:hint="eastAsia"/>
              </w:rPr>
            </w:pPr>
            <w:r>
              <w:rPr>
                <w:rFonts w:hint="eastAsia"/>
              </w:rPr>
              <w:t>一手数据示例</w:t>
            </w:r>
          </w:p>
        </w:tc>
        <w:tc>
          <w:tcPr>
            <w:tcW w:w="2927" w:type="dxa"/>
          </w:tcPr>
          <w:p>
            <w:pPr>
              <w:pStyle w:val="58"/>
              <w:widowControl/>
              <w:jc w:val="center"/>
              <w:rPr>
                <w:rFonts w:hint="eastAsia"/>
              </w:rPr>
            </w:pPr>
            <w:r>
              <w:rPr>
                <w:rFonts w:hint="eastAsia"/>
              </w:rPr>
              <w:t>二手数据示例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1.</w:t>
            </w:r>
            <w:r>
              <w:rPr>
                <w:rFonts w:hint="eastAsia"/>
                <w:lang w:eastAsia="zh-CN"/>
              </w:rPr>
              <w:t>购买的货物</w:t>
            </w:r>
            <w:r>
              <w:rPr>
                <w:rFonts w:hint="eastAsia"/>
              </w:rPr>
              <w:t>和服务</w:t>
            </w:r>
          </w:p>
        </w:tc>
        <w:tc>
          <w:tcPr>
            <w:tcW w:w="3086" w:type="dxa"/>
          </w:tcPr>
          <w:p>
            <w:pPr>
              <w:pStyle w:val="58"/>
              <w:widowControl/>
              <w:spacing w:line="240" w:lineRule="auto"/>
              <w:jc w:val="left"/>
              <w:rPr>
                <w:rFonts w:hint="eastAsia"/>
              </w:rPr>
            </w:pPr>
            <w:r>
              <w:rPr>
                <w:rFonts w:hint="eastAsia"/>
              </w:rPr>
              <w:t>来自供应商的特定场地能耗或排放数据</w:t>
            </w:r>
          </w:p>
          <w:p>
            <w:pPr>
              <w:pStyle w:val="58"/>
              <w:widowControl/>
              <w:spacing w:line="240" w:lineRule="auto"/>
              <w:jc w:val="left"/>
              <w:rPr>
                <w:rFonts w:hint="eastAsia"/>
              </w:rPr>
            </w:pPr>
          </w:p>
        </w:tc>
        <w:tc>
          <w:tcPr>
            <w:tcW w:w="2927" w:type="dxa"/>
          </w:tcPr>
          <w:p>
            <w:pPr>
              <w:pStyle w:val="58"/>
              <w:widowControl/>
              <w:spacing w:line="240" w:lineRule="auto"/>
              <w:jc w:val="left"/>
              <w:rPr>
                <w:rFonts w:hint="eastAsia"/>
              </w:rPr>
            </w:pPr>
            <w:r>
              <w:rPr>
                <w:rFonts w:hint="eastAsia"/>
              </w:rPr>
              <w:t>来自全生命周期清单数据库的每单位耗材的行业平均排放因子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eastAsia="仿宋"/>
                <w:lang w:eastAsia="zh-CN"/>
              </w:rPr>
            </w:pPr>
            <w:r>
              <w:rPr>
                <w:rFonts w:hint="eastAsia"/>
              </w:rPr>
              <w:t>2.资本</w:t>
            </w:r>
            <w:r>
              <w:rPr>
                <w:rFonts w:hint="eastAsia"/>
                <w:lang w:eastAsia="zh-CN"/>
              </w:rPr>
              <w:t>货物</w:t>
            </w:r>
          </w:p>
        </w:tc>
        <w:tc>
          <w:tcPr>
            <w:tcW w:w="3086" w:type="dxa"/>
          </w:tcPr>
          <w:p>
            <w:pPr>
              <w:pStyle w:val="58"/>
              <w:widowControl/>
              <w:spacing w:line="240" w:lineRule="auto"/>
              <w:jc w:val="left"/>
              <w:rPr>
                <w:rFonts w:hint="eastAsia"/>
              </w:rPr>
            </w:pPr>
            <w:r>
              <w:rPr>
                <w:rFonts w:hint="eastAsia"/>
              </w:rPr>
              <w:t>来自供应商的特定场地能耗或排放数据</w:t>
            </w:r>
          </w:p>
        </w:tc>
        <w:tc>
          <w:tcPr>
            <w:tcW w:w="2927" w:type="dxa"/>
          </w:tcPr>
          <w:p>
            <w:pPr>
              <w:pStyle w:val="58"/>
              <w:widowControl/>
              <w:spacing w:line="240" w:lineRule="auto"/>
              <w:jc w:val="left"/>
              <w:rPr>
                <w:rFonts w:hint="eastAsia"/>
              </w:rPr>
            </w:pPr>
            <w:r>
              <w:rPr>
                <w:rFonts w:hint="eastAsia"/>
              </w:rPr>
              <w:t>基于行业的平均排放因子</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301" w:type="dxa"/>
          </w:tcPr>
          <w:p>
            <w:pPr>
              <w:pStyle w:val="58"/>
              <w:widowControl/>
              <w:jc w:val="left"/>
              <w:rPr>
                <w:rFonts w:hint="eastAsia"/>
              </w:rPr>
            </w:pPr>
            <w:r>
              <w:t>3.</w:t>
            </w:r>
            <w:r>
              <w:rPr>
                <w:rFonts w:hint="eastAsia"/>
              </w:rPr>
              <w:t>燃料和能源相关活动（未包括在范围一和范围二中的部分）</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特定企业的电力购买数据和外购电力的特定发电机排放率</w:t>
            </w:r>
          </w:p>
        </w:tc>
        <w:tc>
          <w:tcPr>
            <w:tcW w:w="2927" w:type="dxa"/>
          </w:tcPr>
          <w:p>
            <w:pPr>
              <w:pStyle w:val="58"/>
              <w:widowControl/>
              <w:spacing w:line="240" w:lineRule="auto"/>
              <w:jc w:val="left"/>
              <w:rPr>
                <w:rFonts w:hint="eastAsia"/>
              </w:rPr>
            </w:pPr>
            <w:r>
              <w:rPr>
                <w:rFonts w:hint="eastAsia"/>
              </w:rPr>
              <w:t>基于上游排放的国家平均数据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4.上游运输和</w:t>
            </w:r>
            <w:r>
              <w:rPr>
                <w:rFonts w:hint="eastAsia"/>
                <w:lang w:eastAsia="zh-CN"/>
              </w:rPr>
              <w:t>分配</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来自第三方运输和配送供应商的特定活动能耗或排放数据</w:t>
            </w:r>
          </w:p>
        </w:tc>
        <w:tc>
          <w:tcPr>
            <w:tcW w:w="2927" w:type="dxa"/>
          </w:tcPr>
          <w:p>
            <w:pPr>
              <w:pStyle w:val="58"/>
              <w:widowControl/>
              <w:spacing w:line="240" w:lineRule="auto"/>
              <w:jc w:val="left"/>
              <w:rPr>
                <w:rFonts w:hint="eastAsia"/>
              </w:rPr>
            </w:pPr>
            <w:r>
              <w:rPr>
                <w:rFonts w:hint="eastAsia"/>
              </w:rPr>
              <w:t>基于行业平均数据估算的一定模式下的运输距离</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5.</w:t>
            </w:r>
            <w:r>
              <w:rPr>
                <w:rFonts w:hint="eastAsia"/>
                <w:lang w:eastAsia="zh-CN"/>
              </w:rPr>
              <w:t>操作</w:t>
            </w:r>
            <w:r>
              <w:rPr>
                <w:rFonts w:hint="eastAsia"/>
              </w:rPr>
              <w:t>中产生的废物</w:t>
            </w:r>
          </w:p>
        </w:tc>
        <w:tc>
          <w:tcPr>
            <w:tcW w:w="3086" w:type="dxa"/>
          </w:tcPr>
          <w:p>
            <w:pPr>
              <w:pStyle w:val="58"/>
              <w:widowControl/>
              <w:spacing w:line="240" w:lineRule="auto"/>
              <w:jc w:val="left"/>
              <w:rPr>
                <w:rFonts w:hint="eastAsia"/>
              </w:rPr>
            </w:pPr>
            <w:r>
              <w:rPr>
                <w:rFonts w:hint="eastAsia"/>
              </w:rPr>
              <w:t>来自废弃物管理公司的特定场地排放数据</w:t>
            </w:r>
          </w:p>
        </w:tc>
        <w:tc>
          <w:tcPr>
            <w:tcW w:w="2927" w:type="dxa"/>
          </w:tcPr>
          <w:p>
            <w:pPr>
              <w:pStyle w:val="58"/>
              <w:widowControl/>
              <w:spacing w:line="240" w:lineRule="auto"/>
              <w:jc w:val="left"/>
              <w:rPr>
                <w:rFonts w:hint="eastAsia"/>
              </w:rPr>
            </w:pPr>
            <w:r>
              <w:rPr>
                <w:rFonts w:hint="eastAsia"/>
              </w:rPr>
              <w:t>基于行业平均数据估算的产生废弃物吨数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6.商务</w:t>
            </w:r>
            <w:r>
              <w:rPr>
                <w:rFonts w:hint="eastAsia"/>
                <w:lang w:eastAsia="zh-CN"/>
              </w:rPr>
              <w:t>旅行</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来自运输供应商（如航空公司）的特定活动数据</w:t>
            </w:r>
          </w:p>
        </w:tc>
        <w:tc>
          <w:tcPr>
            <w:tcW w:w="2927" w:type="dxa"/>
          </w:tcPr>
          <w:p>
            <w:pPr>
              <w:pStyle w:val="58"/>
              <w:widowControl/>
              <w:spacing w:line="240" w:lineRule="auto"/>
              <w:jc w:val="left"/>
              <w:rPr>
                <w:rFonts w:hint="eastAsia"/>
              </w:rPr>
            </w:pPr>
            <w:r>
              <w:rPr>
                <w:rFonts w:hint="eastAsia"/>
              </w:rPr>
              <w:t>基于行业平均估算的旅行距离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rPr>
            </w:pPr>
            <w:r>
              <w:rPr>
                <w:rFonts w:hint="eastAsia"/>
              </w:rPr>
              <w:t>7.</w:t>
            </w:r>
            <w:r>
              <w:rPr>
                <w:rFonts w:hint="eastAsia"/>
                <w:lang w:eastAsia="zh-CN"/>
              </w:rPr>
              <w:t>雇员</w:t>
            </w:r>
            <w:r>
              <w:rPr>
                <w:rFonts w:hint="eastAsia"/>
              </w:rPr>
              <w:t>通勤</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从员工处收集的具体通勤距离和交通方式</w:t>
            </w:r>
          </w:p>
        </w:tc>
        <w:tc>
          <w:tcPr>
            <w:tcW w:w="2927" w:type="dxa"/>
          </w:tcPr>
          <w:p>
            <w:pPr>
              <w:pStyle w:val="58"/>
              <w:widowControl/>
              <w:spacing w:line="240" w:lineRule="auto"/>
              <w:jc w:val="left"/>
              <w:rPr>
                <w:rFonts w:hint="eastAsia"/>
              </w:rPr>
            </w:pPr>
            <w:r>
              <w:rPr>
                <w:rFonts w:hint="eastAsia"/>
              </w:rPr>
              <w:t>基于行业平均估算的通勤距离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8.上游租赁</w:t>
            </w:r>
            <w:r>
              <w:rPr>
                <w:rFonts w:hint="eastAsia"/>
                <w:lang w:eastAsia="zh-CN"/>
              </w:rPr>
              <w:t>的</w:t>
            </w:r>
            <w:r>
              <w:rPr>
                <w:rFonts w:hint="eastAsia"/>
              </w:rPr>
              <w:t>资产</w:t>
            </w:r>
          </w:p>
        </w:tc>
        <w:tc>
          <w:tcPr>
            <w:tcW w:w="3086" w:type="dxa"/>
          </w:tcPr>
          <w:p>
            <w:pPr>
              <w:pStyle w:val="58"/>
              <w:widowControl/>
              <w:spacing w:line="240" w:lineRule="auto"/>
              <w:jc w:val="left"/>
              <w:rPr>
                <w:rFonts w:hint="eastAsia"/>
              </w:rPr>
            </w:pPr>
            <w:r>
              <w:rPr>
                <w:rFonts w:hint="eastAsia"/>
              </w:rPr>
              <w:t>从物业账单或仪表收集的特定场地能耗数据</w:t>
            </w:r>
          </w:p>
        </w:tc>
        <w:tc>
          <w:tcPr>
            <w:tcW w:w="2927" w:type="dxa"/>
          </w:tcPr>
          <w:p>
            <w:pPr>
              <w:pStyle w:val="58"/>
              <w:widowControl/>
              <w:spacing w:line="240" w:lineRule="auto"/>
              <w:jc w:val="left"/>
              <w:rPr>
                <w:rFonts w:hint="eastAsia"/>
              </w:rPr>
            </w:pPr>
            <w:r>
              <w:rPr>
                <w:rFonts w:hint="eastAsia"/>
              </w:rPr>
              <w:t>基于行业平均数据估算的排放，例如依据建筑类型每层空间能耗估算</w:t>
            </w:r>
          </w:p>
        </w:tc>
      </w:tr>
    </w:tbl>
    <w:p>
      <w:pPr>
        <w:ind w:firstLine="0" w:firstLineChars="0"/>
        <w:jc w:val="center"/>
        <w:rPr>
          <w:rFonts w:hint="eastAsia" w:eastAsia="黑体"/>
          <w:b/>
          <w:bCs/>
          <w:sz w:val="30"/>
          <w:szCs w:val="30"/>
        </w:rPr>
        <w:sectPr>
          <w:footerReference r:id="rId6" w:type="default"/>
          <w:pgSz w:w="11906" w:h="16838"/>
          <w:pgMar w:top="1440" w:right="1800" w:bottom="1440" w:left="1800" w:header="851" w:footer="992" w:gutter="0"/>
          <w:cols w:space="720" w:num="1"/>
          <w:docGrid w:type="lines" w:linePitch="312" w:charSpace="0"/>
        </w:sectPr>
      </w:pPr>
      <w:bookmarkStart w:id="212" w:name="_Toc21954"/>
      <w:bookmarkStart w:id="213" w:name="_Toc177241772"/>
      <w:bookmarkStart w:id="214" w:name="_Toc12759"/>
    </w:p>
    <w:p>
      <w:pPr>
        <w:pStyle w:val="3"/>
        <w:rPr>
          <w:rFonts w:hint="eastAsia"/>
        </w:rPr>
      </w:pPr>
      <w:bookmarkStart w:id="215" w:name="_Toc179988047"/>
      <w:bookmarkStart w:id="216" w:name="_Toc13957"/>
      <w:r>
        <w:rPr>
          <w:rFonts w:hint="eastAsia"/>
        </w:rPr>
        <w:t>第五节</w:t>
      </w:r>
      <w:r>
        <w:t xml:space="preserve"> </w:t>
      </w:r>
      <w:r>
        <w:rPr>
          <w:rFonts w:hint="eastAsia"/>
        </w:rPr>
        <w:t>气候相关</w:t>
      </w:r>
      <w:bookmarkEnd w:id="212"/>
      <w:bookmarkEnd w:id="213"/>
      <w:r>
        <w:rPr>
          <w:rFonts w:hint="eastAsia"/>
        </w:rPr>
        <w:t>转型计划</w:t>
      </w:r>
      <w:bookmarkEnd w:id="215"/>
      <w:bookmarkEnd w:id="216"/>
    </w:p>
    <w:p>
      <w:pPr>
        <w:rPr>
          <w:rFonts w:hint="eastAsia"/>
        </w:rPr>
      </w:pPr>
      <w:r>
        <w:rPr>
          <w:rFonts w:hint="eastAsia"/>
        </w:rPr>
        <w:t>与气候相关的转型计划是指披露主体向低碳经济过渡的目标、行动或资源，包括减少温室气体排放的行动等。对于部分披露主体而言，气候相关转型计划可能是整体业务战略的一部分，因为该计划会调整披露主体的业务模式以应对气候相关风险和机遇。对于其他披露主体，气候相关转型计划可能更狭义地适用于特定产品线、业务部门或一系列披露主体活动，并与披露主体的整体业务战略并列。</w:t>
      </w:r>
    </w:p>
    <w:p>
      <w:pPr>
        <w:pStyle w:val="57"/>
      </w:pPr>
      <w:r>
        <w:t>表2.17 有效气候相关转型计划的特征示例</w:t>
      </w:r>
    </w:p>
    <w:tbl>
      <w:tblPr>
        <w:tblStyle w:val="2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特征</w:t>
            </w:r>
          </w:p>
        </w:tc>
        <w:tc>
          <w:tcPr>
            <w:tcW w:w="58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与战略保持一致</w:t>
            </w:r>
          </w:p>
        </w:tc>
        <w:tc>
          <w:tcPr>
            <w:tcW w:w="5866" w:type="dxa"/>
          </w:tcPr>
          <w:p>
            <w:pPr>
              <w:pStyle w:val="58"/>
              <w:rPr>
                <w:rFonts w:hint="eastAsia"/>
              </w:rPr>
            </w:pPr>
            <w:r>
              <w:rPr>
                <w:rFonts w:hint="eastAsia"/>
              </w:rPr>
              <w:t>气候相关转型计划成为企业应对气候相关风险和机遇的广泛活动的一部分，并与这些活动保持一致，而这些活动又应该是组织整体业务战略的一部分，并与这些战略保持一致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以量化要素为基础</w:t>
            </w:r>
          </w:p>
        </w:tc>
        <w:tc>
          <w:tcPr>
            <w:tcW w:w="5866" w:type="dxa"/>
          </w:tcPr>
          <w:p>
            <w:pPr>
              <w:pStyle w:val="58"/>
              <w:rPr>
                <w:rFonts w:hint="eastAsia"/>
              </w:rPr>
            </w:pPr>
            <w:r>
              <w:rPr>
                <w:rFonts w:hint="eastAsia"/>
              </w:rPr>
              <w:t>气候相关转型计划旨在考虑并帮助组织实现向低碳经济转型的特定目标，应考虑以量化要素为基础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5" w:type="dxa"/>
            <w:vAlign w:val="center"/>
          </w:tcPr>
          <w:p>
            <w:pPr>
              <w:pStyle w:val="58"/>
              <w:jc w:val="center"/>
              <w:rPr>
                <w:rFonts w:hint="eastAsia"/>
              </w:rPr>
            </w:pPr>
            <w:r>
              <w:rPr>
                <w:rFonts w:hint="eastAsia"/>
              </w:rPr>
              <w:t>遵循有效的管理流程</w:t>
            </w:r>
          </w:p>
        </w:tc>
        <w:tc>
          <w:tcPr>
            <w:tcW w:w="5866" w:type="dxa"/>
          </w:tcPr>
          <w:p>
            <w:pPr>
              <w:pStyle w:val="58"/>
              <w:rPr>
                <w:rFonts w:hint="eastAsia"/>
              </w:rPr>
            </w:pPr>
            <w:r>
              <w:rPr>
                <w:rFonts w:hint="eastAsia"/>
              </w:rPr>
              <w:t>就气候相关转型计划制定审批流程、监督及企业内部的问责制度，包括明确董事会和高级管理层在计划监督过程中扮演的角色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具有可执行性</w:t>
            </w:r>
          </w:p>
        </w:tc>
        <w:tc>
          <w:tcPr>
            <w:tcW w:w="5866" w:type="dxa"/>
          </w:tcPr>
          <w:p>
            <w:pPr>
              <w:pStyle w:val="58"/>
              <w:rPr>
                <w:rFonts w:hint="eastAsia"/>
              </w:rPr>
            </w:pPr>
            <w:r>
              <w:rPr>
                <w:rFonts w:hint="eastAsia"/>
              </w:rPr>
              <w:t>为有效实施转型计划采取的具体举措和行动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具有可信度</w:t>
            </w:r>
          </w:p>
        </w:tc>
        <w:tc>
          <w:tcPr>
            <w:tcW w:w="5866" w:type="dxa"/>
          </w:tcPr>
          <w:p>
            <w:pPr>
              <w:pStyle w:val="58"/>
              <w:rPr>
                <w:rFonts w:hint="eastAsia"/>
              </w:rPr>
            </w:pPr>
            <w:r>
              <w:rPr>
                <w:rFonts w:hint="eastAsia"/>
              </w:rPr>
              <w:t>气候相关转型计划包含的信息可让使用者评估企业的可信度，包括企业当前具备的能力、技术、转型路径以及财务计划等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定期审查和更新</w:t>
            </w:r>
          </w:p>
        </w:tc>
        <w:tc>
          <w:tcPr>
            <w:tcW w:w="5866" w:type="dxa"/>
          </w:tcPr>
          <w:p>
            <w:pPr>
              <w:pStyle w:val="58"/>
              <w:rPr>
                <w:rFonts w:hint="eastAsia"/>
              </w:rPr>
            </w:pPr>
            <w:r>
              <w:rPr>
                <w:rFonts w:hint="eastAsia"/>
              </w:rPr>
              <w:t>企业可以每五年审查一次转型计划，在必要时进行更新，以确保转型计划与组织总体战略规划相关且对其有效</w:t>
            </w:r>
          </w:p>
        </w:tc>
      </w:tr>
    </w:tbl>
    <w:p>
      <w:pPr>
        <w:rPr>
          <w:rFonts w:hint="eastAsia"/>
        </w:rPr>
      </w:pPr>
      <w:r>
        <w:rPr>
          <w:rFonts w:hint="eastAsia"/>
        </w:rPr>
        <w:t>披露主体制定转型计划涉及对战略的调整，如设立低碳转型相关目标和优先事项，包括减少其运营或价值链中温室气体的排放、加强气候适应能力等，并设定气候相关的短期、中期、长期</w:t>
      </w:r>
      <w:r>
        <w:rPr>
          <w:rFonts w:hint="eastAsia"/>
          <w:lang w:eastAsia="zh-CN"/>
        </w:rPr>
        <w:t>阶段性</w:t>
      </w:r>
      <w:r>
        <w:rPr>
          <w:rFonts w:hint="eastAsia"/>
        </w:rPr>
        <w:t>目标。</w:t>
      </w:r>
    </w:p>
    <w:p>
      <w:pPr>
        <w:rPr>
          <w:rFonts w:hint="eastAsia"/>
        </w:rPr>
      </w:pPr>
      <w:r>
        <w:rPr>
          <w:rFonts w:hint="eastAsia"/>
        </w:rPr>
        <w:t>气候相关转型计划涉及的行动包括政策、业务运营、产品和服务等维度。</w:t>
      </w:r>
    </w:p>
    <w:p>
      <w:pPr>
        <w:pStyle w:val="57"/>
        <w:rPr>
          <w:rFonts w:ascii="黑体" w:hAnsi="黑体" w:eastAsia="黑体" w:cs="仿宋_GB2312"/>
          <w:bCs/>
          <w:szCs w:val="28"/>
        </w:rPr>
      </w:pPr>
      <w:r>
        <w:t>表2.18 气候相关转型计划的行动示例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行动</w:t>
            </w:r>
          </w:p>
        </w:tc>
        <w:tc>
          <w:tcPr>
            <w:tcW w:w="67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政策与条件</w:t>
            </w:r>
          </w:p>
        </w:tc>
        <w:tc>
          <w:tcPr>
            <w:tcW w:w="6766" w:type="dxa"/>
          </w:tcPr>
          <w:p>
            <w:pPr>
              <w:pStyle w:val="58"/>
              <w:rPr>
                <w:rFonts w:hint="eastAsia"/>
              </w:rPr>
            </w:pPr>
            <w:r>
              <w:rPr>
                <w:rFonts w:hint="eastAsia"/>
              </w:rPr>
              <w:t>使用或计划使用的任何政策或条件，如能源消耗、逐步淘汰高温室气体排放资产、采购和供应商活动中的气候相关考量、贷款或投资活动中的气候相关考量（如门槛、目标或限制）等，以及预期的主要贡献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业务运营</w:t>
            </w:r>
          </w:p>
        </w:tc>
        <w:tc>
          <w:tcPr>
            <w:tcW w:w="6766" w:type="dxa"/>
          </w:tcPr>
          <w:p>
            <w:pPr>
              <w:pStyle w:val="58"/>
              <w:rPr>
                <w:rFonts w:hint="eastAsia"/>
              </w:rPr>
            </w:pPr>
            <w:r>
              <w:rPr>
                <w:rFonts w:hint="eastAsia"/>
              </w:rPr>
              <w:t>生产工艺或设备、劳动力的调整、供应链与采购；变更办公室和业务地点、负责任地淘汰或逐步淘汰温室气体密集型资产、对可能因向温室气体低排放、气候适应性经济转型而受到影响的长期资产的管理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产品和服务</w:t>
            </w:r>
          </w:p>
        </w:tc>
        <w:tc>
          <w:tcPr>
            <w:tcW w:w="6766" w:type="dxa"/>
          </w:tcPr>
          <w:p>
            <w:pPr>
              <w:pStyle w:val="58"/>
              <w:rPr>
                <w:rFonts w:hint="eastAsia"/>
              </w:rPr>
            </w:pPr>
            <w:r>
              <w:rPr>
                <w:rFonts w:hint="eastAsia"/>
                <w:lang w:eastAsia="zh-CN"/>
              </w:rPr>
              <w:t>优化</w:t>
            </w:r>
            <w:r>
              <w:rPr>
                <w:rFonts w:hint="eastAsia"/>
              </w:rPr>
              <w:t>其所提供的产品和服务组合；对产品和服务进行分类或定义</w:t>
            </w:r>
          </w:p>
        </w:tc>
      </w:tr>
    </w:tbl>
    <w:p>
      <w:pPr>
        <w:rPr>
          <w:rFonts w:hint="eastAsia"/>
        </w:rPr>
      </w:pPr>
    </w:p>
    <w:p>
      <w:pPr>
        <w:ind w:firstLine="602"/>
        <w:rPr>
          <w:rFonts w:hint="eastAsia" w:eastAsia="黑体"/>
          <w:b/>
          <w:bCs/>
          <w:sz w:val="30"/>
          <w:szCs w:val="30"/>
        </w:rPr>
        <w:sectPr>
          <w:pgSz w:w="11906" w:h="16838"/>
          <w:pgMar w:top="1440" w:right="1800" w:bottom="1440" w:left="1800" w:header="851" w:footer="992" w:gutter="0"/>
          <w:cols w:space="720" w:num="1"/>
          <w:docGrid w:type="lines" w:linePitch="312" w:charSpace="0"/>
        </w:sectPr>
      </w:pPr>
    </w:p>
    <w:p>
      <w:pPr>
        <w:pStyle w:val="3"/>
        <w:rPr>
          <w:rFonts w:ascii="Times New Roman" w:hAnsi="Times New Roman" w:eastAsia="黑体" w:cs="Times New Roman"/>
          <w:b/>
          <w:bCs/>
          <w:szCs w:val="30"/>
        </w:rPr>
      </w:pPr>
      <w:bookmarkStart w:id="217" w:name="_Toc179988048"/>
      <w:bookmarkStart w:id="218" w:name="_Toc21595"/>
      <w:r>
        <w:rPr>
          <w:rFonts w:hint="eastAsia"/>
        </w:rPr>
        <w:t>第六节</w:t>
      </w:r>
      <w:r>
        <w:t xml:space="preserve"> </w:t>
      </w:r>
      <w:r>
        <w:rPr>
          <w:rFonts w:hint="eastAsia"/>
        </w:rPr>
        <w:t>披露要点</w:t>
      </w:r>
      <w:bookmarkEnd w:id="214"/>
      <w:bookmarkEnd w:id="217"/>
      <w:bookmarkEnd w:id="218"/>
    </w:p>
    <w:p>
      <w:pPr>
        <w:pStyle w:val="4"/>
        <w:rPr>
          <w:rFonts w:hint="eastAsia"/>
          <w:b/>
          <w:szCs w:val="30"/>
        </w:rPr>
      </w:pPr>
      <w:bookmarkStart w:id="219" w:name="_Toc179988049"/>
      <w:bookmarkStart w:id="220" w:name="_Toc177241773"/>
      <w:bookmarkStart w:id="221" w:name="_Toc19005"/>
      <w:bookmarkStart w:id="222" w:name="_Toc3872"/>
      <w:r>
        <w:rPr>
          <w:rFonts w:hint="eastAsia"/>
        </w:rPr>
        <w:t>一、气候相关治理</w:t>
      </w:r>
      <w:bookmarkEnd w:id="219"/>
      <w:bookmarkEnd w:id="220"/>
      <w:bookmarkEnd w:id="221"/>
      <w:bookmarkEnd w:id="222"/>
    </w:p>
    <w:p>
      <w:pPr>
        <w:rPr>
          <w:rFonts w:ascii="仿宋_GB2312" w:hAnsi="Times New Roman" w:eastAsia="仿宋_GB2312"/>
          <w:szCs w:val="30"/>
        </w:rPr>
      </w:pPr>
      <w:r>
        <w:rPr>
          <w:rFonts w:hint="eastAsia"/>
        </w:rPr>
        <w:t>根据《指引》规定，披露主体针对可持续发展相关影响、风险和机遇的管理和监督已经建立整体性治理结构和内部制度的，可以对治理要素的内容进行整合披露，无需单独披露以下气候相关治理信息。</w:t>
      </w:r>
    </w:p>
    <w:p>
      <w:pPr>
        <w:pStyle w:val="5"/>
        <w:rPr>
          <w:rFonts w:hint="eastAsia"/>
        </w:rPr>
      </w:pPr>
      <w:bookmarkStart w:id="223" w:name="_Toc179988050"/>
      <w:r>
        <w:rPr>
          <w:rFonts w:hint="eastAsia"/>
        </w:rPr>
        <w:t>披露要点1：气候相关治理机构</w:t>
      </w:r>
      <w:bookmarkEnd w:id="223"/>
    </w:p>
    <w:p>
      <w:pPr>
        <w:rPr>
          <w:rFonts w:hint="eastAsia"/>
        </w:rPr>
      </w:pPr>
      <w:r>
        <w:rPr>
          <w:rFonts w:hint="eastAsia"/>
        </w:rPr>
        <w:t>1.描述负责监督管理气候相关影响、风险和机遇的治理机构（如董事会、专门委员会等）、管理层设置情况，可通过气候相关治理架构图等方式呈现（详见本指南第一章）。</w:t>
      </w:r>
    </w:p>
    <w:p>
      <w:pPr>
        <w:rPr>
          <w:rFonts w:hint="eastAsia"/>
        </w:rPr>
      </w:pPr>
      <w:r>
        <w:rPr>
          <w:rFonts w:hint="eastAsia"/>
        </w:rPr>
        <w:t>2.描述气候相关治理机构的人员构成。</w:t>
      </w:r>
    </w:p>
    <w:p>
      <w:pPr>
        <w:rPr>
          <w:rFonts w:hint="eastAsia"/>
        </w:rPr>
      </w:pPr>
      <w:r>
        <w:rPr>
          <w:rFonts w:hint="eastAsia"/>
        </w:rPr>
        <w:t>3.描述气候相关治理机构的职权范围。</w:t>
      </w:r>
    </w:p>
    <w:p>
      <w:pPr>
        <w:rPr>
          <w:rFonts w:ascii="仿宋_GB2312" w:hAnsi="Times New Roman" w:eastAsia="仿宋_GB2312"/>
          <w:szCs w:val="30"/>
        </w:rPr>
      </w:pPr>
      <w:r>
        <w:rPr>
          <w:rFonts w:hint="eastAsia"/>
        </w:rPr>
        <w:t>4.描述气候相关治理机构的相关工作任务及目标等。</w:t>
      </w:r>
    </w:p>
    <w:p>
      <w:pPr>
        <w:pStyle w:val="5"/>
        <w:rPr>
          <w:rFonts w:hint="eastAsia"/>
        </w:rPr>
      </w:pPr>
      <w:bookmarkStart w:id="224" w:name="_Toc179988051"/>
      <w:r>
        <w:rPr>
          <w:rFonts w:hint="eastAsia"/>
        </w:rPr>
        <w:t>披露要点2：气候相关治理机构（人员）专业技能和能力</w:t>
      </w:r>
      <w:bookmarkEnd w:id="224"/>
    </w:p>
    <w:p>
      <w:pPr>
        <w:rPr>
          <w:rFonts w:hint="eastAsia"/>
        </w:rPr>
      </w:pPr>
      <w:r>
        <w:rPr>
          <w:rFonts w:hint="eastAsia"/>
        </w:rPr>
        <w:t>1.描述气候相关治理机构和人员在执行、监督气候相关影响、风险和机遇的战略、制度等方面的专业技能和能力。</w:t>
      </w:r>
    </w:p>
    <w:p>
      <w:pPr>
        <w:rPr>
          <w:rFonts w:ascii="仿宋_GB2312" w:hAnsi="Times New Roman" w:eastAsia="仿宋_GB2312"/>
          <w:szCs w:val="30"/>
        </w:rPr>
      </w:pPr>
      <w:r>
        <w:rPr>
          <w:rFonts w:hint="eastAsia"/>
        </w:rPr>
        <w:t>2.可描述提高治理机构人员相关专业技能的措施和规划等。</w:t>
      </w:r>
    </w:p>
    <w:p>
      <w:pPr>
        <w:pStyle w:val="5"/>
        <w:rPr>
          <w:rFonts w:hint="eastAsia"/>
        </w:rPr>
      </w:pPr>
      <w:bookmarkStart w:id="225" w:name="_Toc179988052"/>
      <w:r>
        <w:rPr>
          <w:rFonts w:hint="eastAsia"/>
        </w:rPr>
        <w:t>披露要点3：气候相关治理机构（人员）获取信息的机制</w:t>
      </w:r>
      <w:bookmarkEnd w:id="225"/>
    </w:p>
    <w:p>
      <w:pPr>
        <w:rPr>
          <w:rFonts w:hint="eastAsia"/>
        </w:rPr>
      </w:pPr>
      <w:r>
        <w:rPr>
          <w:rFonts w:hint="eastAsia"/>
        </w:rPr>
        <w:t>1.描述为保障气候相关治理机构和人员及时获取气候影响、风险和机遇相关信息而建立的信息报告机制。</w:t>
      </w:r>
    </w:p>
    <w:p>
      <w:pPr>
        <w:rPr>
          <w:rFonts w:ascii="仿宋_GB2312" w:hAnsi="Times New Roman" w:eastAsia="仿宋_GB2312"/>
          <w:szCs w:val="30"/>
        </w:rPr>
      </w:pPr>
      <w:r>
        <w:rPr>
          <w:rFonts w:hint="eastAsia"/>
        </w:rPr>
        <w:t>2.描述气候相关治理机构和人员获取气候影响、风险和机遇相关信息的报告方式以及报告频率。</w:t>
      </w:r>
    </w:p>
    <w:p>
      <w:pPr>
        <w:pStyle w:val="5"/>
        <w:rPr>
          <w:rFonts w:hint="eastAsia"/>
        </w:rPr>
      </w:pPr>
      <w:bookmarkStart w:id="226" w:name="_Toc179988053"/>
      <w:r>
        <w:rPr>
          <w:rFonts w:hint="eastAsia"/>
        </w:rPr>
        <w:t>披露要点4：气候相关治理机构（人员）监督情况</w:t>
      </w:r>
      <w:bookmarkEnd w:id="226"/>
    </w:p>
    <w:p>
      <w:pPr>
        <w:rPr>
          <w:rFonts w:ascii="仿宋_GB2312" w:hAnsi="Times New Roman" w:eastAsia="仿宋_GB2312"/>
          <w:szCs w:val="30"/>
        </w:rPr>
      </w:pPr>
      <w:r>
        <w:rPr>
          <w:rFonts w:hint="eastAsia"/>
        </w:rPr>
        <w:t>1.描述气候相关治理机构和人员监督管理气候相关影响、风险和机遇的目标设定、战略执行、目标实现进展的情况，包括内部控制制度、监督程序、监督措施及考核情况等。</w:t>
      </w:r>
    </w:p>
    <w:p>
      <w:pPr>
        <w:pStyle w:val="5"/>
        <w:rPr>
          <w:rFonts w:hint="eastAsia" w:ascii="黑体" w:hAnsi="黑体" w:eastAsia="黑体" w:cs="黑体"/>
          <w:szCs w:val="30"/>
        </w:rPr>
      </w:pPr>
      <w:bookmarkStart w:id="227" w:name="_Toc179988054"/>
      <w:r>
        <w:rPr>
          <w:rFonts w:hint="eastAsia"/>
        </w:rPr>
        <w:t>披露要点5：气候相关治理机构将气候相关因素纳入决策的情况</w:t>
      </w:r>
      <w:bookmarkEnd w:id="227"/>
    </w:p>
    <w:p>
      <w:pPr>
        <w:rPr>
          <w:rFonts w:ascii="仿宋_GB2312" w:hAnsi="Times New Roman" w:eastAsia="仿宋_GB2312"/>
          <w:szCs w:val="30"/>
        </w:rPr>
      </w:pPr>
      <w:r>
        <w:rPr>
          <w:rFonts w:hint="eastAsia"/>
        </w:rPr>
        <w:t>1.描述气候相关治理机构和人员在监督战略实施、重大交易决策、风险管理过程中，将气候相关影响、风险和机遇纳入决策考虑的措施、方法等。</w:t>
      </w:r>
    </w:p>
    <w:p>
      <w:pPr>
        <w:pStyle w:val="4"/>
        <w:rPr>
          <w:rFonts w:hint="eastAsia"/>
          <w:b/>
          <w:szCs w:val="30"/>
        </w:rPr>
      </w:pPr>
      <w:bookmarkStart w:id="228" w:name="_Toc29060"/>
      <w:bookmarkStart w:id="229" w:name="_Toc179988055"/>
      <w:bookmarkStart w:id="230" w:name="_Toc177241780"/>
      <w:bookmarkStart w:id="231" w:name="_Toc2317"/>
      <w:r>
        <w:rPr>
          <w:rFonts w:hint="eastAsia"/>
        </w:rPr>
        <w:t>二、气候相关战略</w:t>
      </w:r>
      <w:bookmarkEnd w:id="228"/>
      <w:bookmarkEnd w:id="229"/>
      <w:bookmarkEnd w:id="230"/>
      <w:bookmarkEnd w:id="231"/>
    </w:p>
    <w:p>
      <w:pPr>
        <w:pStyle w:val="5"/>
        <w:rPr>
          <w:rFonts w:hint="eastAsia"/>
        </w:rPr>
      </w:pPr>
      <w:bookmarkStart w:id="232" w:name="_Toc177241781"/>
      <w:bookmarkStart w:id="233" w:name="_Toc179988056"/>
      <w:bookmarkStart w:id="234" w:name="_Toc2806"/>
      <w:bookmarkStart w:id="235" w:name="_Toc3197"/>
      <w:r>
        <w:rPr>
          <w:rFonts w:hint="eastAsia"/>
        </w:rPr>
        <w:t>披露要点6：气候相关重大影响</w:t>
      </w:r>
      <w:bookmarkEnd w:id="232"/>
      <w:bookmarkEnd w:id="233"/>
      <w:bookmarkEnd w:id="234"/>
      <w:bookmarkEnd w:id="235"/>
    </w:p>
    <w:p>
      <w:pPr>
        <w:rPr>
          <w:rFonts w:hint="eastAsia"/>
        </w:rPr>
      </w:pPr>
      <w:r>
        <w:rPr>
          <w:rFonts w:hint="eastAsia"/>
        </w:rPr>
        <w:t>1.定性或定量描述披露主体在气候方面对经济、环境和社会产生的重大影响。</w:t>
      </w:r>
    </w:p>
    <w:p>
      <w:pPr>
        <w:rPr>
          <w:rFonts w:ascii="仿宋_GB2312" w:hAnsi="Times New Roman" w:eastAsia="仿宋_GB2312"/>
          <w:szCs w:val="30"/>
        </w:rPr>
      </w:pPr>
      <w:r>
        <w:rPr>
          <w:rFonts w:hint="eastAsia"/>
        </w:rPr>
        <w:t>2.描述为监测、预防、管理、控制、减缓气候相关重大影响所采取的措施和行动。</w:t>
      </w:r>
    </w:p>
    <w:p>
      <w:pPr>
        <w:pStyle w:val="5"/>
        <w:rPr>
          <w:rFonts w:hint="eastAsia" w:ascii="黑体" w:hAnsi="黑体" w:eastAsia="黑体" w:cs="黑体"/>
          <w:szCs w:val="30"/>
        </w:rPr>
      </w:pPr>
      <w:bookmarkStart w:id="236" w:name="_Toc7724"/>
      <w:bookmarkStart w:id="237" w:name="_Toc30742"/>
      <w:bookmarkStart w:id="238" w:name="_Toc179988057"/>
      <w:bookmarkStart w:id="239" w:name="_Toc177241782"/>
      <w:r>
        <w:rPr>
          <w:rFonts w:hint="eastAsia"/>
        </w:rPr>
        <w:t>披露要点7：气候相关风险和机遇</w:t>
      </w:r>
      <w:bookmarkEnd w:id="236"/>
      <w:bookmarkEnd w:id="237"/>
      <w:bookmarkEnd w:id="238"/>
      <w:bookmarkEnd w:id="239"/>
    </w:p>
    <w:p>
      <w:pPr>
        <w:rPr>
          <w:rFonts w:hint="eastAsia"/>
        </w:rPr>
      </w:pPr>
      <w:r>
        <w:rPr>
          <w:rFonts w:hint="eastAsia"/>
        </w:rPr>
        <w:t>1.描述识别出的气候相关风险和机遇。针对识别的每项气候相关风险，可说明其属于气候相关物理风险还是转型风险。</w:t>
      </w:r>
    </w:p>
    <w:p>
      <w:pPr>
        <w:rPr>
          <w:rFonts w:ascii="仿宋_GB2312" w:hAnsi="Times New Roman" w:eastAsia="仿宋_GB2312"/>
          <w:szCs w:val="30"/>
        </w:rPr>
      </w:pPr>
      <w:r>
        <w:rPr>
          <w:rFonts w:hint="eastAsia"/>
        </w:rPr>
        <w:t>2.针对识别的每项气候相关风险和机遇，明确其可合理预期产生</w:t>
      </w:r>
      <w:r>
        <w:rPr>
          <w:rFonts w:hint="eastAsia"/>
          <w:lang w:eastAsia="zh-CN"/>
        </w:rPr>
        <w:t>重大</w:t>
      </w:r>
      <w:r>
        <w:rPr>
          <w:rFonts w:hint="eastAsia"/>
        </w:rPr>
        <w:t>影响的时间范围，即短期、中期还是长期。</w:t>
      </w:r>
    </w:p>
    <w:p>
      <w:pPr>
        <w:rPr>
          <w:rFonts w:ascii="仿宋_GB2312" w:hAnsi="Times New Roman" w:eastAsia="仿宋_GB2312"/>
          <w:szCs w:val="30"/>
        </w:rPr>
      </w:pPr>
      <w:r>
        <w:rPr>
          <w:rFonts w:hint="eastAsia"/>
        </w:rPr>
        <w:t>3.解释披露主体如何定义短期、中期和长期，以及</w:t>
      </w:r>
      <w:r>
        <w:rPr>
          <w:rFonts w:hint="eastAsia"/>
          <w:lang w:eastAsia="zh-CN"/>
        </w:rPr>
        <w:t>相关</w:t>
      </w:r>
      <w:r>
        <w:rPr>
          <w:rFonts w:hint="eastAsia"/>
        </w:rPr>
        <w:t>定义与公司的发展战略规划和资源分配计划的匹配情况（定义时间范围的具体考量详见本指南第一章）。</w:t>
      </w:r>
    </w:p>
    <w:p>
      <w:pPr>
        <w:pStyle w:val="5"/>
        <w:rPr>
          <w:rFonts w:hint="eastAsia" w:ascii="黑体" w:hAnsi="黑体" w:eastAsia="黑体" w:cs="黑体"/>
          <w:szCs w:val="30"/>
        </w:rPr>
      </w:pPr>
      <w:bookmarkStart w:id="240" w:name="_Toc179988058"/>
      <w:bookmarkStart w:id="241" w:name="_Toc30167"/>
      <w:bookmarkStart w:id="242" w:name="_Toc177241783"/>
      <w:bookmarkStart w:id="243" w:name="_Toc10236"/>
      <w:r>
        <w:rPr>
          <w:rFonts w:hint="eastAsia"/>
        </w:rPr>
        <w:t>披露要点8：气候相关风险和机遇对商业模式和价值链的影响</w:t>
      </w:r>
      <w:bookmarkEnd w:id="240"/>
      <w:bookmarkEnd w:id="241"/>
      <w:bookmarkEnd w:id="242"/>
      <w:bookmarkEnd w:id="243"/>
      <w:r>
        <w:rPr>
          <w:rFonts w:hint="eastAsia"/>
        </w:rPr>
        <w:t>（鼓励）</w:t>
      </w:r>
    </w:p>
    <w:p>
      <w:pPr>
        <w:rPr>
          <w:rFonts w:hint="eastAsia"/>
        </w:rPr>
      </w:pPr>
      <w:r>
        <w:rPr>
          <w:rFonts w:hint="eastAsia"/>
        </w:rPr>
        <w:t>1.描述气候相关风险和机遇对商业模式、主要供应商和其他利益相关方的当期影响，并预测未来影响。</w:t>
      </w:r>
    </w:p>
    <w:p>
      <w:pPr>
        <w:rPr>
          <w:rFonts w:ascii="仿宋_GB2312" w:hAnsi="Times New Roman" w:eastAsia="仿宋_GB2312"/>
          <w:szCs w:val="30"/>
        </w:rPr>
      </w:pPr>
      <w:r>
        <w:rPr>
          <w:rFonts w:hint="eastAsia"/>
        </w:rPr>
        <w:t>2.描述商业模式和价值链中，气候相关风险和机遇集中的领域，如地理区域、设施、资产类型等。</w:t>
      </w:r>
    </w:p>
    <w:p>
      <w:pPr>
        <w:pStyle w:val="5"/>
        <w:rPr>
          <w:rFonts w:hint="eastAsia" w:ascii="黑体" w:hAnsi="黑体" w:eastAsia="黑体" w:cs="黑体"/>
          <w:szCs w:val="30"/>
        </w:rPr>
      </w:pPr>
      <w:bookmarkStart w:id="244" w:name="_Toc179988059"/>
      <w:bookmarkStart w:id="245" w:name="_Toc27420"/>
      <w:bookmarkStart w:id="246" w:name="_Toc177241784"/>
      <w:bookmarkStart w:id="247" w:name="_Toc745"/>
      <w:r>
        <w:rPr>
          <w:rFonts w:hint="eastAsia"/>
        </w:rPr>
        <w:t>披露要点9：气候相关</w:t>
      </w:r>
      <w:r>
        <w:rPr>
          <w:rFonts w:hint="eastAsia"/>
          <w:lang w:eastAsia="zh-CN"/>
        </w:rPr>
        <w:t>影响、</w:t>
      </w:r>
      <w:r>
        <w:rPr>
          <w:rFonts w:hint="eastAsia"/>
        </w:rPr>
        <w:t>风险和机遇对公司战略和决策的影响</w:t>
      </w:r>
      <w:bookmarkEnd w:id="244"/>
      <w:bookmarkEnd w:id="245"/>
      <w:bookmarkEnd w:id="246"/>
      <w:bookmarkEnd w:id="247"/>
    </w:p>
    <w:p>
      <w:pPr>
        <w:rPr>
          <w:rFonts w:hint="eastAsia"/>
        </w:rPr>
      </w:pPr>
      <w:r>
        <w:rPr>
          <w:rFonts w:hint="eastAsia"/>
        </w:rPr>
        <w:t>1.描述为应对气候相关</w:t>
      </w:r>
      <w:r>
        <w:rPr>
          <w:rFonts w:hint="eastAsia"/>
          <w:lang w:eastAsia="zh-CN"/>
        </w:rPr>
        <w:t>影响、风险和</w:t>
      </w:r>
      <w:r>
        <w:rPr>
          <w:rFonts w:hint="eastAsia"/>
        </w:rPr>
        <w:t>机遇，在战略制定和重大决策过程中所采用的方法，如战略决策机制、管理办法等。</w:t>
      </w:r>
    </w:p>
    <w:p>
      <w:pPr>
        <w:rPr>
          <w:rFonts w:ascii="仿宋_GB2312" w:hAnsi="Times New Roman" w:eastAsia="仿宋_GB2312"/>
          <w:szCs w:val="30"/>
        </w:rPr>
      </w:pPr>
      <w:r>
        <w:rPr>
          <w:rFonts w:hint="eastAsia"/>
        </w:rPr>
        <w:t>2.描述为实现相关战略目标而制定的计划以及衡量计划进展的定性、定量信息（详细可参考本指南第一章“设定和管理目标”相关内容，可与“气候相关转型计划”合并披露）。</w:t>
      </w:r>
    </w:p>
    <w:p>
      <w:pPr>
        <w:pStyle w:val="5"/>
        <w:rPr>
          <w:rFonts w:hint="eastAsia"/>
        </w:rPr>
      </w:pPr>
      <w:bookmarkStart w:id="248" w:name="_Toc179988060"/>
      <w:bookmarkStart w:id="249" w:name="_Toc10808"/>
      <w:bookmarkStart w:id="250" w:name="_Toc17902"/>
      <w:bookmarkStart w:id="251" w:name="_Toc177241785"/>
      <w:r>
        <w:rPr>
          <w:rFonts w:hint="eastAsia"/>
        </w:rPr>
        <w:t>披露要点10：气候相关转型计划</w:t>
      </w:r>
      <w:bookmarkEnd w:id="248"/>
      <w:bookmarkEnd w:id="249"/>
      <w:bookmarkEnd w:id="250"/>
      <w:bookmarkEnd w:id="251"/>
    </w:p>
    <w:p>
      <w:pPr>
        <w:rPr>
          <w:rFonts w:hint="eastAsia"/>
        </w:rPr>
      </w:pPr>
      <w:r>
        <w:rPr>
          <w:rFonts w:hint="eastAsia"/>
        </w:rPr>
        <w:t>1.描述为应对气候相关风险和机遇所制定的转型计划，及制定该计划所依赖的基本假设。</w:t>
      </w:r>
    </w:p>
    <w:p>
      <w:pPr>
        <w:rPr>
          <w:rFonts w:hint="eastAsia"/>
        </w:rPr>
      </w:pPr>
      <w:r>
        <w:rPr>
          <w:rFonts w:hint="eastAsia"/>
        </w:rPr>
        <w:t>2.描述为应对气候相关风险和机遇而对当前和未来战略、商业模式和资源分配进行调整的情况。例如，管理或者停止碳、能源或水密集型业务的计划；因需求或者供应链变化导致的资源配置；通过资本支出或者额外研发支出进行业务发展产生的资源配置；以及收购或者剥离等。</w:t>
      </w:r>
    </w:p>
    <w:p>
      <w:pPr>
        <w:rPr>
          <w:rFonts w:hint="eastAsia"/>
        </w:rPr>
      </w:pPr>
      <w:r>
        <w:rPr>
          <w:rFonts w:hint="eastAsia"/>
        </w:rPr>
        <w:t>3.公司已经或者计划为直接或间接应对气候相关风险和机遇所采取的措施</w:t>
      </w:r>
      <w:r>
        <w:rPr>
          <w:rFonts w:hint="eastAsia"/>
          <w:lang w:eastAsia="zh-CN"/>
        </w:rPr>
        <w:t>。例如，直接措施包括改进生产工艺或设备、更新设备、搬迁设施、改变产品规格等；间接措施包括通过与客户和供应链合作等</w:t>
      </w:r>
      <w:r>
        <w:rPr>
          <w:rFonts w:hint="eastAsia"/>
        </w:rPr>
        <w:t>。</w:t>
      </w:r>
    </w:p>
    <w:p>
      <w:pPr>
        <w:rPr>
          <w:rFonts w:ascii="仿宋_GB2312" w:hAnsi="Times New Roman" w:eastAsia="仿宋_GB2312"/>
          <w:szCs w:val="30"/>
        </w:rPr>
      </w:pPr>
      <w:r>
        <w:rPr>
          <w:rFonts w:hint="eastAsia"/>
        </w:rPr>
        <w:t>4.公司实施转型计划的进展情况。</w:t>
      </w:r>
    </w:p>
    <w:p>
      <w:pPr>
        <w:pStyle w:val="5"/>
        <w:rPr>
          <w:rFonts w:hint="eastAsia"/>
        </w:rPr>
      </w:pPr>
      <w:bookmarkStart w:id="252" w:name="_Toc177241786"/>
      <w:bookmarkStart w:id="253" w:name="_Toc179988061"/>
      <w:bookmarkStart w:id="254" w:name="_Toc25650"/>
      <w:bookmarkStart w:id="255" w:name="_Toc14151"/>
      <w:r>
        <w:rPr>
          <w:rFonts w:hint="eastAsia"/>
        </w:rPr>
        <w:t>披露要点11：当期气候相关财务影响</w:t>
      </w:r>
      <w:bookmarkEnd w:id="252"/>
      <w:bookmarkEnd w:id="253"/>
      <w:bookmarkEnd w:id="254"/>
      <w:bookmarkEnd w:id="255"/>
    </w:p>
    <w:p>
      <w:pPr>
        <w:rPr>
          <w:rFonts w:hint="eastAsia"/>
        </w:rPr>
      </w:pPr>
      <w:r>
        <w:rPr>
          <w:rFonts w:hint="eastAsia"/>
        </w:rPr>
        <w:t>1.定性或定量分析气候相关风险和机遇对披露主体报告期间的财务状况、经营成果和现金流的影响（详见本指南第一章）。定量描述应当结合实际情况披露具体数值或者合理的区间范围。</w:t>
      </w:r>
    </w:p>
    <w:p>
      <w:pPr>
        <w:rPr>
          <w:rFonts w:hint="eastAsia"/>
        </w:rPr>
      </w:pPr>
      <w:r>
        <w:rPr>
          <w:rFonts w:hint="eastAsia"/>
        </w:rPr>
        <w:t>2.相关风险和机遇是否会对公司下一年度财务状况、经营成果、现金流产生重大影响。</w:t>
      </w:r>
    </w:p>
    <w:p>
      <w:pPr>
        <w:rPr>
          <w:rFonts w:hint="eastAsia"/>
        </w:rPr>
      </w:pPr>
      <w:r>
        <w:rPr>
          <w:rFonts w:hint="eastAsia"/>
          <w:lang w:val="en-US" w:eastAsia="zh-CN"/>
        </w:rPr>
        <w:t>3</w:t>
      </w:r>
      <w:r>
        <w:t>.若披露主体</w:t>
      </w:r>
      <w:r>
        <w:rPr>
          <w:rFonts w:hint="eastAsia"/>
          <w:lang w:eastAsia="zh-CN"/>
        </w:rPr>
        <w:t>确</w:t>
      </w:r>
      <w:r>
        <w:t>不具备披露财务影响定量信息的能力</w:t>
      </w:r>
      <w:r>
        <w:rPr>
          <w:rFonts w:hint="eastAsia"/>
          <w:lang w:eastAsia="zh-CN"/>
        </w:rPr>
        <w:t>、</w:t>
      </w:r>
      <w:r>
        <w:t>相关财务影响无法单独识别，</w:t>
      </w:r>
      <w:r>
        <w:rPr>
          <w:rFonts w:hint="eastAsia"/>
        </w:rPr>
        <w:t>或者因计量的不确定性过大导致该定量信息不具备使用价值的，披露主体应当披露相关财务影响的定性信息，</w:t>
      </w:r>
      <w:r>
        <w:t>解释未采用定量披露信息的原因，</w:t>
      </w:r>
      <w:r>
        <w:rPr>
          <w:rFonts w:hint="eastAsia"/>
        </w:rPr>
        <w:t>并在合理范围内提供有助于投资者了解相关影响的信息和说明，</w:t>
      </w:r>
      <w:r>
        <w:t>以及实现定量披露的工作计划、进度和时间表。</w:t>
      </w:r>
    </w:p>
    <w:p>
      <w:pPr>
        <w:pStyle w:val="5"/>
        <w:rPr>
          <w:rFonts w:hint="eastAsia"/>
        </w:rPr>
      </w:pPr>
      <w:r>
        <w:rPr>
          <w:rFonts w:hint="eastAsia"/>
        </w:rPr>
        <w:t>披露要点12：预期气候相关财务影响（鼓励）</w:t>
      </w:r>
    </w:p>
    <w:p>
      <w:pPr>
        <w:rPr>
          <w:rFonts w:hint="eastAsia"/>
        </w:rPr>
      </w:pPr>
      <w:r>
        <w:rPr>
          <w:rFonts w:hint="eastAsia"/>
        </w:rPr>
        <w:t>1.气候相关风险和机遇对公司财务状况、经营成果、现金流在短期、中期和长期内的影响（详见本指南第一章）。</w:t>
      </w:r>
    </w:p>
    <w:p>
      <w:pPr>
        <w:rPr>
          <w:rFonts w:hint="eastAsia"/>
        </w:rPr>
      </w:pPr>
      <w:r>
        <w:rPr>
          <w:rFonts w:hint="eastAsia"/>
        </w:rPr>
        <w:t>2.结合披露主体开展与气候相关的投资、资产处置、融资计划等规划，描述财务状况在短期、中期和长期内的变化趋势。</w:t>
      </w:r>
    </w:p>
    <w:p>
      <w:pPr>
        <w:rPr>
          <w:rFonts w:hint="eastAsia"/>
        </w:rPr>
      </w:pPr>
      <w:r>
        <w:rPr>
          <w:rFonts w:hint="eastAsia"/>
        </w:rPr>
        <w:t>3.结合披露主体管理气候相关风险和机遇的战略，描述经营成果和现金流量在短期、中期和长期内的变化趋势。</w:t>
      </w:r>
    </w:p>
    <w:p>
      <w:pPr>
        <w:rPr>
          <w:rFonts w:hint="eastAsia"/>
        </w:rPr>
      </w:pPr>
      <w:r>
        <w:rPr>
          <w:rFonts w:hint="eastAsia"/>
        </w:rPr>
        <w:t>4.若披露主体</w:t>
      </w:r>
      <w:r>
        <w:rPr>
          <w:rFonts w:hint="eastAsia"/>
          <w:lang w:eastAsia="zh-CN"/>
        </w:rPr>
        <w:t>确</w:t>
      </w:r>
      <w:r>
        <w:rPr>
          <w:rFonts w:hint="eastAsia"/>
        </w:rPr>
        <w:t>不具备披露财务影响定量信息的能力</w:t>
      </w:r>
      <w:r>
        <w:rPr>
          <w:rFonts w:hint="eastAsia"/>
          <w:lang w:eastAsia="zh-CN"/>
        </w:rPr>
        <w:t>、</w:t>
      </w:r>
      <w:r>
        <w:rPr>
          <w:rFonts w:hint="eastAsia"/>
        </w:rPr>
        <w:t>相关财务影响无法单独识别，或者因计量的不确定性过大导致该定量信息不具备使用价值的，披露主体应当披露相关财务影响的定性信息，解释未采用定量披露信息的原因，并在合理范围内提供有助于投资者了解相关影响的信息和说明，以及实现定量披露的工作计划、进度和时间表。</w:t>
      </w:r>
    </w:p>
    <w:p>
      <w:pPr>
        <w:pStyle w:val="5"/>
        <w:rPr>
          <w:rFonts w:hint="eastAsia" w:ascii="黑体" w:hAnsi="黑体" w:eastAsia="楷体" w:cs="黑体"/>
          <w:szCs w:val="30"/>
          <w:lang w:eastAsia="zh-CN"/>
        </w:rPr>
      </w:pPr>
      <w:bookmarkStart w:id="256" w:name="_Toc27397"/>
      <w:bookmarkStart w:id="257" w:name="_Toc177241788"/>
      <w:bookmarkStart w:id="258" w:name="_Toc179988063"/>
      <w:bookmarkStart w:id="259" w:name="_Toc4885"/>
      <w:r>
        <w:rPr>
          <w:rFonts w:hint="eastAsia"/>
        </w:rPr>
        <w:t>披露要点13：气候适应性</w:t>
      </w:r>
      <w:bookmarkEnd w:id="256"/>
      <w:bookmarkEnd w:id="257"/>
      <w:bookmarkEnd w:id="258"/>
      <w:bookmarkEnd w:id="259"/>
      <w:r>
        <w:rPr>
          <w:rFonts w:hint="eastAsia"/>
          <w:lang w:eastAsia="zh-CN"/>
        </w:rPr>
        <w:t>评估</w:t>
      </w:r>
    </w:p>
    <w:p>
      <w:pPr>
        <w:rPr>
          <w:rFonts w:hint="eastAsia"/>
        </w:rPr>
      </w:pPr>
      <w:r>
        <w:rPr>
          <w:rFonts w:hint="eastAsia"/>
        </w:rPr>
        <w:t>1.描述披露主体评估的气候变化对其战略和业务模式的影响</w:t>
      </w:r>
      <w:r>
        <w:rPr>
          <w:rFonts w:hint="eastAsia"/>
          <w:lang w:eastAsia="zh-CN"/>
        </w:rPr>
        <w:t>，以及</w:t>
      </w:r>
      <w:r>
        <w:rPr>
          <w:rFonts w:hint="eastAsia"/>
        </w:rPr>
        <w:t>应对相关影响的方法。</w:t>
      </w:r>
    </w:p>
    <w:p>
      <w:pPr>
        <w:rPr>
          <w:rFonts w:hint="eastAsia"/>
        </w:rPr>
      </w:pPr>
      <w:r>
        <w:rPr>
          <w:rFonts w:hint="eastAsia"/>
          <w:lang w:val="en-US" w:eastAsia="zh-CN"/>
        </w:rPr>
        <w:t>2</w:t>
      </w:r>
      <w:r>
        <w:rPr>
          <w:rFonts w:hint="eastAsia"/>
        </w:rPr>
        <w:t>.描述在评估气候适应性时考虑的重大不确定性因素，如极端天气事件发生概率、强度、政策趋势等。</w:t>
      </w:r>
    </w:p>
    <w:p>
      <w:pPr>
        <w:rPr>
          <w:rFonts w:hint="eastAsia"/>
        </w:rPr>
      </w:pPr>
      <w:r>
        <w:rPr>
          <w:rFonts w:hint="eastAsia"/>
          <w:lang w:val="en-US" w:eastAsia="zh-CN"/>
        </w:rPr>
        <w:t>3</w:t>
      </w:r>
      <w:r>
        <w:rPr>
          <w:rFonts w:hint="eastAsia"/>
        </w:rPr>
        <w:t>.描述在短期、中期和长期内为适应气候变化调整其战略和商业模式的能力</w:t>
      </w:r>
      <w:r>
        <w:rPr>
          <w:rFonts w:hint="eastAsia"/>
          <w:lang w:eastAsia="zh-CN"/>
        </w:rPr>
        <w:t>。例</w:t>
      </w:r>
      <w:r>
        <w:rPr>
          <w:rFonts w:hint="eastAsia"/>
        </w:rPr>
        <w:t>如</w:t>
      </w:r>
      <w:r>
        <w:rPr>
          <w:rFonts w:hint="eastAsia"/>
          <w:lang w:eastAsia="zh-CN"/>
        </w:rPr>
        <w:t>，</w:t>
      </w:r>
      <w:r>
        <w:rPr>
          <w:rFonts w:hint="eastAsia"/>
        </w:rPr>
        <w:t>披露主体现有财务资源在应对气候相关风险和把握气候相关机遇时的可获得性、灵活性；披露主体重新配置、重新利用、升级或停用现有资产的能力；披露主体当前和计划在气候相关缓解、适应措施和气候适应性机遇方面投资的影响。</w:t>
      </w:r>
    </w:p>
    <w:p>
      <w:pPr>
        <w:rPr>
          <w:rFonts w:ascii="仿宋_GB2312" w:hAnsi="Times New Roman" w:eastAsia="仿宋_GB2312"/>
          <w:szCs w:val="30"/>
        </w:rPr>
      </w:pPr>
      <w:r>
        <w:rPr>
          <w:rFonts w:hint="eastAsia"/>
          <w:lang w:val="en-US" w:eastAsia="zh-CN"/>
        </w:rPr>
        <w:t>4</w:t>
      </w:r>
      <w:r>
        <w:rPr>
          <w:rFonts w:hint="eastAsia"/>
        </w:rPr>
        <w:t>.</w:t>
      </w:r>
      <w:r>
        <w:rPr>
          <w:rFonts w:hint="eastAsia"/>
          <w:lang w:eastAsia="zh-CN"/>
        </w:rPr>
        <w:t>鼓励</w:t>
      </w:r>
      <w:r>
        <w:rPr>
          <w:rFonts w:hint="eastAsia"/>
        </w:rPr>
        <w:t>采用情景分析进行气候适应性评估，</w:t>
      </w:r>
      <w:r>
        <w:rPr>
          <w:rFonts w:hint="eastAsia"/>
          <w:lang w:eastAsia="zh-CN"/>
        </w:rPr>
        <w:t>并</w:t>
      </w:r>
      <w:r>
        <w:rPr>
          <w:rFonts w:hint="eastAsia"/>
        </w:rPr>
        <w:t>披露情景分析使用的输入值信息与关键假设、分析过程等。例如，输入值信息可包括用于分析的气候相关情景及其来源、情景是否与气候相关转型风险或物理风险相关、分析中使用的时间范围以及业务范围等；关键假设可包括披露主体所在国家或地区的气候相关政策、宏观经济形势、国家或者区域层面的因素（例如，当地天气模式、人口统计数据、土地使用及基础设施情况和自然资源等）、能源使用和组合以及技术发展等。</w:t>
      </w:r>
    </w:p>
    <w:p>
      <w:pPr>
        <w:pStyle w:val="4"/>
        <w:rPr>
          <w:rFonts w:hint="eastAsia"/>
        </w:rPr>
      </w:pPr>
      <w:bookmarkStart w:id="260" w:name="_Toc18344"/>
      <w:bookmarkStart w:id="261" w:name="_Toc32582"/>
      <w:bookmarkStart w:id="262" w:name="_Toc177241789"/>
      <w:bookmarkStart w:id="263" w:name="_Toc179988064"/>
      <w:r>
        <w:rPr>
          <w:rFonts w:hint="eastAsia"/>
        </w:rPr>
        <w:t>三、气候相关影响、风险及机遇管理</w:t>
      </w:r>
      <w:bookmarkEnd w:id="260"/>
      <w:bookmarkEnd w:id="261"/>
      <w:bookmarkEnd w:id="262"/>
      <w:bookmarkEnd w:id="263"/>
    </w:p>
    <w:p>
      <w:pPr>
        <w:pStyle w:val="5"/>
        <w:rPr>
          <w:rFonts w:hint="eastAsia"/>
        </w:rPr>
      </w:pPr>
      <w:bookmarkStart w:id="264" w:name="_Toc24027"/>
      <w:bookmarkStart w:id="265" w:name="_Toc14970"/>
      <w:bookmarkStart w:id="266" w:name="_Toc179988065"/>
      <w:bookmarkStart w:id="267" w:name="_Toc177241791"/>
      <w:r>
        <w:rPr>
          <w:rFonts w:hint="eastAsia"/>
        </w:rPr>
        <w:t>披露要点14：气候相关影响、风险及机遇管理的流程</w:t>
      </w:r>
      <w:bookmarkEnd w:id="264"/>
      <w:bookmarkEnd w:id="265"/>
      <w:bookmarkEnd w:id="266"/>
      <w:bookmarkEnd w:id="267"/>
    </w:p>
    <w:p>
      <w:pPr>
        <w:rPr>
          <w:rFonts w:hint="eastAsia"/>
        </w:rPr>
      </w:pPr>
      <w:r>
        <w:rPr>
          <w:rFonts w:hint="eastAsia"/>
        </w:rPr>
        <w:t>1.描述评估气候相关影响、风险和机遇的方法。</w:t>
      </w:r>
    </w:p>
    <w:p>
      <w:pPr>
        <w:rPr>
          <w:rFonts w:hint="eastAsia"/>
        </w:rPr>
      </w:pPr>
      <w:r>
        <w:rPr>
          <w:rFonts w:hint="eastAsia"/>
        </w:rPr>
        <w:t>2.描述如何评估气候相关影响、风险和机遇发生的可能性、大小和影响</w:t>
      </w:r>
      <w:r>
        <w:rPr>
          <w:rFonts w:hint="eastAsia"/>
          <w:lang w:eastAsia="zh-CN"/>
        </w:rPr>
        <w:t>的途径</w:t>
      </w:r>
      <w:r>
        <w:rPr>
          <w:rFonts w:hint="eastAsia"/>
        </w:rPr>
        <w:t>。例如，披露主体是否考虑定性因素、定量阈值或者其他标准。</w:t>
      </w:r>
    </w:p>
    <w:p>
      <w:pPr>
        <w:rPr>
          <w:rFonts w:hint="eastAsia"/>
        </w:rPr>
      </w:pPr>
      <w:r>
        <w:rPr>
          <w:rFonts w:hint="eastAsia"/>
        </w:rPr>
        <w:t>3.描述是否以及如何考虑气候相关风险相较于其他类型风险的优先级。</w:t>
      </w:r>
    </w:p>
    <w:p>
      <w:pPr>
        <w:rPr>
          <w:rFonts w:hint="eastAsia"/>
        </w:rPr>
      </w:pPr>
      <w:r>
        <w:rPr>
          <w:rFonts w:hint="eastAsia"/>
        </w:rPr>
        <w:t>4.描述</w:t>
      </w:r>
      <w:r>
        <w:rPr>
          <w:rFonts w:hint="eastAsia"/>
          <w:lang w:eastAsia="zh-CN"/>
        </w:rPr>
        <w:t>如何</w:t>
      </w:r>
      <w:r>
        <w:rPr>
          <w:rFonts w:hint="eastAsia"/>
        </w:rPr>
        <w:t>监测气候相关影响、风险和机遇，如管理机制、具体流程等。</w:t>
      </w:r>
    </w:p>
    <w:p>
      <w:pPr>
        <w:rPr>
          <w:rFonts w:hint="eastAsia"/>
        </w:rPr>
      </w:pPr>
      <w:r>
        <w:rPr>
          <w:rFonts w:hint="eastAsia"/>
        </w:rPr>
        <w:t>5.</w:t>
      </w:r>
      <w:r>
        <w:rPr>
          <w:rFonts w:hint="eastAsia"/>
          <w:lang w:eastAsia="zh-CN"/>
        </w:rPr>
        <w:t>描述</w:t>
      </w:r>
      <w:r>
        <w:rPr>
          <w:rFonts w:hint="eastAsia"/>
        </w:rPr>
        <w:t>气候相关影响、风险和机遇管理流程融入公司内部管理流程（如整体风险管理流程）的情况，若发生调整，则披露管理流程调整的情况。</w:t>
      </w:r>
      <w:bookmarkStart w:id="268" w:name="_Toc177241793"/>
      <w:bookmarkStart w:id="269" w:name="_Toc179988066"/>
      <w:bookmarkStart w:id="270" w:name="_Toc25219"/>
      <w:bookmarkStart w:id="271" w:name="_Toc22423"/>
    </w:p>
    <w:p>
      <w:pPr>
        <w:pStyle w:val="4"/>
        <w:rPr>
          <w:rFonts w:hint="eastAsia"/>
        </w:rPr>
      </w:pPr>
      <w:r>
        <w:rPr>
          <w:rFonts w:hint="eastAsia"/>
        </w:rPr>
        <w:t>四、气候相关指标与目标</w:t>
      </w:r>
      <w:bookmarkEnd w:id="268"/>
      <w:bookmarkEnd w:id="269"/>
      <w:bookmarkEnd w:id="270"/>
      <w:bookmarkEnd w:id="271"/>
    </w:p>
    <w:p>
      <w:pPr>
        <w:pStyle w:val="5"/>
        <w:rPr>
          <w:rFonts w:hint="eastAsia"/>
        </w:rPr>
      </w:pPr>
      <w:bookmarkStart w:id="272" w:name="_Toc8709"/>
      <w:bookmarkStart w:id="273" w:name="_Toc6520"/>
      <w:bookmarkStart w:id="274" w:name="_Toc179988067"/>
      <w:bookmarkStart w:id="275" w:name="_Toc177241794"/>
      <w:r>
        <w:t>披露要点15：气候相关目标</w:t>
      </w:r>
    </w:p>
    <w:p>
      <w:pPr>
        <w:textAlignment w:val="baseline"/>
        <w:rPr>
          <w:rFonts w:hint="eastAsia"/>
        </w:rPr>
      </w:pPr>
      <w:r>
        <w:rPr>
          <w:rFonts w:hint="eastAsia"/>
        </w:rPr>
        <w:t>1.披露主体应当描述根据相关法律法规、《指引》要求以及自身需要设定的气候相关目标。</w:t>
      </w:r>
    </w:p>
    <w:p>
      <w:pPr>
        <w:textAlignment w:val="baseline"/>
        <w:rPr>
          <w:rFonts w:ascii="仿宋_GB2312" w:hAnsi="Times New Roman" w:eastAsia="仿宋_GB2312"/>
          <w:szCs w:val="30"/>
        </w:rPr>
      </w:pPr>
      <w:r>
        <w:rPr>
          <w:rFonts w:hint="eastAsia"/>
        </w:rPr>
        <w:t>2.对于气候相关目标的描述，可包括：具体的目标内容（定性或定量），定量目标包括绝对目标（如温室气体排放总量/净排放量）以及强度目标等；目标所适用的主体范围，如适用于整个报告主体还是仅适用于特定业务单元或区域；目标的适用期间等（详细可参考本指南第一章）。若气候相关目标为温室气体减排目标，可与披露要点18中的“减排目标”合并披露。</w:t>
      </w:r>
    </w:p>
    <w:p>
      <w:pPr>
        <w:pStyle w:val="5"/>
        <w:rPr>
          <w:rFonts w:hint="eastAsia"/>
        </w:rPr>
      </w:pPr>
      <w:r>
        <w:rPr>
          <w:rFonts w:hint="eastAsia"/>
        </w:rPr>
        <w:t>披露要点16：气候相关目标实现进展</w:t>
      </w:r>
    </w:p>
    <w:p>
      <w:pPr>
        <w:textAlignment w:val="baseline"/>
        <w:rPr>
          <w:rFonts w:hint="eastAsia"/>
        </w:rPr>
      </w:pPr>
      <w:r>
        <w:rPr>
          <w:rFonts w:hint="eastAsia"/>
        </w:rPr>
        <w:t>1.披露主体应当描述报告期末相关目标实现情况以及报告期内的进展情况。</w:t>
      </w:r>
    </w:p>
    <w:p>
      <w:pPr>
        <w:widowControl/>
        <w:adjustRightInd/>
        <w:snapToGrid/>
        <w:rPr>
          <w:rFonts w:hint="eastAsia"/>
        </w:rPr>
      </w:pPr>
      <w:r>
        <w:rPr>
          <w:rFonts w:hint="eastAsia"/>
        </w:rPr>
        <w:t>2.对于气候相关目标实现进展情况的描述，可包括：衡量气候相关目标进展的基准期；阶段性气候相关目标和中期气候相关目标（如有）；目标实现进展（如已完成、进程中、未完成等，或定量描述报告期内目标完成度）（详见本指南第一章）。</w:t>
      </w:r>
    </w:p>
    <w:p>
      <w:pPr>
        <w:pStyle w:val="5"/>
        <w:rPr>
          <w:rFonts w:hint="eastAsia"/>
        </w:rPr>
      </w:pPr>
      <w:r>
        <w:rPr>
          <w:rFonts w:hint="eastAsia"/>
        </w:rPr>
        <w:t>披露要点17：温室气体排放量</w:t>
      </w:r>
      <w:bookmarkEnd w:id="272"/>
      <w:bookmarkEnd w:id="273"/>
      <w:bookmarkEnd w:id="274"/>
      <w:bookmarkEnd w:id="275"/>
    </w:p>
    <w:p>
      <w:pPr>
        <w:rPr>
          <w:rFonts w:hint="eastAsia"/>
        </w:rPr>
      </w:pPr>
      <w:r>
        <w:rPr>
          <w:rFonts w:hint="eastAsia"/>
        </w:rPr>
        <w:t>1.以二氧化碳当量公吨为单位，披露范围</w:t>
      </w:r>
      <w:r>
        <w:rPr>
          <w:rFonts w:hint="eastAsia"/>
          <w:lang w:eastAsia="zh-CN"/>
        </w:rPr>
        <w:t>一</w:t>
      </w:r>
      <w:r>
        <w:rPr>
          <w:rFonts w:hint="eastAsia"/>
        </w:rPr>
        <w:t>、范围</w:t>
      </w:r>
      <w:r>
        <w:rPr>
          <w:rFonts w:hint="eastAsia"/>
          <w:lang w:eastAsia="zh-CN"/>
        </w:rPr>
        <w:t>二</w:t>
      </w:r>
      <w:r>
        <w:rPr>
          <w:rFonts w:hint="eastAsia"/>
        </w:rPr>
        <w:t>及范围</w:t>
      </w:r>
      <w:r>
        <w:rPr>
          <w:rFonts w:hint="eastAsia"/>
          <w:lang w:eastAsia="zh-CN"/>
        </w:rPr>
        <w:t>三</w:t>
      </w:r>
      <w:r>
        <w:rPr>
          <w:rFonts w:hint="eastAsia"/>
        </w:rPr>
        <w:t>（鼓励）温室气体排放量（核算温室气体排放量的方法详见本章第四节）。</w:t>
      </w:r>
    </w:p>
    <w:p>
      <w:pPr>
        <w:rPr>
          <w:rFonts w:hint="eastAsia"/>
        </w:rPr>
      </w:pPr>
      <w:r>
        <w:rPr>
          <w:rFonts w:hint="eastAsia"/>
        </w:rPr>
        <w:t>2.按照业务单位或设施、国家或地区、来源类型（燃烧、加工、电力、供暖、制冷和蒸汽等）分类披露温室气体排放量（鼓励）。</w:t>
      </w:r>
    </w:p>
    <w:p>
      <w:pPr>
        <w:rPr>
          <w:rFonts w:hint="eastAsia"/>
        </w:rPr>
      </w:pPr>
      <w:r>
        <w:rPr>
          <w:rFonts w:hint="eastAsia"/>
        </w:rPr>
        <w:t>3.描述核算温室气体排放量所依据的标准、方法、假设或计算工具</w:t>
      </w:r>
      <w:r>
        <w:rPr>
          <w:rFonts w:hint="eastAsia"/>
          <w:lang w:eastAsia="zh-CN"/>
        </w:rPr>
        <w:t>。</w:t>
      </w:r>
      <w:r>
        <w:rPr>
          <w:rFonts w:hint="eastAsia"/>
        </w:rPr>
        <w:t>若报告期内核算标准、方法、假设等发生变化的，应当说明原因并披露具体影响。</w:t>
      </w:r>
    </w:p>
    <w:p>
      <w:pPr>
        <w:rPr>
          <w:rFonts w:hint="eastAsia"/>
        </w:rPr>
      </w:pPr>
      <w:r>
        <w:rPr>
          <w:rFonts w:hint="eastAsia"/>
        </w:rPr>
        <w:t>4.说明核算温室气体排放量的合并方法，如股权比例法、财务控制法、运营控制法等。</w:t>
      </w:r>
    </w:p>
    <w:p>
      <w:pPr>
        <w:rPr>
          <w:rFonts w:ascii="仿宋_GB2312" w:hAnsi="Times New Roman" w:eastAsia="仿宋_GB2312"/>
          <w:szCs w:val="30"/>
        </w:rPr>
      </w:pPr>
      <w:r>
        <w:rPr>
          <w:rFonts w:hint="eastAsia"/>
        </w:rPr>
        <w:t>5.说明第三方机构对公司温室气体排放等数据进行核查或鉴证情况（如涉及）。</w:t>
      </w:r>
    </w:p>
    <w:p>
      <w:pPr>
        <w:pStyle w:val="5"/>
        <w:rPr>
          <w:rFonts w:hint="eastAsia"/>
        </w:rPr>
      </w:pPr>
      <w:bookmarkStart w:id="276" w:name="_Toc179988068"/>
      <w:bookmarkStart w:id="277" w:name="_Toc30344"/>
      <w:bookmarkStart w:id="278" w:name="_Toc10433"/>
      <w:bookmarkStart w:id="279" w:name="_Toc177241795"/>
      <w:r>
        <w:rPr>
          <w:rFonts w:hint="eastAsia"/>
        </w:rPr>
        <w:t>披露要点18：温室气体减排</w:t>
      </w:r>
      <w:bookmarkEnd w:id="276"/>
      <w:bookmarkEnd w:id="277"/>
      <w:bookmarkEnd w:id="278"/>
      <w:bookmarkEnd w:id="279"/>
      <w:r>
        <w:rPr>
          <w:rFonts w:hint="eastAsia"/>
        </w:rPr>
        <w:t>实践</w:t>
      </w:r>
    </w:p>
    <w:p>
      <w:pPr>
        <w:rPr>
          <w:rFonts w:hint="eastAsia"/>
        </w:rPr>
      </w:pPr>
      <w:r>
        <w:rPr>
          <w:rFonts w:hint="eastAsia"/>
        </w:rPr>
        <w:t>1.描述披露主体的减排目标（详细可参考本指南第一章中“设定和管理目标”相关内容）。</w:t>
      </w:r>
    </w:p>
    <w:p>
      <w:pPr>
        <w:rPr>
          <w:rFonts w:hint="eastAsia"/>
        </w:rPr>
      </w:pPr>
      <w:r>
        <w:rPr>
          <w:rFonts w:hint="eastAsia"/>
        </w:rPr>
        <w:t>2.描述具体减排措施或项目，如管理措施、资金投入、技术开发等。</w:t>
      </w:r>
    </w:p>
    <w:p>
      <w:pPr>
        <w:rPr>
          <w:rFonts w:hint="eastAsia"/>
        </w:rPr>
      </w:pPr>
      <w:r>
        <w:rPr>
          <w:rFonts w:hint="eastAsia"/>
        </w:rPr>
        <w:t>3.</w:t>
      </w:r>
      <w:r>
        <w:rPr>
          <w:rFonts w:hint="eastAsia"/>
          <w:lang w:eastAsia="zh-CN"/>
        </w:rPr>
        <w:t>描述</w:t>
      </w:r>
      <w:r>
        <w:rPr>
          <w:rFonts w:hint="eastAsia"/>
        </w:rPr>
        <w:t>减排实际成效，包括按照不同温室气体排放范围分类披露减少的温室气体排放量（换算成二氧化碳当量公吨数），以及温室气体排放强度变化（如涉及）。</w:t>
      </w:r>
    </w:p>
    <w:p>
      <w:pPr>
        <w:rPr>
          <w:rFonts w:ascii="仿宋_GB2312" w:hAnsi="Times New Roman" w:eastAsia="仿宋_GB2312"/>
          <w:szCs w:val="30"/>
        </w:rPr>
      </w:pPr>
      <w:r>
        <w:rPr>
          <w:rFonts w:hint="eastAsia"/>
        </w:rPr>
        <w:t>4.披露主体可以按照不同减排措施分别披露温室气体减排量。</w:t>
      </w:r>
    </w:p>
    <w:p>
      <w:pPr>
        <w:pStyle w:val="5"/>
        <w:rPr>
          <w:rFonts w:hint="eastAsia" w:ascii="黑体" w:hAnsi="黑体" w:eastAsia="黑体" w:cs="黑体"/>
          <w:szCs w:val="30"/>
        </w:rPr>
      </w:pPr>
      <w:bookmarkStart w:id="280" w:name="_Toc15667"/>
      <w:bookmarkStart w:id="281" w:name="_Toc177241796"/>
      <w:bookmarkStart w:id="282" w:name="_Toc20210"/>
      <w:bookmarkStart w:id="283" w:name="_Toc179988069"/>
      <w:r>
        <w:rPr>
          <w:rFonts w:hint="eastAsia"/>
        </w:rPr>
        <w:t>披露要点19：碳信用额度来源和数量</w:t>
      </w:r>
      <w:bookmarkEnd w:id="280"/>
      <w:bookmarkEnd w:id="281"/>
      <w:bookmarkEnd w:id="282"/>
      <w:r>
        <w:rPr>
          <w:rFonts w:hint="eastAsia"/>
        </w:rPr>
        <w:t>（如涉及）</w:t>
      </w:r>
      <w:bookmarkEnd w:id="283"/>
    </w:p>
    <w:p>
      <w:pPr>
        <w:rPr>
          <w:rFonts w:hint="eastAsia"/>
        </w:rPr>
      </w:pPr>
      <w:r>
        <w:rPr>
          <w:rFonts w:hint="eastAsia"/>
        </w:rPr>
        <w:t>1.描述所使用的碳信用额度的来源，如国家核证自愿减排量（CCER）和各试点碳市场的碳普惠项目等。</w:t>
      </w:r>
    </w:p>
    <w:p>
      <w:pPr>
        <w:rPr>
          <w:rFonts w:ascii="仿宋_GB2312" w:hAnsi="Times New Roman" w:eastAsia="仿宋_GB2312"/>
          <w:szCs w:val="30"/>
        </w:rPr>
      </w:pPr>
      <w:r>
        <w:rPr>
          <w:rFonts w:hint="eastAsia"/>
        </w:rPr>
        <w:t>2.以二氧化碳当量公吨为单位，披露披露主体所使用的碳信用数量。</w:t>
      </w:r>
    </w:p>
    <w:p>
      <w:pPr>
        <w:pStyle w:val="5"/>
        <w:rPr>
          <w:rFonts w:hint="eastAsia"/>
        </w:rPr>
      </w:pPr>
      <w:bookmarkStart w:id="284" w:name="_Toc177241797"/>
      <w:bookmarkStart w:id="285" w:name="_Toc12247"/>
      <w:bookmarkStart w:id="286" w:name="_Toc23709"/>
      <w:bookmarkStart w:id="287" w:name="_Toc179988070"/>
      <w:r>
        <w:rPr>
          <w:rFonts w:hint="eastAsia"/>
        </w:rPr>
        <w:t>披露要点20：碳排放配额清缴情况</w:t>
      </w:r>
      <w:bookmarkEnd w:id="284"/>
      <w:bookmarkEnd w:id="285"/>
      <w:bookmarkEnd w:id="286"/>
      <w:r>
        <w:rPr>
          <w:rFonts w:hint="eastAsia"/>
        </w:rPr>
        <w:t>（如涉及）</w:t>
      </w:r>
      <w:bookmarkEnd w:id="287"/>
    </w:p>
    <w:p>
      <w:pPr>
        <w:rPr>
          <w:rFonts w:hint="eastAsia"/>
        </w:rPr>
      </w:pPr>
      <w:r>
        <w:rPr>
          <w:rFonts w:hint="eastAsia"/>
        </w:rPr>
        <w:t>1.描述报告期内是否在碳排放权交易市场完成清缴履约。</w:t>
      </w:r>
    </w:p>
    <w:p>
      <w:pPr>
        <w:rPr>
          <w:rFonts w:ascii="仿宋_GB2312" w:hAnsi="Times New Roman" w:eastAsia="仿宋_GB2312"/>
          <w:szCs w:val="30"/>
        </w:rPr>
      </w:pPr>
      <w:r>
        <w:rPr>
          <w:rFonts w:hint="eastAsia"/>
        </w:rPr>
        <w:t>2.描述是否因碳排放权清缴问题，被有关部门要求整改、立案调查或处罚。</w:t>
      </w:r>
    </w:p>
    <w:p>
      <w:pPr>
        <w:pStyle w:val="5"/>
        <w:rPr>
          <w:rFonts w:hint="eastAsia" w:ascii="黑体" w:hAnsi="黑体" w:eastAsia="黑体" w:cs="黑体"/>
          <w:szCs w:val="30"/>
        </w:rPr>
      </w:pPr>
      <w:bookmarkStart w:id="288" w:name="_Toc9235"/>
      <w:bookmarkStart w:id="289" w:name="_Toc177241798"/>
      <w:bookmarkStart w:id="290" w:name="_Toc25582"/>
      <w:bookmarkStart w:id="291" w:name="_Toc179988071"/>
      <w:r>
        <w:rPr>
          <w:rFonts w:hint="eastAsia"/>
        </w:rPr>
        <w:t>披露要点21：全国温室气体自愿减排项目和核证自愿减排量（CCER）的登记与交易情况</w:t>
      </w:r>
      <w:bookmarkEnd w:id="288"/>
      <w:bookmarkEnd w:id="289"/>
      <w:bookmarkEnd w:id="290"/>
      <w:r>
        <w:rPr>
          <w:rFonts w:hint="eastAsia"/>
        </w:rPr>
        <w:t>（如涉及）</w:t>
      </w:r>
      <w:bookmarkEnd w:id="291"/>
    </w:p>
    <w:p>
      <w:pPr>
        <w:rPr>
          <w:rFonts w:hint="eastAsia"/>
        </w:rPr>
      </w:pPr>
      <w:bookmarkStart w:id="292" w:name="_Hlk177115918"/>
      <w:r>
        <w:rPr>
          <w:rFonts w:hint="eastAsia"/>
        </w:rPr>
        <w:t>1.在</w:t>
      </w:r>
      <w:bookmarkStart w:id="293" w:name="_Hlk177199289"/>
      <w:r>
        <w:rPr>
          <w:rFonts w:hint="eastAsia"/>
        </w:rPr>
        <w:t>全国温室气体自愿减排项目</w:t>
      </w:r>
      <w:bookmarkEnd w:id="293"/>
      <w:r>
        <w:rPr>
          <w:rFonts w:hint="eastAsia"/>
        </w:rPr>
        <w:t>和核证自愿减排量（</w:t>
      </w:r>
      <w:r>
        <w:t>CCER</w:t>
      </w:r>
      <w:r>
        <w:rPr>
          <w:rFonts w:hint="eastAsia"/>
        </w:rPr>
        <w:t>）登记的项目情况，如项目数量、状态、类型、预计减排量等。</w:t>
      </w:r>
    </w:p>
    <w:p>
      <w:pPr>
        <w:rPr>
          <w:rFonts w:hint="eastAsia"/>
        </w:rPr>
      </w:pPr>
      <w:r>
        <w:rPr>
          <w:rFonts w:hint="eastAsia"/>
        </w:rPr>
        <w:t>2.披露交易的CCER项目减排量。</w:t>
      </w:r>
    </w:p>
    <w:bookmarkEnd w:id="292"/>
    <w:p>
      <w:pPr>
        <w:pStyle w:val="5"/>
        <w:rPr>
          <w:rFonts w:hint="eastAsia" w:ascii="黑体" w:hAnsi="黑体" w:eastAsia="黑体" w:cs="黑体"/>
          <w:szCs w:val="30"/>
        </w:rPr>
      </w:pPr>
      <w:bookmarkStart w:id="294" w:name="_Toc177241799"/>
      <w:bookmarkStart w:id="295" w:name="_Toc17353"/>
      <w:bookmarkStart w:id="296" w:name="_Toc26817"/>
      <w:bookmarkStart w:id="297" w:name="_Toc179988072"/>
      <w:r>
        <w:rPr>
          <w:rFonts w:hint="eastAsia"/>
        </w:rPr>
        <w:t>披露要点22：参与其他减排机制的项目和减排量登记与交易情况</w:t>
      </w:r>
      <w:bookmarkEnd w:id="294"/>
      <w:bookmarkEnd w:id="295"/>
      <w:bookmarkEnd w:id="296"/>
      <w:r>
        <w:rPr>
          <w:rFonts w:hint="eastAsia"/>
        </w:rPr>
        <w:t>（如涉及）</w:t>
      </w:r>
      <w:bookmarkEnd w:id="297"/>
    </w:p>
    <w:p>
      <w:pPr>
        <w:rPr>
          <w:rFonts w:hint="eastAsia"/>
        </w:rPr>
      </w:pPr>
      <w:r>
        <w:rPr>
          <w:rFonts w:hint="eastAsia"/>
        </w:rPr>
        <w:t>1.描述参与的其他减排机制项目名称、减排机制类型，以及</w:t>
      </w:r>
      <w:r>
        <w:rPr>
          <w:rFonts w:hint="eastAsia"/>
          <w:lang w:eastAsia="zh-CN"/>
        </w:rPr>
        <w:t>其他</w:t>
      </w:r>
      <w:r>
        <w:rPr>
          <w:rFonts w:hint="eastAsia"/>
        </w:rPr>
        <w:t>减排机制下登记的项目情况、交易的减排量数量等。</w:t>
      </w:r>
    </w:p>
    <w:p>
      <w:pPr>
        <w:rPr>
          <w:rFonts w:ascii="仿宋_GB2312" w:hAnsi="Times New Roman" w:eastAsia="仿宋_GB2312"/>
          <w:szCs w:val="30"/>
        </w:rPr>
      </w:pPr>
      <w:r>
        <w:rPr>
          <w:rFonts w:hint="eastAsia"/>
        </w:rPr>
        <w:t>2.描述其他减排机制项目情况，如项目数量、状态、类型、预计减排量等。</w:t>
      </w:r>
    </w:p>
    <w:p>
      <w:pPr>
        <w:rPr>
          <w:rFonts w:hint="eastAsia"/>
        </w:rPr>
      </w:pPr>
      <w:bookmarkStart w:id="298" w:name="_Toc177241806"/>
      <w:bookmarkStart w:id="299" w:name="_Toc10373"/>
      <w:bookmarkStart w:id="300" w:name="_Toc14695"/>
    </w:p>
    <w:p>
      <w:pPr>
        <w:adjustRightInd/>
        <w:snapToGrid/>
        <w:spacing w:line="240" w:lineRule="auto"/>
        <w:ind w:firstLine="0" w:firstLineChars="0"/>
        <w:rPr>
          <w:rFonts w:ascii="Times New Roman" w:hAnsi="Times New Roman" w:eastAsia="黑体"/>
          <w:szCs w:val="32"/>
        </w:rPr>
      </w:pPr>
      <w:r>
        <w:rPr>
          <w:rFonts w:ascii="Times New Roman" w:hAnsi="Times New Roman" w:eastAsia="黑体"/>
          <w:szCs w:val="32"/>
        </w:rPr>
        <w:br w:type="page"/>
      </w:r>
    </w:p>
    <w:p>
      <w:pPr>
        <w:pStyle w:val="3"/>
        <w:jc w:val="left"/>
        <w:rPr>
          <w:rFonts w:ascii="Times New Roman" w:hAnsi="Times New Roman" w:eastAsia="黑体" w:cs="Times New Roman"/>
          <w:szCs w:val="28"/>
        </w:rPr>
      </w:pPr>
      <w:bookmarkStart w:id="301" w:name="_Toc179988075"/>
      <w:bookmarkStart w:id="302" w:name="_Toc12371"/>
      <w:r>
        <w:rPr>
          <w:rFonts w:hint="eastAsia"/>
        </w:rPr>
        <w:t>附录</w:t>
      </w:r>
      <w:r>
        <w:t xml:space="preserve"> </w:t>
      </w:r>
      <w:r>
        <w:rPr>
          <w:rFonts w:hint="eastAsia"/>
        </w:rPr>
        <w:t>温室气体排放量披露模板示例</w:t>
      </w:r>
      <w:bookmarkEnd w:id="298"/>
      <w:bookmarkEnd w:id="299"/>
      <w:bookmarkEnd w:id="300"/>
      <w:bookmarkEnd w:id="301"/>
      <w:bookmarkEnd w:id="302"/>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4"/>
        <w:gridCol w:w="1457"/>
        <w:gridCol w:w="1446"/>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tcPr>
          <w:p>
            <w:pPr>
              <w:pStyle w:val="58"/>
              <w:jc w:val="center"/>
              <w:rPr>
                <w:rFonts w:hint="eastAsia"/>
              </w:rPr>
            </w:pPr>
            <w:r>
              <w:rPr>
                <w:rFonts w:hint="eastAsia"/>
              </w:rPr>
              <w:t>温室气体范围</w:t>
            </w:r>
            <w:r>
              <w:br w:type="textWrapping"/>
            </w:r>
            <w:r>
              <w:rPr>
                <w:rFonts w:hint="eastAsia"/>
              </w:rPr>
              <w:t>（单位：</w:t>
            </w:r>
            <w:r>
              <w:t>MT CO</w:t>
            </w:r>
            <w:r>
              <w:rPr>
                <w:vertAlign w:val="subscript"/>
              </w:rPr>
              <w:t>2</w:t>
            </w:r>
            <w:r>
              <w:t>e</w:t>
            </w:r>
            <w:r>
              <w:rPr>
                <w:rFonts w:hint="eastAsia"/>
              </w:rPr>
              <w:t>）</w:t>
            </w:r>
          </w:p>
        </w:tc>
        <w:tc>
          <w:tcPr>
            <w:tcW w:w="1457" w:type="dxa"/>
            <w:tcBorders>
              <w:top w:val="single" w:color="auto" w:sz="8" w:space="0"/>
              <w:left w:val="single" w:color="auto" w:sz="8" w:space="0"/>
              <w:bottom w:val="single" w:color="auto" w:sz="8" w:space="0"/>
              <w:right w:val="single" w:color="auto" w:sz="2" w:space="0"/>
            </w:tcBorders>
          </w:tcPr>
          <w:p>
            <w:pPr>
              <w:pStyle w:val="58"/>
              <w:jc w:val="center"/>
              <w:rPr>
                <w:rFonts w:hint="eastAsia"/>
              </w:rPr>
            </w:pPr>
            <w:r>
              <w:rPr>
                <w:rFonts w:hint="eastAsia"/>
              </w:rPr>
              <w:t>报告期间1：20X</w:t>
            </w:r>
            <w:r>
              <w:rPr>
                <w:rFonts w:hint="eastAsia"/>
                <w:lang w:val="en-US" w:eastAsia="zh-CN"/>
              </w:rPr>
              <w:t>2</w:t>
            </w:r>
            <w:r>
              <w:rPr>
                <w:rFonts w:hint="eastAsia"/>
              </w:rPr>
              <w:t>年</w:t>
            </w:r>
          </w:p>
        </w:tc>
        <w:tc>
          <w:tcPr>
            <w:tcW w:w="1446" w:type="dxa"/>
            <w:tcBorders>
              <w:top w:val="single" w:color="auto" w:sz="8" w:space="0"/>
              <w:left w:val="single" w:color="auto" w:sz="2" w:space="0"/>
              <w:bottom w:val="single" w:color="auto" w:sz="8" w:space="0"/>
              <w:right w:val="single" w:color="auto" w:sz="2" w:space="0"/>
            </w:tcBorders>
          </w:tcPr>
          <w:p>
            <w:pPr>
              <w:pStyle w:val="58"/>
              <w:jc w:val="center"/>
              <w:rPr>
                <w:rFonts w:hint="eastAsia"/>
              </w:rPr>
            </w:pPr>
            <w:r>
              <w:rPr>
                <w:rFonts w:hint="eastAsia"/>
              </w:rPr>
              <w:t>报告期间2：20X</w:t>
            </w:r>
            <w:r>
              <w:rPr>
                <w:rFonts w:hint="eastAsia"/>
                <w:lang w:val="en-US" w:eastAsia="zh-CN"/>
              </w:rPr>
              <w:t>1</w:t>
            </w:r>
            <w:r>
              <w:rPr>
                <w:rFonts w:hint="eastAsia"/>
              </w:rPr>
              <w:t>年</w:t>
            </w:r>
          </w:p>
        </w:tc>
        <w:tc>
          <w:tcPr>
            <w:tcW w:w="2019" w:type="dxa"/>
            <w:tcBorders>
              <w:top w:val="single" w:color="auto" w:sz="8" w:space="0"/>
              <w:left w:val="single" w:color="auto" w:sz="2" w:space="0"/>
              <w:bottom w:val="single" w:color="auto" w:sz="8" w:space="0"/>
            </w:tcBorders>
          </w:tcPr>
          <w:p>
            <w:pPr>
              <w:pStyle w:val="58"/>
              <w:jc w:val="center"/>
              <w:rPr>
                <w:rFonts w:hint="eastAsia"/>
              </w:rPr>
            </w:pPr>
            <w:r>
              <w:rPr>
                <w:rFonts w:hint="eastAsia"/>
              </w:rPr>
              <w:t>核算标准、方法等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一</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如排放因子法等，依据和文件名称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固定源排放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移动源排放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工业制程排放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无组织逸散排放</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vAlign w:val="center"/>
          </w:tcPr>
          <w:p>
            <w:pPr>
              <w:pStyle w:val="58"/>
              <w:rPr>
                <w:rFonts w:hint="eastAsia"/>
              </w:rPr>
            </w:pPr>
            <w:r>
              <w:rPr>
                <w:rFonts w:hint="eastAsia"/>
              </w:rPr>
              <w:t>范围</w:t>
            </w:r>
            <w:r>
              <w:rPr>
                <w:rFonts w:hint="eastAsia"/>
                <w:lang w:eastAsia="zh-CN"/>
              </w:rPr>
              <w:t>二</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如，基于地理位置或基于市场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三</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w:t>
            </w:r>
            <w:r>
              <w:rPr>
                <w:rFonts w:hint="eastAsia"/>
                <w:lang w:eastAsia="zh-CN"/>
              </w:rPr>
              <w:t>购买的货物</w:t>
            </w:r>
            <w:r>
              <w:rPr>
                <w:rFonts w:hint="eastAsia"/>
              </w:rPr>
              <w:t>和服务</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类别2：资本</w:t>
            </w:r>
            <w:r>
              <w:rPr>
                <w:rFonts w:hint="eastAsia"/>
                <w:lang w:eastAsia="zh-CN"/>
              </w:rPr>
              <w:t>货物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类别3：燃料和能源相关活动（未包括在范围1和范围2中的部分）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类别4：上游运输和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类别5：</w:t>
            </w:r>
            <w:r>
              <w:rPr>
                <w:rFonts w:hint="eastAsia"/>
                <w:lang w:eastAsia="zh-CN"/>
              </w:rPr>
              <w:t>操作</w:t>
            </w:r>
            <w:r>
              <w:rPr>
                <w:rFonts w:hint="eastAsia"/>
              </w:rPr>
              <w:t>中产生的废物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类别6：商务</w:t>
            </w:r>
            <w:r>
              <w:rPr>
                <w:rFonts w:hint="eastAsia"/>
                <w:lang w:eastAsia="zh-CN"/>
              </w:rPr>
              <w:t>旅行</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类别7：</w:t>
            </w:r>
            <w:r>
              <w:rPr>
                <w:rFonts w:hint="eastAsia"/>
                <w:lang w:eastAsia="zh-CN"/>
              </w:rPr>
              <w:t>雇员</w:t>
            </w:r>
            <w:r>
              <w:rPr>
                <w:rFonts w:hint="eastAsia"/>
              </w:rPr>
              <w:t>通勤</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类别8：上游租赁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类别9：下游运输和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类别10：</w:t>
            </w:r>
            <w:r>
              <w:rPr>
                <w:rFonts w:hint="eastAsia"/>
                <w:lang w:eastAsia="zh-CN"/>
              </w:rPr>
              <w:t>销售</w:t>
            </w:r>
            <w:r>
              <w:rPr>
                <w:rFonts w:hint="eastAsia"/>
              </w:rPr>
              <w:t>产品的加工</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类别11：</w:t>
            </w:r>
            <w:r>
              <w:rPr>
                <w:rFonts w:hint="eastAsia"/>
                <w:lang w:eastAsia="zh-CN"/>
              </w:rPr>
              <w:t>销售</w:t>
            </w:r>
            <w:r>
              <w:rPr>
                <w:rFonts w:hint="eastAsia"/>
              </w:rPr>
              <w:t>产品的使用</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类别12：</w:t>
            </w:r>
            <w:r>
              <w:rPr>
                <w:rFonts w:hint="eastAsia"/>
                <w:lang w:eastAsia="zh-CN"/>
              </w:rPr>
              <w:t>售出</w:t>
            </w:r>
            <w:r>
              <w:rPr>
                <w:rFonts w:hint="eastAsia"/>
              </w:rPr>
              <w:t>产品的</w:t>
            </w:r>
            <w:r>
              <w:rPr>
                <w:rFonts w:hint="eastAsia"/>
                <w:lang w:eastAsia="zh-CN"/>
              </w:rPr>
              <w:t>报废处理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类别13：下游租赁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类别14：特许权</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类别15：投资</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shd w:val="clear" w:color="auto" w:fill="BEBEBE"/>
          </w:tcPr>
          <w:p>
            <w:pPr>
              <w:pStyle w:val="58"/>
              <w:rPr>
                <w:rFonts w:hint="eastAsia"/>
              </w:rPr>
            </w:pPr>
            <w:r>
              <w:rPr>
                <w:rFonts w:hint="eastAsia"/>
              </w:rPr>
              <w:t>温室气体排放总量</w:t>
            </w:r>
          </w:p>
        </w:tc>
        <w:tc>
          <w:tcPr>
            <w:tcW w:w="1457" w:type="dxa"/>
            <w:tcBorders>
              <w:top w:val="single" w:color="auto" w:sz="8" w:space="0"/>
              <w:left w:val="single" w:color="auto" w:sz="8" w:space="0"/>
              <w:bottom w:val="single" w:color="auto" w:sz="8" w:space="0"/>
              <w:right w:val="single" w:color="auto" w:sz="2" w:space="0"/>
            </w:tcBorders>
            <w:shd w:val="clear" w:color="auto" w:fill="BEBEBE"/>
          </w:tcPr>
          <w:p>
            <w:pPr>
              <w:pStyle w:val="58"/>
              <w:rPr>
                <w:rFonts w:hint="eastAsia"/>
              </w:rPr>
            </w:pPr>
          </w:p>
        </w:tc>
        <w:tc>
          <w:tcPr>
            <w:tcW w:w="1446" w:type="dxa"/>
            <w:tcBorders>
              <w:top w:val="single" w:color="auto" w:sz="8" w:space="0"/>
              <w:left w:val="single" w:color="auto" w:sz="2" w:space="0"/>
              <w:bottom w:val="single" w:color="auto" w:sz="8" w:space="0"/>
              <w:right w:val="single" w:color="auto" w:sz="2" w:space="0"/>
            </w:tcBorders>
            <w:shd w:val="clear" w:color="auto" w:fill="BEBEBE"/>
          </w:tcPr>
          <w:p>
            <w:pPr>
              <w:pStyle w:val="58"/>
              <w:rPr>
                <w:rFonts w:hint="eastAsia"/>
              </w:rPr>
            </w:pPr>
          </w:p>
        </w:tc>
        <w:tc>
          <w:tcPr>
            <w:tcW w:w="2019" w:type="dxa"/>
            <w:tcBorders>
              <w:top w:val="single" w:color="auto" w:sz="8" w:space="0"/>
              <w:left w:val="single" w:color="auto" w:sz="2" w:space="0"/>
              <w:bottom w:val="single" w:color="auto" w:sz="8" w:space="0"/>
            </w:tcBorders>
            <w:shd w:val="clear" w:color="auto" w:fill="BEBEBE"/>
          </w:tcPr>
          <w:p>
            <w:pPr>
              <w:pStyle w:val="58"/>
              <w:rPr>
                <w:rFonts w:hint="eastAsia"/>
              </w:rPr>
            </w:pPr>
            <w:r>
              <w:rPr>
                <w:rFonts w:hint="eastAsia"/>
              </w:rPr>
              <w:t>明确组织边界的定义方法，如股权比例法/财务控制法/运营控制法等</w:t>
            </w:r>
          </w:p>
        </w:tc>
      </w:tr>
    </w:tbl>
    <w:p>
      <w:pPr>
        <w:ind w:firstLine="0" w:firstLineChars="0"/>
        <w:rPr>
          <w:rFonts w:hint="eastAsia"/>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Source Han Serif C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1164695857"/>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11</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338349728"/>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18</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381183"/>
    </w:sdtPr>
    <w:sdtContent>
      <w:p>
        <w:pPr>
          <w:pStyle w:val="12"/>
          <w:spacing w:before="120"/>
          <w:ind w:firstLine="360"/>
          <w:jc w:val="center"/>
          <w:rPr>
            <w:rFonts w:hint="eastAsia"/>
          </w:rPr>
        </w:pPr>
        <w:r>
          <w:fldChar w:fldCharType="begin"/>
        </w:r>
        <w:r>
          <w:instrText xml:space="preserve">PAGE   \* MERGEFORMAT</w:instrText>
        </w:r>
        <w:r>
          <w:fldChar w:fldCharType="separate"/>
        </w:r>
        <w:r>
          <w:rPr>
            <w:lang w:val="zh-CN"/>
          </w:rPr>
          <w:t>21</w:t>
        </w:r>
        <w:r>
          <w:fldChar w:fldCharType="end"/>
        </w:r>
      </w:p>
    </w:sdtContent>
  </w:sdt>
  <w:p>
    <w:pPr>
      <w:spacing w:before="1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NDYyMmQzMTY0NmEwYTQ0Yjg4Yjg1Zjc2ODkzNmYifQ=="/>
  </w:docVars>
  <w:rsids>
    <w:rsidRoot w:val="00554F62"/>
    <w:rsid w:val="000008CE"/>
    <w:rsid w:val="000010C6"/>
    <w:rsid w:val="000016D9"/>
    <w:rsid w:val="0000314C"/>
    <w:rsid w:val="00003E5B"/>
    <w:rsid w:val="000057EF"/>
    <w:rsid w:val="00007A55"/>
    <w:rsid w:val="000101DA"/>
    <w:rsid w:val="0001095F"/>
    <w:rsid w:val="00011D20"/>
    <w:rsid w:val="0001277D"/>
    <w:rsid w:val="00013288"/>
    <w:rsid w:val="0001449D"/>
    <w:rsid w:val="00014DAF"/>
    <w:rsid w:val="0001575C"/>
    <w:rsid w:val="000174D6"/>
    <w:rsid w:val="00020A2A"/>
    <w:rsid w:val="00021F31"/>
    <w:rsid w:val="00022025"/>
    <w:rsid w:val="00022575"/>
    <w:rsid w:val="00022B9C"/>
    <w:rsid w:val="00025E74"/>
    <w:rsid w:val="000266D6"/>
    <w:rsid w:val="0003122E"/>
    <w:rsid w:val="00031950"/>
    <w:rsid w:val="00032B3A"/>
    <w:rsid w:val="00035093"/>
    <w:rsid w:val="00035870"/>
    <w:rsid w:val="00036F49"/>
    <w:rsid w:val="000378C3"/>
    <w:rsid w:val="00037913"/>
    <w:rsid w:val="0004101A"/>
    <w:rsid w:val="00044EF2"/>
    <w:rsid w:val="0004618C"/>
    <w:rsid w:val="00047119"/>
    <w:rsid w:val="00047E23"/>
    <w:rsid w:val="000507DB"/>
    <w:rsid w:val="00051F96"/>
    <w:rsid w:val="00052CE0"/>
    <w:rsid w:val="00053406"/>
    <w:rsid w:val="00054E9D"/>
    <w:rsid w:val="0005542A"/>
    <w:rsid w:val="00055734"/>
    <w:rsid w:val="00057982"/>
    <w:rsid w:val="00060523"/>
    <w:rsid w:val="00060CF4"/>
    <w:rsid w:val="000631E3"/>
    <w:rsid w:val="000655E1"/>
    <w:rsid w:val="00070744"/>
    <w:rsid w:val="000734FE"/>
    <w:rsid w:val="00073E55"/>
    <w:rsid w:val="00074FFC"/>
    <w:rsid w:val="000772FF"/>
    <w:rsid w:val="0008178A"/>
    <w:rsid w:val="00081C1F"/>
    <w:rsid w:val="000823CA"/>
    <w:rsid w:val="000828EA"/>
    <w:rsid w:val="00084B5A"/>
    <w:rsid w:val="0008556B"/>
    <w:rsid w:val="00086CD5"/>
    <w:rsid w:val="000903AF"/>
    <w:rsid w:val="000904C0"/>
    <w:rsid w:val="00091A06"/>
    <w:rsid w:val="0009291D"/>
    <w:rsid w:val="00093650"/>
    <w:rsid w:val="00094B75"/>
    <w:rsid w:val="0009500A"/>
    <w:rsid w:val="0009529A"/>
    <w:rsid w:val="00095689"/>
    <w:rsid w:val="00095C50"/>
    <w:rsid w:val="000A1DF1"/>
    <w:rsid w:val="000A1EDB"/>
    <w:rsid w:val="000A65DA"/>
    <w:rsid w:val="000A6A31"/>
    <w:rsid w:val="000A75BC"/>
    <w:rsid w:val="000A7F51"/>
    <w:rsid w:val="000B04CC"/>
    <w:rsid w:val="000B0E93"/>
    <w:rsid w:val="000B300E"/>
    <w:rsid w:val="000B30D8"/>
    <w:rsid w:val="000B4CBE"/>
    <w:rsid w:val="000B5E8A"/>
    <w:rsid w:val="000C32DF"/>
    <w:rsid w:val="000C3E68"/>
    <w:rsid w:val="000C56F9"/>
    <w:rsid w:val="000C72BE"/>
    <w:rsid w:val="000D08F2"/>
    <w:rsid w:val="000D0DDE"/>
    <w:rsid w:val="000D1102"/>
    <w:rsid w:val="000D2BCE"/>
    <w:rsid w:val="000D3547"/>
    <w:rsid w:val="000D3D3F"/>
    <w:rsid w:val="000D4C60"/>
    <w:rsid w:val="000D7AB8"/>
    <w:rsid w:val="000E27F0"/>
    <w:rsid w:val="000E4219"/>
    <w:rsid w:val="000E4563"/>
    <w:rsid w:val="000E477D"/>
    <w:rsid w:val="000E5313"/>
    <w:rsid w:val="000E569F"/>
    <w:rsid w:val="000E587B"/>
    <w:rsid w:val="000E5895"/>
    <w:rsid w:val="000E5A85"/>
    <w:rsid w:val="000E6BDB"/>
    <w:rsid w:val="000E715D"/>
    <w:rsid w:val="000E7266"/>
    <w:rsid w:val="000E7B7F"/>
    <w:rsid w:val="000F0D6E"/>
    <w:rsid w:val="000F48CD"/>
    <w:rsid w:val="000F7DB9"/>
    <w:rsid w:val="001008E1"/>
    <w:rsid w:val="00101649"/>
    <w:rsid w:val="0010246C"/>
    <w:rsid w:val="001035D8"/>
    <w:rsid w:val="00104B80"/>
    <w:rsid w:val="00107C56"/>
    <w:rsid w:val="001101F8"/>
    <w:rsid w:val="00112D1A"/>
    <w:rsid w:val="0011321D"/>
    <w:rsid w:val="00113A63"/>
    <w:rsid w:val="0011713F"/>
    <w:rsid w:val="00121ACF"/>
    <w:rsid w:val="00121B5C"/>
    <w:rsid w:val="0012352E"/>
    <w:rsid w:val="00124FB4"/>
    <w:rsid w:val="001266EF"/>
    <w:rsid w:val="00126E90"/>
    <w:rsid w:val="00127D31"/>
    <w:rsid w:val="00131790"/>
    <w:rsid w:val="00131CB9"/>
    <w:rsid w:val="00134472"/>
    <w:rsid w:val="00135A57"/>
    <w:rsid w:val="00136FC4"/>
    <w:rsid w:val="0013705C"/>
    <w:rsid w:val="00137475"/>
    <w:rsid w:val="001400F4"/>
    <w:rsid w:val="00140447"/>
    <w:rsid w:val="00142940"/>
    <w:rsid w:val="0014513D"/>
    <w:rsid w:val="00145178"/>
    <w:rsid w:val="0014534E"/>
    <w:rsid w:val="00146FCC"/>
    <w:rsid w:val="0015044F"/>
    <w:rsid w:val="00152AB3"/>
    <w:rsid w:val="00152F5C"/>
    <w:rsid w:val="001539DA"/>
    <w:rsid w:val="00154110"/>
    <w:rsid w:val="001542EA"/>
    <w:rsid w:val="00156A43"/>
    <w:rsid w:val="00160DE9"/>
    <w:rsid w:val="001618E5"/>
    <w:rsid w:val="001658D2"/>
    <w:rsid w:val="00166E97"/>
    <w:rsid w:val="001674A4"/>
    <w:rsid w:val="00167F19"/>
    <w:rsid w:val="00174B29"/>
    <w:rsid w:val="0018182D"/>
    <w:rsid w:val="00183E82"/>
    <w:rsid w:val="00184C64"/>
    <w:rsid w:val="00185B97"/>
    <w:rsid w:val="00186535"/>
    <w:rsid w:val="001872FF"/>
    <w:rsid w:val="00191B96"/>
    <w:rsid w:val="00192A5B"/>
    <w:rsid w:val="00193F49"/>
    <w:rsid w:val="001948DF"/>
    <w:rsid w:val="00194ABC"/>
    <w:rsid w:val="001A0257"/>
    <w:rsid w:val="001A0B77"/>
    <w:rsid w:val="001A0C35"/>
    <w:rsid w:val="001A1ACF"/>
    <w:rsid w:val="001A6B50"/>
    <w:rsid w:val="001A6E37"/>
    <w:rsid w:val="001A7AC5"/>
    <w:rsid w:val="001B066B"/>
    <w:rsid w:val="001B0E8A"/>
    <w:rsid w:val="001B1512"/>
    <w:rsid w:val="001B1DBD"/>
    <w:rsid w:val="001B3973"/>
    <w:rsid w:val="001B3E90"/>
    <w:rsid w:val="001B4DB6"/>
    <w:rsid w:val="001B797F"/>
    <w:rsid w:val="001C181A"/>
    <w:rsid w:val="001C30F4"/>
    <w:rsid w:val="001D1ACC"/>
    <w:rsid w:val="001D22D6"/>
    <w:rsid w:val="001D276C"/>
    <w:rsid w:val="001D2F20"/>
    <w:rsid w:val="001D4508"/>
    <w:rsid w:val="001D5DD4"/>
    <w:rsid w:val="001D60BB"/>
    <w:rsid w:val="001D6C56"/>
    <w:rsid w:val="001D7593"/>
    <w:rsid w:val="001E231E"/>
    <w:rsid w:val="001E2F3B"/>
    <w:rsid w:val="001E30D4"/>
    <w:rsid w:val="001E34D0"/>
    <w:rsid w:val="001E423C"/>
    <w:rsid w:val="001E53DA"/>
    <w:rsid w:val="001E5894"/>
    <w:rsid w:val="001E76BB"/>
    <w:rsid w:val="001F28E2"/>
    <w:rsid w:val="001F2983"/>
    <w:rsid w:val="001F2FAD"/>
    <w:rsid w:val="001F37D1"/>
    <w:rsid w:val="001F494B"/>
    <w:rsid w:val="001F62B7"/>
    <w:rsid w:val="001F72FA"/>
    <w:rsid w:val="001F752E"/>
    <w:rsid w:val="001F79A1"/>
    <w:rsid w:val="0020022A"/>
    <w:rsid w:val="00201233"/>
    <w:rsid w:val="002023BD"/>
    <w:rsid w:val="002038F0"/>
    <w:rsid w:val="002064C6"/>
    <w:rsid w:val="00206A0F"/>
    <w:rsid w:val="00211DCE"/>
    <w:rsid w:val="0021454E"/>
    <w:rsid w:val="0021583E"/>
    <w:rsid w:val="00215CB4"/>
    <w:rsid w:val="00215E41"/>
    <w:rsid w:val="00215F14"/>
    <w:rsid w:val="00216FA2"/>
    <w:rsid w:val="002175FA"/>
    <w:rsid w:val="00221D01"/>
    <w:rsid w:val="00223325"/>
    <w:rsid w:val="00223B07"/>
    <w:rsid w:val="00227A05"/>
    <w:rsid w:val="00227B60"/>
    <w:rsid w:val="00230312"/>
    <w:rsid w:val="00230A09"/>
    <w:rsid w:val="00234874"/>
    <w:rsid w:val="00234977"/>
    <w:rsid w:val="002356A1"/>
    <w:rsid w:val="002420BB"/>
    <w:rsid w:val="002434E9"/>
    <w:rsid w:val="00243D81"/>
    <w:rsid w:val="00245D72"/>
    <w:rsid w:val="00245F69"/>
    <w:rsid w:val="0024778F"/>
    <w:rsid w:val="00247C00"/>
    <w:rsid w:val="00250652"/>
    <w:rsid w:val="0025246E"/>
    <w:rsid w:val="00252E3B"/>
    <w:rsid w:val="002538C8"/>
    <w:rsid w:val="00255DC7"/>
    <w:rsid w:val="00256CE4"/>
    <w:rsid w:val="002575E9"/>
    <w:rsid w:val="0026217F"/>
    <w:rsid w:val="00263CDB"/>
    <w:rsid w:val="00266972"/>
    <w:rsid w:val="00267370"/>
    <w:rsid w:val="002702CD"/>
    <w:rsid w:val="0027068B"/>
    <w:rsid w:val="002718AF"/>
    <w:rsid w:val="00271D2E"/>
    <w:rsid w:val="00271D9A"/>
    <w:rsid w:val="002724E1"/>
    <w:rsid w:val="00272E31"/>
    <w:rsid w:val="002731D7"/>
    <w:rsid w:val="00275F6E"/>
    <w:rsid w:val="0027607A"/>
    <w:rsid w:val="002776C1"/>
    <w:rsid w:val="00280695"/>
    <w:rsid w:val="0028423C"/>
    <w:rsid w:val="002845C1"/>
    <w:rsid w:val="00286E75"/>
    <w:rsid w:val="00290914"/>
    <w:rsid w:val="00290A87"/>
    <w:rsid w:val="00290E58"/>
    <w:rsid w:val="002917CB"/>
    <w:rsid w:val="002933C2"/>
    <w:rsid w:val="00294F50"/>
    <w:rsid w:val="002969BC"/>
    <w:rsid w:val="00297B71"/>
    <w:rsid w:val="002A13FD"/>
    <w:rsid w:val="002A1706"/>
    <w:rsid w:val="002A1F04"/>
    <w:rsid w:val="002A4654"/>
    <w:rsid w:val="002A5AF5"/>
    <w:rsid w:val="002B01A3"/>
    <w:rsid w:val="002B303A"/>
    <w:rsid w:val="002B3915"/>
    <w:rsid w:val="002B3AD1"/>
    <w:rsid w:val="002B3E2A"/>
    <w:rsid w:val="002B4C28"/>
    <w:rsid w:val="002B672C"/>
    <w:rsid w:val="002B6A45"/>
    <w:rsid w:val="002B6CED"/>
    <w:rsid w:val="002B6EB6"/>
    <w:rsid w:val="002C023D"/>
    <w:rsid w:val="002C39F6"/>
    <w:rsid w:val="002C4449"/>
    <w:rsid w:val="002C63D2"/>
    <w:rsid w:val="002D0F85"/>
    <w:rsid w:val="002D19C2"/>
    <w:rsid w:val="002D3E9D"/>
    <w:rsid w:val="002D40A6"/>
    <w:rsid w:val="002D481B"/>
    <w:rsid w:val="002D70B4"/>
    <w:rsid w:val="002E08CC"/>
    <w:rsid w:val="002E155F"/>
    <w:rsid w:val="002E6327"/>
    <w:rsid w:val="002E63DA"/>
    <w:rsid w:val="002E6F1E"/>
    <w:rsid w:val="002E76A2"/>
    <w:rsid w:val="002F0BF8"/>
    <w:rsid w:val="002F3706"/>
    <w:rsid w:val="002F5FA0"/>
    <w:rsid w:val="002F777D"/>
    <w:rsid w:val="002F7F75"/>
    <w:rsid w:val="00301B0C"/>
    <w:rsid w:val="00302320"/>
    <w:rsid w:val="00302601"/>
    <w:rsid w:val="0030315B"/>
    <w:rsid w:val="003059E0"/>
    <w:rsid w:val="00306706"/>
    <w:rsid w:val="003069AB"/>
    <w:rsid w:val="00306F30"/>
    <w:rsid w:val="00310C2B"/>
    <w:rsid w:val="00315AD7"/>
    <w:rsid w:val="00316F39"/>
    <w:rsid w:val="003200FE"/>
    <w:rsid w:val="0032062A"/>
    <w:rsid w:val="00322C14"/>
    <w:rsid w:val="00325AAD"/>
    <w:rsid w:val="0032727E"/>
    <w:rsid w:val="00330C51"/>
    <w:rsid w:val="00331636"/>
    <w:rsid w:val="00332A6A"/>
    <w:rsid w:val="00333776"/>
    <w:rsid w:val="00333ACF"/>
    <w:rsid w:val="0033602E"/>
    <w:rsid w:val="0033718B"/>
    <w:rsid w:val="003415CC"/>
    <w:rsid w:val="0034373C"/>
    <w:rsid w:val="00345156"/>
    <w:rsid w:val="0034753E"/>
    <w:rsid w:val="0034784B"/>
    <w:rsid w:val="003500D8"/>
    <w:rsid w:val="00350C7F"/>
    <w:rsid w:val="00352CD4"/>
    <w:rsid w:val="00353F53"/>
    <w:rsid w:val="003567FC"/>
    <w:rsid w:val="00356C85"/>
    <w:rsid w:val="0036060A"/>
    <w:rsid w:val="00361AE1"/>
    <w:rsid w:val="00362C59"/>
    <w:rsid w:val="00362E7B"/>
    <w:rsid w:val="00362FFC"/>
    <w:rsid w:val="003664DB"/>
    <w:rsid w:val="003672B2"/>
    <w:rsid w:val="00367E0B"/>
    <w:rsid w:val="00367FB2"/>
    <w:rsid w:val="00371E88"/>
    <w:rsid w:val="00372061"/>
    <w:rsid w:val="003721D8"/>
    <w:rsid w:val="00372806"/>
    <w:rsid w:val="00374C7B"/>
    <w:rsid w:val="00376B37"/>
    <w:rsid w:val="00376C51"/>
    <w:rsid w:val="00380938"/>
    <w:rsid w:val="00381040"/>
    <w:rsid w:val="00381FA1"/>
    <w:rsid w:val="00383F59"/>
    <w:rsid w:val="00385DE1"/>
    <w:rsid w:val="00385FC1"/>
    <w:rsid w:val="003864C6"/>
    <w:rsid w:val="00386D55"/>
    <w:rsid w:val="00390342"/>
    <w:rsid w:val="00390470"/>
    <w:rsid w:val="003913AE"/>
    <w:rsid w:val="00392D26"/>
    <w:rsid w:val="00395E85"/>
    <w:rsid w:val="00396C70"/>
    <w:rsid w:val="003A090F"/>
    <w:rsid w:val="003A1577"/>
    <w:rsid w:val="003A22CD"/>
    <w:rsid w:val="003A23CD"/>
    <w:rsid w:val="003A274C"/>
    <w:rsid w:val="003A4D92"/>
    <w:rsid w:val="003A55CA"/>
    <w:rsid w:val="003A620C"/>
    <w:rsid w:val="003A63BF"/>
    <w:rsid w:val="003A6F4F"/>
    <w:rsid w:val="003A6FBD"/>
    <w:rsid w:val="003A74EF"/>
    <w:rsid w:val="003A7DD3"/>
    <w:rsid w:val="003B0445"/>
    <w:rsid w:val="003B1137"/>
    <w:rsid w:val="003B11E0"/>
    <w:rsid w:val="003B243C"/>
    <w:rsid w:val="003B4586"/>
    <w:rsid w:val="003B6A1C"/>
    <w:rsid w:val="003B7B0D"/>
    <w:rsid w:val="003C0A80"/>
    <w:rsid w:val="003C2582"/>
    <w:rsid w:val="003C27E1"/>
    <w:rsid w:val="003C4825"/>
    <w:rsid w:val="003D0C95"/>
    <w:rsid w:val="003D192E"/>
    <w:rsid w:val="003D2F42"/>
    <w:rsid w:val="003D346E"/>
    <w:rsid w:val="003D3E89"/>
    <w:rsid w:val="003D3FB4"/>
    <w:rsid w:val="003D4110"/>
    <w:rsid w:val="003D6CDB"/>
    <w:rsid w:val="003D7231"/>
    <w:rsid w:val="003D7317"/>
    <w:rsid w:val="003E0AC2"/>
    <w:rsid w:val="003E5955"/>
    <w:rsid w:val="003E5B39"/>
    <w:rsid w:val="003E76A2"/>
    <w:rsid w:val="003F010E"/>
    <w:rsid w:val="003F1A55"/>
    <w:rsid w:val="003F1BFF"/>
    <w:rsid w:val="003F3D35"/>
    <w:rsid w:val="003F5313"/>
    <w:rsid w:val="00400706"/>
    <w:rsid w:val="004033C7"/>
    <w:rsid w:val="004043C6"/>
    <w:rsid w:val="00404987"/>
    <w:rsid w:val="00405301"/>
    <w:rsid w:val="004059D6"/>
    <w:rsid w:val="004069BE"/>
    <w:rsid w:val="00407770"/>
    <w:rsid w:val="004117AA"/>
    <w:rsid w:val="00411CE7"/>
    <w:rsid w:val="0041377E"/>
    <w:rsid w:val="00416274"/>
    <w:rsid w:val="00420C42"/>
    <w:rsid w:val="00420E14"/>
    <w:rsid w:val="00422A08"/>
    <w:rsid w:val="00423051"/>
    <w:rsid w:val="00423E67"/>
    <w:rsid w:val="004279FC"/>
    <w:rsid w:val="00433CF9"/>
    <w:rsid w:val="004343FA"/>
    <w:rsid w:val="00436192"/>
    <w:rsid w:val="00436896"/>
    <w:rsid w:val="0043737C"/>
    <w:rsid w:val="00442C1F"/>
    <w:rsid w:val="00444584"/>
    <w:rsid w:val="00444698"/>
    <w:rsid w:val="00444B03"/>
    <w:rsid w:val="00446985"/>
    <w:rsid w:val="00446CF9"/>
    <w:rsid w:val="00446FC4"/>
    <w:rsid w:val="004501DC"/>
    <w:rsid w:val="004505A6"/>
    <w:rsid w:val="00450B44"/>
    <w:rsid w:val="00450E4E"/>
    <w:rsid w:val="00452FF2"/>
    <w:rsid w:val="00453D14"/>
    <w:rsid w:val="00455093"/>
    <w:rsid w:val="00455771"/>
    <w:rsid w:val="00455932"/>
    <w:rsid w:val="00456D88"/>
    <w:rsid w:val="00457342"/>
    <w:rsid w:val="00461BE4"/>
    <w:rsid w:val="00462903"/>
    <w:rsid w:val="00464178"/>
    <w:rsid w:val="004645D2"/>
    <w:rsid w:val="004647F1"/>
    <w:rsid w:val="00464AE6"/>
    <w:rsid w:val="004666FE"/>
    <w:rsid w:val="00466E6E"/>
    <w:rsid w:val="004670E5"/>
    <w:rsid w:val="0046741B"/>
    <w:rsid w:val="00467C84"/>
    <w:rsid w:val="00470433"/>
    <w:rsid w:val="0047179A"/>
    <w:rsid w:val="004721D3"/>
    <w:rsid w:val="00477520"/>
    <w:rsid w:val="00480B75"/>
    <w:rsid w:val="004814DF"/>
    <w:rsid w:val="004814F8"/>
    <w:rsid w:val="0048324F"/>
    <w:rsid w:val="00483252"/>
    <w:rsid w:val="004865D7"/>
    <w:rsid w:val="004866AC"/>
    <w:rsid w:val="0049461C"/>
    <w:rsid w:val="00494D8C"/>
    <w:rsid w:val="00495F92"/>
    <w:rsid w:val="00496D5D"/>
    <w:rsid w:val="0049705D"/>
    <w:rsid w:val="0049743A"/>
    <w:rsid w:val="004A077F"/>
    <w:rsid w:val="004A10A4"/>
    <w:rsid w:val="004A1EFE"/>
    <w:rsid w:val="004A1F9B"/>
    <w:rsid w:val="004A28C4"/>
    <w:rsid w:val="004B0A2F"/>
    <w:rsid w:val="004B0B1B"/>
    <w:rsid w:val="004B1BF7"/>
    <w:rsid w:val="004B27D1"/>
    <w:rsid w:val="004B2A52"/>
    <w:rsid w:val="004B4666"/>
    <w:rsid w:val="004B6AB9"/>
    <w:rsid w:val="004B7C6C"/>
    <w:rsid w:val="004C1343"/>
    <w:rsid w:val="004C19CC"/>
    <w:rsid w:val="004C64E5"/>
    <w:rsid w:val="004C7FBA"/>
    <w:rsid w:val="004D2579"/>
    <w:rsid w:val="004D2835"/>
    <w:rsid w:val="004D549B"/>
    <w:rsid w:val="004D7CE4"/>
    <w:rsid w:val="004E0AFA"/>
    <w:rsid w:val="004E142B"/>
    <w:rsid w:val="004E1C55"/>
    <w:rsid w:val="004E4160"/>
    <w:rsid w:val="004E513E"/>
    <w:rsid w:val="004E6E8E"/>
    <w:rsid w:val="004E73C8"/>
    <w:rsid w:val="004F0019"/>
    <w:rsid w:val="004F3598"/>
    <w:rsid w:val="004F3CE2"/>
    <w:rsid w:val="004F4026"/>
    <w:rsid w:val="004F6B66"/>
    <w:rsid w:val="00500EF3"/>
    <w:rsid w:val="0050128F"/>
    <w:rsid w:val="00503A60"/>
    <w:rsid w:val="00507039"/>
    <w:rsid w:val="005078A9"/>
    <w:rsid w:val="0051046D"/>
    <w:rsid w:val="005108B7"/>
    <w:rsid w:val="005109B5"/>
    <w:rsid w:val="00513372"/>
    <w:rsid w:val="005135E9"/>
    <w:rsid w:val="00516248"/>
    <w:rsid w:val="00516526"/>
    <w:rsid w:val="00516C68"/>
    <w:rsid w:val="005175ED"/>
    <w:rsid w:val="00520252"/>
    <w:rsid w:val="00521904"/>
    <w:rsid w:val="00521BAC"/>
    <w:rsid w:val="00522DE5"/>
    <w:rsid w:val="00523F97"/>
    <w:rsid w:val="00524396"/>
    <w:rsid w:val="00531736"/>
    <w:rsid w:val="00532654"/>
    <w:rsid w:val="00533E5A"/>
    <w:rsid w:val="0054212E"/>
    <w:rsid w:val="00542188"/>
    <w:rsid w:val="00543CD1"/>
    <w:rsid w:val="00544266"/>
    <w:rsid w:val="005465F3"/>
    <w:rsid w:val="005467EF"/>
    <w:rsid w:val="00551CAF"/>
    <w:rsid w:val="00552013"/>
    <w:rsid w:val="00552772"/>
    <w:rsid w:val="00552A52"/>
    <w:rsid w:val="00552DB5"/>
    <w:rsid w:val="00554CDF"/>
    <w:rsid w:val="00554F62"/>
    <w:rsid w:val="00555E99"/>
    <w:rsid w:val="0055673C"/>
    <w:rsid w:val="00556E94"/>
    <w:rsid w:val="00557EE8"/>
    <w:rsid w:val="0056260C"/>
    <w:rsid w:val="00562EBD"/>
    <w:rsid w:val="00563E5B"/>
    <w:rsid w:val="0056569E"/>
    <w:rsid w:val="00565C20"/>
    <w:rsid w:val="00566EC5"/>
    <w:rsid w:val="00573178"/>
    <w:rsid w:val="00574562"/>
    <w:rsid w:val="00577B66"/>
    <w:rsid w:val="005808F2"/>
    <w:rsid w:val="00580D32"/>
    <w:rsid w:val="00580DB2"/>
    <w:rsid w:val="005826A1"/>
    <w:rsid w:val="005829AC"/>
    <w:rsid w:val="00583B93"/>
    <w:rsid w:val="00583D63"/>
    <w:rsid w:val="00583E36"/>
    <w:rsid w:val="00584185"/>
    <w:rsid w:val="005842D8"/>
    <w:rsid w:val="00590214"/>
    <w:rsid w:val="00594A32"/>
    <w:rsid w:val="00595EA3"/>
    <w:rsid w:val="00597149"/>
    <w:rsid w:val="005974D5"/>
    <w:rsid w:val="005A06D0"/>
    <w:rsid w:val="005A1D7A"/>
    <w:rsid w:val="005A1E69"/>
    <w:rsid w:val="005A21BB"/>
    <w:rsid w:val="005A32BA"/>
    <w:rsid w:val="005A45CC"/>
    <w:rsid w:val="005A5DAA"/>
    <w:rsid w:val="005A6303"/>
    <w:rsid w:val="005B0281"/>
    <w:rsid w:val="005B1C4B"/>
    <w:rsid w:val="005B681D"/>
    <w:rsid w:val="005B6E19"/>
    <w:rsid w:val="005B7E53"/>
    <w:rsid w:val="005C277B"/>
    <w:rsid w:val="005C2BC2"/>
    <w:rsid w:val="005C3559"/>
    <w:rsid w:val="005C36E6"/>
    <w:rsid w:val="005C6625"/>
    <w:rsid w:val="005C6E53"/>
    <w:rsid w:val="005C7607"/>
    <w:rsid w:val="005C7B03"/>
    <w:rsid w:val="005D28A0"/>
    <w:rsid w:val="005D434D"/>
    <w:rsid w:val="005D6333"/>
    <w:rsid w:val="005D66E9"/>
    <w:rsid w:val="005D6B51"/>
    <w:rsid w:val="005D6BDF"/>
    <w:rsid w:val="005D6DE8"/>
    <w:rsid w:val="005E19DC"/>
    <w:rsid w:val="005E2DF5"/>
    <w:rsid w:val="005E31AA"/>
    <w:rsid w:val="005E33C5"/>
    <w:rsid w:val="005E5B25"/>
    <w:rsid w:val="005E7D84"/>
    <w:rsid w:val="005F2249"/>
    <w:rsid w:val="005F2F24"/>
    <w:rsid w:val="005F3EF6"/>
    <w:rsid w:val="005F47D0"/>
    <w:rsid w:val="005F4E47"/>
    <w:rsid w:val="005F7C40"/>
    <w:rsid w:val="006008AA"/>
    <w:rsid w:val="00600E6B"/>
    <w:rsid w:val="006014F3"/>
    <w:rsid w:val="006028F3"/>
    <w:rsid w:val="006031D5"/>
    <w:rsid w:val="00604BE7"/>
    <w:rsid w:val="00606E0F"/>
    <w:rsid w:val="00610172"/>
    <w:rsid w:val="00611D84"/>
    <w:rsid w:val="00611ED4"/>
    <w:rsid w:val="00612E7F"/>
    <w:rsid w:val="00613B84"/>
    <w:rsid w:val="006149A5"/>
    <w:rsid w:val="0061561D"/>
    <w:rsid w:val="00621A9B"/>
    <w:rsid w:val="00631042"/>
    <w:rsid w:val="00631C2D"/>
    <w:rsid w:val="00631D3A"/>
    <w:rsid w:val="006407CA"/>
    <w:rsid w:val="006438FA"/>
    <w:rsid w:val="00643DFE"/>
    <w:rsid w:val="006505A8"/>
    <w:rsid w:val="00650E15"/>
    <w:rsid w:val="00651003"/>
    <w:rsid w:val="00651B5F"/>
    <w:rsid w:val="00654772"/>
    <w:rsid w:val="00657F40"/>
    <w:rsid w:val="00660106"/>
    <w:rsid w:val="0066416E"/>
    <w:rsid w:val="0066542B"/>
    <w:rsid w:val="00665479"/>
    <w:rsid w:val="00665C35"/>
    <w:rsid w:val="006661DB"/>
    <w:rsid w:val="00666382"/>
    <w:rsid w:val="00666DEC"/>
    <w:rsid w:val="00667995"/>
    <w:rsid w:val="00667EC1"/>
    <w:rsid w:val="00675F32"/>
    <w:rsid w:val="00681391"/>
    <w:rsid w:val="00683794"/>
    <w:rsid w:val="006843EC"/>
    <w:rsid w:val="0068468F"/>
    <w:rsid w:val="0068555F"/>
    <w:rsid w:val="00685595"/>
    <w:rsid w:val="006865E1"/>
    <w:rsid w:val="00687361"/>
    <w:rsid w:val="006876B8"/>
    <w:rsid w:val="00690F5C"/>
    <w:rsid w:val="00691ADB"/>
    <w:rsid w:val="00691D9B"/>
    <w:rsid w:val="00692B8C"/>
    <w:rsid w:val="00693B7B"/>
    <w:rsid w:val="00693C74"/>
    <w:rsid w:val="00694D4E"/>
    <w:rsid w:val="00695877"/>
    <w:rsid w:val="00695B2F"/>
    <w:rsid w:val="00696A14"/>
    <w:rsid w:val="00697E79"/>
    <w:rsid w:val="006A2203"/>
    <w:rsid w:val="006A25FE"/>
    <w:rsid w:val="006A2720"/>
    <w:rsid w:val="006A38C5"/>
    <w:rsid w:val="006A5733"/>
    <w:rsid w:val="006A5C5B"/>
    <w:rsid w:val="006B087C"/>
    <w:rsid w:val="006B0CAA"/>
    <w:rsid w:val="006B0E38"/>
    <w:rsid w:val="006B1514"/>
    <w:rsid w:val="006B2803"/>
    <w:rsid w:val="006B3D0B"/>
    <w:rsid w:val="006B52C2"/>
    <w:rsid w:val="006B7B5F"/>
    <w:rsid w:val="006C0887"/>
    <w:rsid w:val="006C4397"/>
    <w:rsid w:val="006C4B9E"/>
    <w:rsid w:val="006C554F"/>
    <w:rsid w:val="006C6A72"/>
    <w:rsid w:val="006C6D8F"/>
    <w:rsid w:val="006C7045"/>
    <w:rsid w:val="006D14ED"/>
    <w:rsid w:val="006D5E08"/>
    <w:rsid w:val="006D5E19"/>
    <w:rsid w:val="006D602A"/>
    <w:rsid w:val="006D7A16"/>
    <w:rsid w:val="006E20ED"/>
    <w:rsid w:val="006E36EC"/>
    <w:rsid w:val="006E6AD5"/>
    <w:rsid w:val="006E6E8D"/>
    <w:rsid w:val="006E7429"/>
    <w:rsid w:val="006E79BB"/>
    <w:rsid w:val="006E7D2C"/>
    <w:rsid w:val="006E7DCB"/>
    <w:rsid w:val="006F0F42"/>
    <w:rsid w:val="006F1E75"/>
    <w:rsid w:val="006F6561"/>
    <w:rsid w:val="00700309"/>
    <w:rsid w:val="00702CE7"/>
    <w:rsid w:val="00704091"/>
    <w:rsid w:val="00706128"/>
    <w:rsid w:val="00707F6F"/>
    <w:rsid w:val="00712227"/>
    <w:rsid w:val="0071367B"/>
    <w:rsid w:val="0071412E"/>
    <w:rsid w:val="0071491F"/>
    <w:rsid w:val="007157BF"/>
    <w:rsid w:val="00716574"/>
    <w:rsid w:val="00716ECF"/>
    <w:rsid w:val="00722781"/>
    <w:rsid w:val="00722BC7"/>
    <w:rsid w:val="007232AE"/>
    <w:rsid w:val="00724811"/>
    <w:rsid w:val="0072538A"/>
    <w:rsid w:val="007257FC"/>
    <w:rsid w:val="00725D05"/>
    <w:rsid w:val="00725FC7"/>
    <w:rsid w:val="00727297"/>
    <w:rsid w:val="00730951"/>
    <w:rsid w:val="00730C97"/>
    <w:rsid w:val="00735B27"/>
    <w:rsid w:val="00735F66"/>
    <w:rsid w:val="0074051F"/>
    <w:rsid w:val="007407E6"/>
    <w:rsid w:val="007408CA"/>
    <w:rsid w:val="007439D0"/>
    <w:rsid w:val="00744494"/>
    <w:rsid w:val="00744975"/>
    <w:rsid w:val="00744EFB"/>
    <w:rsid w:val="00747179"/>
    <w:rsid w:val="00747A79"/>
    <w:rsid w:val="00747EC4"/>
    <w:rsid w:val="00750BB8"/>
    <w:rsid w:val="00751FEB"/>
    <w:rsid w:val="007535CD"/>
    <w:rsid w:val="00754895"/>
    <w:rsid w:val="007550D0"/>
    <w:rsid w:val="00755196"/>
    <w:rsid w:val="00760345"/>
    <w:rsid w:val="00760363"/>
    <w:rsid w:val="00762D18"/>
    <w:rsid w:val="00764317"/>
    <w:rsid w:val="00765512"/>
    <w:rsid w:val="00767126"/>
    <w:rsid w:val="007726A4"/>
    <w:rsid w:val="0077578F"/>
    <w:rsid w:val="00776C25"/>
    <w:rsid w:val="00777732"/>
    <w:rsid w:val="007801BF"/>
    <w:rsid w:val="00780531"/>
    <w:rsid w:val="00780D58"/>
    <w:rsid w:val="00781F23"/>
    <w:rsid w:val="007831A4"/>
    <w:rsid w:val="00784D58"/>
    <w:rsid w:val="00784DC2"/>
    <w:rsid w:val="00785061"/>
    <w:rsid w:val="007853D4"/>
    <w:rsid w:val="00785F25"/>
    <w:rsid w:val="00786B64"/>
    <w:rsid w:val="00787605"/>
    <w:rsid w:val="00787762"/>
    <w:rsid w:val="00790326"/>
    <w:rsid w:val="0079084A"/>
    <w:rsid w:val="00791E70"/>
    <w:rsid w:val="00792467"/>
    <w:rsid w:val="00792C8E"/>
    <w:rsid w:val="0079309B"/>
    <w:rsid w:val="00795859"/>
    <w:rsid w:val="0079664F"/>
    <w:rsid w:val="00796BB8"/>
    <w:rsid w:val="0079770D"/>
    <w:rsid w:val="007A0BB8"/>
    <w:rsid w:val="007A1567"/>
    <w:rsid w:val="007A1D15"/>
    <w:rsid w:val="007A1E5A"/>
    <w:rsid w:val="007A3398"/>
    <w:rsid w:val="007A39EF"/>
    <w:rsid w:val="007A473B"/>
    <w:rsid w:val="007A4F57"/>
    <w:rsid w:val="007A5872"/>
    <w:rsid w:val="007A58D6"/>
    <w:rsid w:val="007A7144"/>
    <w:rsid w:val="007A74B6"/>
    <w:rsid w:val="007A75FA"/>
    <w:rsid w:val="007B1366"/>
    <w:rsid w:val="007B1D2E"/>
    <w:rsid w:val="007B3DB4"/>
    <w:rsid w:val="007B49ED"/>
    <w:rsid w:val="007B73D4"/>
    <w:rsid w:val="007B7EB2"/>
    <w:rsid w:val="007C0126"/>
    <w:rsid w:val="007C0A48"/>
    <w:rsid w:val="007C134E"/>
    <w:rsid w:val="007C189D"/>
    <w:rsid w:val="007C2FE3"/>
    <w:rsid w:val="007C4CBA"/>
    <w:rsid w:val="007C7E03"/>
    <w:rsid w:val="007D39D6"/>
    <w:rsid w:val="007D4C24"/>
    <w:rsid w:val="007D6B82"/>
    <w:rsid w:val="007D7776"/>
    <w:rsid w:val="007D7C23"/>
    <w:rsid w:val="007E592F"/>
    <w:rsid w:val="007E5DEA"/>
    <w:rsid w:val="007E6522"/>
    <w:rsid w:val="007E6F2E"/>
    <w:rsid w:val="007E7F12"/>
    <w:rsid w:val="007F0593"/>
    <w:rsid w:val="007F10EC"/>
    <w:rsid w:val="007F2716"/>
    <w:rsid w:val="007F2B45"/>
    <w:rsid w:val="007F3383"/>
    <w:rsid w:val="007F4267"/>
    <w:rsid w:val="007F5873"/>
    <w:rsid w:val="007F78C7"/>
    <w:rsid w:val="00800789"/>
    <w:rsid w:val="00801C85"/>
    <w:rsid w:val="0080297F"/>
    <w:rsid w:val="00802C06"/>
    <w:rsid w:val="00803E56"/>
    <w:rsid w:val="00806083"/>
    <w:rsid w:val="00807F04"/>
    <w:rsid w:val="008101C6"/>
    <w:rsid w:val="00811FE3"/>
    <w:rsid w:val="0081326E"/>
    <w:rsid w:val="008153B3"/>
    <w:rsid w:val="008166DC"/>
    <w:rsid w:val="00816922"/>
    <w:rsid w:val="00820B17"/>
    <w:rsid w:val="00824016"/>
    <w:rsid w:val="008246CE"/>
    <w:rsid w:val="00825BBC"/>
    <w:rsid w:val="008323CC"/>
    <w:rsid w:val="008361E8"/>
    <w:rsid w:val="00837857"/>
    <w:rsid w:val="00837B18"/>
    <w:rsid w:val="00842002"/>
    <w:rsid w:val="008421EE"/>
    <w:rsid w:val="008426D3"/>
    <w:rsid w:val="00845F3D"/>
    <w:rsid w:val="00846B94"/>
    <w:rsid w:val="0085153A"/>
    <w:rsid w:val="00852A1B"/>
    <w:rsid w:val="00854B50"/>
    <w:rsid w:val="00856281"/>
    <w:rsid w:val="00857313"/>
    <w:rsid w:val="0085763E"/>
    <w:rsid w:val="00861EFA"/>
    <w:rsid w:val="00862BDD"/>
    <w:rsid w:val="008631E1"/>
    <w:rsid w:val="0086414D"/>
    <w:rsid w:val="00865E86"/>
    <w:rsid w:val="00867301"/>
    <w:rsid w:val="00867E88"/>
    <w:rsid w:val="00871E97"/>
    <w:rsid w:val="00873885"/>
    <w:rsid w:val="008740C2"/>
    <w:rsid w:val="00874945"/>
    <w:rsid w:val="00875BFA"/>
    <w:rsid w:val="00876E4B"/>
    <w:rsid w:val="008807B7"/>
    <w:rsid w:val="00880EEF"/>
    <w:rsid w:val="00884086"/>
    <w:rsid w:val="00885883"/>
    <w:rsid w:val="00886272"/>
    <w:rsid w:val="00886655"/>
    <w:rsid w:val="00891021"/>
    <w:rsid w:val="00893204"/>
    <w:rsid w:val="00894486"/>
    <w:rsid w:val="00894E1B"/>
    <w:rsid w:val="00895FA3"/>
    <w:rsid w:val="0089622C"/>
    <w:rsid w:val="008A4000"/>
    <w:rsid w:val="008A42F1"/>
    <w:rsid w:val="008A4DB8"/>
    <w:rsid w:val="008A5F4D"/>
    <w:rsid w:val="008B161A"/>
    <w:rsid w:val="008B2575"/>
    <w:rsid w:val="008B2BFF"/>
    <w:rsid w:val="008B35B6"/>
    <w:rsid w:val="008B3E32"/>
    <w:rsid w:val="008B4029"/>
    <w:rsid w:val="008B4257"/>
    <w:rsid w:val="008B68D7"/>
    <w:rsid w:val="008C0A04"/>
    <w:rsid w:val="008C1C55"/>
    <w:rsid w:val="008C1D79"/>
    <w:rsid w:val="008C3B62"/>
    <w:rsid w:val="008C4AED"/>
    <w:rsid w:val="008C4FFD"/>
    <w:rsid w:val="008C5CB0"/>
    <w:rsid w:val="008C5F04"/>
    <w:rsid w:val="008C738C"/>
    <w:rsid w:val="008D329D"/>
    <w:rsid w:val="008D37C0"/>
    <w:rsid w:val="008D3C5E"/>
    <w:rsid w:val="008D48A0"/>
    <w:rsid w:val="008D4DF3"/>
    <w:rsid w:val="008D5199"/>
    <w:rsid w:val="008D58AC"/>
    <w:rsid w:val="008D6E0A"/>
    <w:rsid w:val="008E014E"/>
    <w:rsid w:val="008E0206"/>
    <w:rsid w:val="008E056D"/>
    <w:rsid w:val="008E157A"/>
    <w:rsid w:val="008E1A2F"/>
    <w:rsid w:val="008E2404"/>
    <w:rsid w:val="008E28A4"/>
    <w:rsid w:val="008E2BF8"/>
    <w:rsid w:val="008E4256"/>
    <w:rsid w:val="008E47A7"/>
    <w:rsid w:val="008E4A76"/>
    <w:rsid w:val="008E4D0E"/>
    <w:rsid w:val="008E503C"/>
    <w:rsid w:val="008E65EE"/>
    <w:rsid w:val="008F1384"/>
    <w:rsid w:val="008F15BA"/>
    <w:rsid w:val="008F2EF5"/>
    <w:rsid w:val="008F5E54"/>
    <w:rsid w:val="008F71B2"/>
    <w:rsid w:val="008F7B9F"/>
    <w:rsid w:val="00900076"/>
    <w:rsid w:val="0090116A"/>
    <w:rsid w:val="00901457"/>
    <w:rsid w:val="00902299"/>
    <w:rsid w:val="009024C6"/>
    <w:rsid w:val="009043E2"/>
    <w:rsid w:val="00904B53"/>
    <w:rsid w:val="00906C5B"/>
    <w:rsid w:val="009104CC"/>
    <w:rsid w:val="0091100B"/>
    <w:rsid w:val="00911F73"/>
    <w:rsid w:val="0091244F"/>
    <w:rsid w:val="009129A9"/>
    <w:rsid w:val="009133DA"/>
    <w:rsid w:val="00913501"/>
    <w:rsid w:val="00914F63"/>
    <w:rsid w:val="00916AF1"/>
    <w:rsid w:val="00917F29"/>
    <w:rsid w:val="00920C82"/>
    <w:rsid w:val="00920DAF"/>
    <w:rsid w:val="00921DEA"/>
    <w:rsid w:val="009248CE"/>
    <w:rsid w:val="00924C62"/>
    <w:rsid w:val="00925F85"/>
    <w:rsid w:val="00931C7B"/>
    <w:rsid w:val="00933FD8"/>
    <w:rsid w:val="00934B6B"/>
    <w:rsid w:val="009404B0"/>
    <w:rsid w:val="00942664"/>
    <w:rsid w:val="00943DB7"/>
    <w:rsid w:val="00947961"/>
    <w:rsid w:val="00956C1C"/>
    <w:rsid w:val="00957DE6"/>
    <w:rsid w:val="00960D64"/>
    <w:rsid w:val="0096108F"/>
    <w:rsid w:val="00962F58"/>
    <w:rsid w:val="00964B1B"/>
    <w:rsid w:val="00964F4B"/>
    <w:rsid w:val="0096614F"/>
    <w:rsid w:val="00966B7A"/>
    <w:rsid w:val="009670A8"/>
    <w:rsid w:val="00967FC1"/>
    <w:rsid w:val="00970EB6"/>
    <w:rsid w:val="009719A4"/>
    <w:rsid w:val="00972846"/>
    <w:rsid w:val="009739E2"/>
    <w:rsid w:val="00976331"/>
    <w:rsid w:val="00982710"/>
    <w:rsid w:val="00982BF7"/>
    <w:rsid w:val="00985247"/>
    <w:rsid w:val="00985778"/>
    <w:rsid w:val="00992D8A"/>
    <w:rsid w:val="009933FE"/>
    <w:rsid w:val="00994272"/>
    <w:rsid w:val="009956DC"/>
    <w:rsid w:val="00996655"/>
    <w:rsid w:val="00996804"/>
    <w:rsid w:val="009A1C2E"/>
    <w:rsid w:val="009A1FAF"/>
    <w:rsid w:val="009A3F44"/>
    <w:rsid w:val="009A4102"/>
    <w:rsid w:val="009A422F"/>
    <w:rsid w:val="009A5260"/>
    <w:rsid w:val="009A695C"/>
    <w:rsid w:val="009A6FF2"/>
    <w:rsid w:val="009B02D2"/>
    <w:rsid w:val="009B21D6"/>
    <w:rsid w:val="009B2B33"/>
    <w:rsid w:val="009B30ED"/>
    <w:rsid w:val="009B352C"/>
    <w:rsid w:val="009B3B0F"/>
    <w:rsid w:val="009B44EF"/>
    <w:rsid w:val="009B627A"/>
    <w:rsid w:val="009B6AEF"/>
    <w:rsid w:val="009B6E2E"/>
    <w:rsid w:val="009B735A"/>
    <w:rsid w:val="009B7E36"/>
    <w:rsid w:val="009C2C18"/>
    <w:rsid w:val="009C6293"/>
    <w:rsid w:val="009C67CF"/>
    <w:rsid w:val="009C7895"/>
    <w:rsid w:val="009D0EE1"/>
    <w:rsid w:val="009D1A0D"/>
    <w:rsid w:val="009D6353"/>
    <w:rsid w:val="009D6BEE"/>
    <w:rsid w:val="009E0A24"/>
    <w:rsid w:val="009E2360"/>
    <w:rsid w:val="009E245C"/>
    <w:rsid w:val="009E2714"/>
    <w:rsid w:val="009E2CDE"/>
    <w:rsid w:val="009E31F4"/>
    <w:rsid w:val="009E38A4"/>
    <w:rsid w:val="009E4070"/>
    <w:rsid w:val="009E4A4D"/>
    <w:rsid w:val="009E54C7"/>
    <w:rsid w:val="009E6B1B"/>
    <w:rsid w:val="009E75DA"/>
    <w:rsid w:val="009E7892"/>
    <w:rsid w:val="009E7E77"/>
    <w:rsid w:val="009F4CB5"/>
    <w:rsid w:val="009F545F"/>
    <w:rsid w:val="009F562C"/>
    <w:rsid w:val="009F7CE5"/>
    <w:rsid w:val="00A01B17"/>
    <w:rsid w:val="00A01BE9"/>
    <w:rsid w:val="00A03D8C"/>
    <w:rsid w:val="00A04C0F"/>
    <w:rsid w:val="00A06352"/>
    <w:rsid w:val="00A120D2"/>
    <w:rsid w:val="00A14AC8"/>
    <w:rsid w:val="00A206F4"/>
    <w:rsid w:val="00A22B83"/>
    <w:rsid w:val="00A23442"/>
    <w:rsid w:val="00A23FAF"/>
    <w:rsid w:val="00A2625C"/>
    <w:rsid w:val="00A308F2"/>
    <w:rsid w:val="00A30ED3"/>
    <w:rsid w:val="00A313D4"/>
    <w:rsid w:val="00A3144C"/>
    <w:rsid w:val="00A31DF3"/>
    <w:rsid w:val="00A35AEF"/>
    <w:rsid w:val="00A42D28"/>
    <w:rsid w:val="00A45530"/>
    <w:rsid w:val="00A47D9A"/>
    <w:rsid w:val="00A500F0"/>
    <w:rsid w:val="00A5175D"/>
    <w:rsid w:val="00A53E52"/>
    <w:rsid w:val="00A55E0D"/>
    <w:rsid w:val="00A57435"/>
    <w:rsid w:val="00A57CDF"/>
    <w:rsid w:val="00A57FD4"/>
    <w:rsid w:val="00A618D6"/>
    <w:rsid w:val="00A653C0"/>
    <w:rsid w:val="00A666F3"/>
    <w:rsid w:val="00A72EA9"/>
    <w:rsid w:val="00A747C5"/>
    <w:rsid w:val="00A75BC7"/>
    <w:rsid w:val="00A75D59"/>
    <w:rsid w:val="00A7609C"/>
    <w:rsid w:val="00A76FE3"/>
    <w:rsid w:val="00A814E2"/>
    <w:rsid w:val="00A818E2"/>
    <w:rsid w:val="00A81B7B"/>
    <w:rsid w:val="00A8300E"/>
    <w:rsid w:val="00A8435D"/>
    <w:rsid w:val="00A8513A"/>
    <w:rsid w:val="00A868B6"/>
    <w:rsid w:val="00A86D2A"/>
    <w:rsid w:val="00A903C5"/>
    <w:rsid w:val="00A9042E"/>
    <w:rsid w:val="00A96D2A"/>
    <w:rsid w:val="00AA01D9"/>
    <w:rsid w:val="00AA07E3"/>
    <w:rsid w:val="00AA1F28"/>
    <w:rsid w:val="00AA23FC"/>
    <w:rsid w:val="00AA5094"/>
    <w:rsid w:val="00AA54B1"/>
    <w:rsid w:val="00AA6608"/>
    <w:rsid w:val="00AB0782"/>
    <w:rsid w:val="00AB1268"/>
    <w:rsid w:val="00AB21B8"/>
    <w:rsid w:val="00AB3307"/>
    <w:rsid w:val="00AB52AE"/>
    <w:rsid w:val="00AB5706"/>
    <w:rsid w:val="00AB5E36"/>
    <w:rsid w:val="00AB5FEE"/>
    <w:rsid w:val="00AB69DC"/>
    <w:rsid w:val="00AB6BEF"/>
    <w:rsid w:val="00AC1947"/>
    <w:rsid w:val="00AC209F"/>
    <w:rsid w:val="00AC340D"/>
    <w:rsid w:val="00AC3C28"/>
    <w:rsid w:val="00AC5F95"/>
    <w:rsid w:val="00AD041F"/>
    <w:rsid w:val="00AD11AF"/>
    <w:rsid w:val="00AD2289"/>
    <w:rsid w:val="00AD3981"/>
    <w:rsid w:val="00AD5C99"/>
    <w:rsid w:val="00AD5D60"/>
    <w:rsid w:val="00AD6656"/>
    <w:rsid w:val="00AD71B2"/>
    <w:rsid w:val="00AE1E1E"/>
    <w:rsid w:val="00AE2CDF"/>
    <w:rsid w:val="00AE3E31"/>
    <w:rsid w:val="00AE40B2"/>
    <w:rsid w:val="00AE4277"/>
    <w:rsid w:val="00AE45E6"/>
    <w:rsid w:val="00AE5905"/>
    <w:rsid w:val="00AE627B"/>
    <w:rsid w:val="00AE7E94"/>
    <w:rsid w:val="00AE7FAF"/>
    <w:rsid w:val="00AF3450"/>
    <w:rsid w:val="00AF3E1E"/>
    <w:rsid w:val="00AF68C8"/>
    <w:rsid w:val="00AF7C09"/>
    <w:rsid w:val="00B00C46"/>
    <w:rsid w:val="00B02BB3"/>
    <w:rsid w:val="00B044BF"/>
    <w:rsid w:val="00B04C57"/>
    <w:rsid w:val="00B04D7D"/>
    <w:rsid w:val="00B0543F"/>
    <w:rsid w:val="00B0671D"/>
    <w:rsid w:val="00B06A76"/>
    <w:rsid w:val="00B06BE5"/>
    <w:rsid w:val="00B10921"/>
    <w:rsid w:val="00B11A46"/>
    <w:rsid w:val="00B15260"/>
    <w:rsid w:val="00B20F30"/>
    <w:rsid w:val="00B23043"/>
    <w:rsid w:val="00B24876"/>
    <w:rsid w:val="00B30C72"/>
    <w:rsid w:val="00B331AE"/>
    <w:rsid w:val="00B332CE"/>
    <w:rsid w:val="00B3367D"/>
    <w:rsid w:val="00B33DBA"/>
    <w:rsid w:val="00B34E35"/>
    <w:rsid w:val="00B35A2E"/>
    <w:rsid w:val="00B36CF2"/>
    <w:rsid w:val="00B42DD8"/>
    <w:rsid w:val="00B43622"/>
    <w:rsid w:val="00B439C7"/>
    <w:rsid w:val="00B45B27"/>
    <w:rsid w:val="00B45DB8"/>
    <w:rsid w:val="00B475AB"/>
    <w:rsid w:val="00B475D0"/>
    <w:rsid w:val="00B4788E"/>
    <w:rsid w:val="00B47EF0"/>
    <w:rsid w:val="00B52631"/>
    <w:rsid w:val="00B55385"/>
    <w:rsid w:val="00B55664"/>
    <w:rsid w:val="00B55A83"/>
    <w:rsid w:val="00B55B38"/>
    <w:rsid w:val="00B57A05"/>
    <w:rsid w:val="00B57D9A"/>
    <w:rsid w:val="00B61712"/>
    <w:rsid w:val="00B62793"/>
    <w:rsid w:val="00B62C7E"/>
    <w:rsid w:val="00B63D0F"/>
    <w:rsid w:val="00B644AE"/>
    <w:rsid w:val="00B645D9"/>
    <w:rsid w:val="00B64A3D"/>
    <w:rsid w:val="00B65307"/>
    <w:rsid w:val="00B661C7"/>
    <w:rsid w:val="00B67CA4"/>
    <w:rsid w:val="00B67DFC"/>
    <w:rsid w:val="00B702A2"/>
    <w:rsid w:val="00B7054F"/>
    <w:rsid w:val="00B7083F"/>
    <w:rsid w:val="00B70E41"/>
    <w:rsid w:val="00B71F34"/>
    <w:rsid w:val="00B72042"/>
    <w:rsid w:val="00B72682"/>
    <w:rsid w:val="00B73ACD"/>
    <w:rsid w:val="00B74A35"/>
    <w:rsid w:val="00B77A4D"/>
    <w:rsid w:val="00B8052E"/>
    <w:rsid w:val="00B81A28"/>
    <w:rsid w:val="00B83BB3"/>
    <w:rsid w:val="00B84D15"/>
    <w:rsid w:val="00B86A87"/>
    <w:rsid w:val="00B876F7"/>
    <w:rsid w:val="00B90468"/>
    <w:rsid w:val="00B91D30"/>
    <w:rsid w:val="00B9358E"/>
    <w:rsid w:val="00B96741"/>
    <w:rsid w:val="00B97114"/>
    <w:rsid w:val="00B9766F"/>
    <w:rsid w:val="00BA011A"/>
    <w:rsid w:val="00BA0A3F"/>
    <w:rsid w:val="00BA1FEC"/>
    <w:rsid w:val="00BA219C"/>
    <w:rsid w:val="00BA226B"/>
    <w:rsid w:val="00BA2B20"/>
    <w:rsid w:val="00BA3801"/>
    <w:rsid w:val="00BA4D4A"/>
    <w:rsid w:val="00BA54B0"/>
    <w:rsid w:val="00BA763F"/>
    <w:rsid w:val="00BB12B1"/>
    <w:rsid w:val="00BB26E0"/>
    <w:rsid w:val="00BB38A8"/>
    <w:rsid w:val="00BB5E18"/>
    <w:rsid w:val="00BB653E"/>
    <w:rsid w:val="00BB7B8C"/>
    <w:rsid w:val="00BB7BDE"/>
    <w:rsid w:val="00BC021D"/>
    <w:rsid w:val="00BC0373"/>
    <w:rsid w:val="00BC0679"/>
    <w:rsid w:val="00BC1E1E"/>
    <w:rsid w:val="00BC331A"/>
    <w:rsid w:val="00BC3910"/>
    <w:rsid w:val="00BC3D50"/>
    <w:rsid w:val="00BC5B24"/>
    <w:rsid w:val="00BD1102"/>
    <w:rsid w:val="00BD371B"/>
    <w:rsid w:val="00BD3D18"/>
    <w:rsid w:val="00BD4B9F"/>
    <w:rsid w:val="00BD4CD1"/>
    <w:rsid w:val="00BD4FFF"/>
    <w:rsid w:val="00BD5A8B"/>
    <w:rsid w:val="00BD61E2"/>
    <w:rsid w:val="00BE0541"/>
    <w:rsid w:val="00BE194A"/>
    <w:rsid w:val="00BE3D2F"/>
    <w:rsid w:val="00BE41C5"/>
    <w:rsid w:val="00BE591B"/>
    <w:rsid w:val="00BE5BF2"/>
    <w:rsid w:val="00BE63DC"/>
    <w:rsid w:val="00BF351F"/>
    <w:rsid w:val="00BF3818"/>
    <w:rsid w:val="00BF54AD"/>
    <w:rsid w:val="00BF6F5A"/>
    <w:rsid w:val="00BF759E"/>
    <w:rsid w:val="00C02660"/>
    <w:rsid w:val="00C04D2D"/>
    <w:rsid w:val="00C0575E"/>
    <w:rsid w:val="00C0661D"/>
    <w:rsid w:val="00C069CB"/>
    <w:rsid w:val="00C06E7F"/>
    <w:rsid w:val="00C07CDF"/>
    <w:rsid w:val="00C107D5"/>
    <w:rsid w:val="00C1139C"/>
    <w:rsid w:val="00C14A95"/>
    <w:rsid w:val="00C15850"/>
    <w:rsid w:val="00C1718E"/>
    <w:rsid w:val="00C212B4"/>
    <w:rsid w:val="00C2320F"/>
    <w:rsid w:val="00C23F70"/>
    <w:rsid w:val="00C24273"/>
    <w:rsid w:val="00C273CC"/>
    <w:rsid w:val="00C32608"/>
    <w:rsid w:val="00C32755"/>
    <w:rsid w:val="00C32DC5"/>
    <w:rsid w:val="00C33E4F"/>
    <w:rsid w:val="00C33FE4"/>
    <w:rsid w:val="00C34317"/>
    <w:rsid w:val="00C367D0"/>
    <w:rsid w:val="00C36F2C"/>
    <w:rsid w:val="00C37816"/>
    <w:rsid w:val="00C405D6"/>
    <w:rsid w:val="00C40739"/>
    <w:rsid w:val="00C44DBA"/>
    <w:rsid w:val="00C45F96"/>
    <w:rsid w:val="00C468BD"/>
    <w:rsid w:val="00C50651"/>
    <w:rsid w:val="00C50A24"/>
    <w:rsid w:val="00C50AC6"/>
    <w:rsid w:val="00C52B5C"/>
    <w:rsid w:val="00C53811"/>
    <w:rsid w:val="00C5398D"/>
    <w:rsid w:val="00C551AA"/>
    <w:rsid w:val="00C566C0"/>
    <w:rsid w:val="00C56B02"/>
    <w:rsid w:val="00C579AF"/>
    <w:rsid w:val="00C6009F"/>
    <w:rsid w:val="00C604BC"/>
    <w:rsid w:val="00C60979"/>
    <w:rsid w:val="00C60CD3"/>
    <w:rsid w:val="00C62EC2"/>
    <w:rsid w:val="00C64422"/>
    <w:rsid w:val="00C64D21"/>
    <w:rsid w:val="00C65AC2"/>
    <w:rsid w:val="00C668CC"/>
    <w:rsid w:val="00C70E04"/>
    <w:rsid w:val="00C7352E"/>
    <w:rsid w:val="00C75C22"/>
    <w:rsid w:val="00C75FF1"/>
    <w:rsid w:val="00C76831"/>
    <w:rsid w:val="00C804C2"/>
    <w:rsid w:val="00C80A30"/>
    <w:rsid w:val="00C81D30"/>
    <w:rsid w:val="00C8548D"/>
    <w:rsid w:val="00C86AB8"/>
    <w:rsid w:val="00C86E03"/>
    <w:rsid w:val="00C86ECA"/>
    <w:rsid w:val="00C87EC5"/>
    <w:rsid w:val="00C907CA"/>
    <w:rsid w:val="00C908AB"/>
    <w:rsid w:val="00C90923"/>
    <w:rsid w:val="00C9278D"/>
    <w:rsid w:val="00C927CD"/>
    <w:rsid w:val="00C92D0C"/>
    <w:rsid w:val="00C93734"/>
    <w:rsid w:val="00C941AC"/>
    <w:rsid w:val="00C96C1C"/>
    <w:rsid w:val="00C97A3A"/>
    <w:rsid w:val="00C97C9E"/>
    <w:rsid w:val="00CA2D20"/>
    <w:rsid w:val="00CA2E4F"/>
    <w:rsid w:val="00CA3FA5"/>
    <w:rsid w:val="00CA451F"/>
    <w:rsid w:val="00CA47DB"/>
    <w:rsid w:val="00CA627D"/>
    <w:rsid w:val="00CB0F16"/>
    <w:rsid w:val="00CB13D1"/>
    <w:rsid w:val="00CB1AB1"/>
    <w:rsid w:val="00CB28FC"/>
    <w:rsid w:val="00CB2E6F"/>
    <w:rsid w:val="00CB42F2"/>
    <w:rsid w:val="00CB4765"/>
    <w:rsid w:val="00CB679F"/>
    <w:rsid w:val="00CB7FE7"/>
    <w:rsid w:val="00CC0A74"/>
    <w:rsid w:val="00CC231A"/>
    <w:rsid w:val="00CC2DF4"/>
    <w:rsid w:val="00CC5A75"/>
    <w:rsid w:val="00CC6147"/>
    <w:rsid w:val="00CC6F15"/>
    <w:rsid w:val="00CC7B39"/>
    <w:rsid w:val="00CD0654"/>
    <w:rsid w:val="00CD06B3"/>
    <w:rsid w:val="00CD17BA"/>
    <w:rsid w:val="00CD1944"/>
    <w:rsid w:val="00CD4B13"/>
    <w:rsid w:val="00CE08FA"/>
    <w:rsid w:val="00CE120D"/>
    <w:rsid w:val="00CE4B9B"/>
    <w:rsid w:val="00CE53C2"/>
    <w:rsid w:val="00CE7E4D"/>
    <w:rsid w:val="00CF0E03"/>
    <w:rsid w:val="00CF2327"/>
    <w:rsid w:val="00CF4D23"/>
    <w:rsid w:val="00CF69B5"/>
    <w:rsid w:val="00D0006E"/>
    <w:rsid w:val="00D0059C"/>
    <w:rsid w:val="00D02B22"/>
    <w:rsid w:val="00D02DF4"/>
    <w:rsid w:val="00D04F60"/>
    <w:rsid w:val="00D14414"/>
    <w:rsid w:val="00D15DA2"/>
    <w:rsid w:val="00D16262"/>
    <w:rsid w:val="00D16F35"/>
    <w:rsid w:val="00D209D9"/>
    <w:rsid w:val="00D2108D"/>
    <w:rsid w:val="00D22127"/>
    <w:rsid w:val="00D243DD"/>
    <w:rsid w:val="00D2516E"/>
    <w:rsid w:val="00D25408"/>
    <w:rsid w:val="00D254FB"/>
    <w:rsid w:val="00D26A4B"/>
    <w:rsid w:val="00D26D10"/>
    <w:rsid w:val="00D277B5"/>
    <w:rsid w:val="00D3468D"/>
    <w:rsid w:val="00D34792"/>
    <w:rsid w:val="00D349A9"/>
    <w:rsid w:val="00D361F1"/>
    <w:rsid w:val="00D36539"/>
    <w:rsid w:val="00D424BC"/>
    <w:rsid w:val="00D43E92"/>
    <w:rsid w:val="00D454C8"/>
    <w:rsid w:val="00D456BB"/>
    <w:rsid w:val="00D4611D"/>
    <w:rsid w:val="00D4622E"/>
    <w:rsid w:val="00D502E4"/>
    <w:rsid w:val="00D5063D"/>
    <w:rsid w:val="00D509B9"/>
    <w:rsid w:val="00D509FF"/>
    <w:rsid w:val="00D50B49"/>
    <w:rsid w:val="00D51A94"/>
    <w:rsid w:val="00D60264"/>
    <w:rsid w:val="00D60B98"/>
    <w:rsid w:val="00D61587"/>
    <w:rsid w:val="00D6196C"/>
    <w:rsid w:val="00D6215D"/>
    <w:rsid w:val="00D64067"/>
    <w:rsid w:val="00D66130"/>
    <w:rsid w:val="00D67854"/>
    <w:rsid w:val="00D7272B"/>
    <w:rsid w:val="00D746B9"/>
    <w:rsid w:val="00D749B6"/>
    <w:rsid w:val="00D751FE"/>
    <w:rsid w:val="00D75B49"/>
    <w:rsid w:val="00D75B9B"/>
    <w:rsid w:val="00D8135B"/>
    <w:rsid w:val="00D81834"/>
    <w:rsid w:val="00D82A5B"/>
    <w:rsid w:val="00D82B16"/>
    <w:rsid w:val="00D8350F"/>
    <w:rsid w:val="00D837A6"/>
    <w:rsid w:val="00D8380C"/>
    <w:rsid w:val="00D839D4"/>
    <w:rsid w:val="00D84FC5"/>
    <w:rsid w:val="00D877DC"/>
    <w:rsid w:val="00D90219"/>
    <w:rsid w:val="00D91E65"/>
    <w:rsid w:val="00D93EB5"/>
    <w:rsid w:val="00D93F0E"/>
    <w:rsid w:val="00D95E1C"/>
    <w:rsid w:val="00D972E0"/>
    <w:rsid w:val="00DA00BB"/>
    <w:rsid w:val="00DA122F"/>
    <w:rsid w:val="00DA3B56"/>
    <w:rsid w:val="00DA559E"/>
    <w:rsid w:val="00DA73CE"/>
    <w:rsid w:val="00DA750D"/>
    <w:rsid w:val="00DB01FB"/>
    <w:rsid w:val="00DB07CC"/>
    <w:rsid w:val="00DB0D22"/>
    <w:rsid w:val="00DB1267"/>
    <w:rsid w:val="00DB14C1"/>
    <w:rsid w:val="00DB256E"/>
    <w:rsid w:val="00DB29C9"/>
    <w:rsid w:val="00DB2CFA"/>
    <w:rsid w:val="00DB5B58"/>
    <w:rsid w:val="00DC078E"/>
    <w:rsid w:val="00DC195A"/>
    <w:rsid w:val="00DC2072"/>
    <w:rsid w:val="00DD05FF"/>
    <w:rsid w:val="00DD2682"/>
    <w:rsid w:val="00DD2692"/>
    <w:rsid w:val="00DD28C1"/>
    <w:rsid w:val="00DD5E86"/>
    <w:rsid w:val="00DD689F"/>
    <w:rsid w:val="00DD7A50"/>
    <w:rsid w:val="00DD7C92"/>
    <w:rsid w:val="00DE094D"/>
    <w:rsid w:val="00DE0969"/>
    <w:rsid w:val="00DE1466"/>
    <w:rsid w:val="00DE1E5D"/>
    <w:rsid w:val="00DE2680"/>
    <w:rsid w:val="00DE2875"/>
    <w:rsid w:val="00DE4064"/>
    <w:rsid w:val="00DE49E2"/>
    <w:rsid w:val="00DE6217"/>
    <w:rsid w:val="00DE7DA1"/>
    <w:rsid w:val="00DF0A78"/>
    <w:rsid w:val="00DF3C5B"/>
    <w:rsid w:val="00DF5C63"/>
    <w:rsid w:val="00DF6A44"/>
    <w:rsid w:val="00DF6D1A"/>
    <w:rsid w:val="00DF79CE"/>
    <w:rsid w:val="00E00484"/>
    <w:rsid w:val="00E008E8"/>
    <w:rsid w:val="00E0186B"/>
    <w:rsid w:val="00E02B28"/>
    <w:rsid w:val="00E0359A"/>
    <w:rsid w:val="00E03ADF"/>
    <w:rsid w:val="00E03DB3"/>
    <w:rsid w:val="00E0496B"/>
    <w:rsid w:val="00E05960"/>
    <w:rsid w:val="00E05C78"/>
    <w:rsid w:val="00E07372"/>
    <w:rsid w:val="00E07393"/>
    <w:rsid w:val="00E100FB"/>
    <w:rsid w:val="00E106D5"/>
    <w:rsid w:val="00E10D86"/>
    <w:rsid w:val="00E11718"/>
    <w:rsid w:val="00E11B61"/>
    <w:rsid w:val="00E11C5C"/>
    <w:rsid w:val="00E14609"/>
    <w:rsid w:val="00E1514B"/>
    <w:rsid w:val="00E15CA6"/>
    <w:rsid w:val="00E17306"/>
    <w:rsid w:val="00E173A1"/>
    <w:rsid w:val="00E17C0E"/>
    <w:rsid w:val="00E201B3"/>
    <w:rsid w:val="00E20230"/>
    <w:rsid w:val="00E2132A"/>
    <w:rsid w:val="00E21460"/>
    <w:rsid w:val="00E221AE"/>
    <w:rsid w:val="00E22407"/>
    <w:rsid w:val="00E24177"/>
    <w:rsid w:val="00E24519"/>
    <w:rsid w:val="00E27B33"/>
    <w:rsid w:val="00E32057"/>
    <w:rsid w:val="00E3251F"/>
    <w:rsid w:val="00E3391F"/>
    <w:rsid w:val="00E34357"/>
    <w:rsid w:val="00E3618D"/>
    <w:rsid w:val="00E36237"/>
    <w:rsid w:val="00E36D2C"/>
    <w:rsid w:val="00E37708"/>
    <w:rsid w:val="00E4292C"/>
    <w:rsid w:val="00E42F42"/>
    <w:rsid w:val="00E434CC"/>
    <w:rsid w:val="00E43D44"/>
    <w:rsid w:val="00E455B4"/>
    <w:rsid w:val="00E4586B"/>
    <w:rsid w:val="00E4611F"/>
    <w:rsid w:val="00E47156"/>
    <w:rsid w:val="00E4757D"/>
    <w:rsid w:val="00E501FB"/>
    <w:rsid w:val="00E50750"/>
    <w:rsid w:val="00E50C85"/>
    <w:rsid w:val="00E51056"/>
    <w:rsid w:val="00E5155A"/>
    <w:rsid w:val="00E52191"/>
    <w:rsid w:val="00E53B2D"/>
    <w:rsid w:val="00E54424"/>
    <w:rsid w:val="00E54A70"/>
    <w:rsid w:val="00E553E7"/>
    <w:rsid w:val="00E55793"/>
    <w:rsid w:val="00E558C6"/>
    <w:rsid w:val="00E56601"/>
    <w:rsid w:val="00E5703B"/>
    <w:rsid w:val="00E5772C"/>
    <w:rsid w:val="00E577A3"/>
    <w:rsid w:val="00E57953"/>
    <w:rsid w:val="00E6004A"/>
    <w:rsid w:val="00E61017"/>
    <w:rsid w:val="00E617D8"/>
    <w:rsid w:val="00E62701"/>
    <w:rsid w:val="00E6383D"/>
    <w:rsid w:val="00E65AED"/>
    <w:rsid w:val="00E6724D"/>
    <w:rsid w:val="00E67A53"/>
    <w:rsid w:val="00E71042"/>
    <w:rsid w:val="00E7126F"/>
    <w:rsid w:val="00E726F6"/>
    <w:rsid w:val="00E729A0"/>
    <w:rsid w:val="00E735F1"/>
    <w:rsid w:val="00E737EF"/>
    <w:rsid w:val="00E76C60"/>
    <w:rsid w:val="00E774E4"/>
    <w:rsid w:val="00E80100"/>
    <w:rsid w:val="00E80406"/>
    <w:rsid w:val="00E80AA5"/>
    <w:rsid w:val="00E81059"/>
    <w:rsid w:val="00E820F7"/>
    <w:rsid w:val="00E84C2A"/>
    <w:rsid w:val="00E84FD7"/>
    <w:rsid w:val="00E86F23"/>
    <w:rsid w:val="00E8789B"/>
    <w:rsid w:val="00E9197F"/>
    <w:rsid w:val="00E92C94"/>
    <w:rsid w:val="00E9376A"/>
    <w:rsid w:val="00E939E2"/>
    <w:rsid w:val="00E948F6"/>
    <w:rsid w:val="00E9524C"/>
    <w:rsid w:val="00E96009"/>
    <w:rsid w:val="00E9679B"/>
    <w:rsid w:val="00E96D05"/>
    <w:rsid w:val="00E97383"/>
    <w:rsid w:val="00E97474"/>
    <w:rsid w:val="00EA06E2"/>
    <w:rsid w:val="00EA20E7"/>
    <w:rsid w:val="00EA399C"/>
    <w:rsid w:val="00EA4C27"/>
    <w:rsid w:val="00EA7A75"/>
    <w:rsid w:val="00EB2C19"/>
    <w:rsid w:val="00EB2E0B"/>
    <w:rsid w:val="00EB37B2"/>
    <w:rsid w:val="00EB3CF3"/>
    <w:rsid w:val="00EB452C"/>
    <w:rsid w:val="00EB47D9"/>
    <w:rsid w:val="00EB4FD4"/>
    <w:rsid w:val="00EB7858"/>
    <w:rsid w:val="00EC0A5A"/>
    <w:rsid w:val="00EC3A26"/>
    <w:rsid w:val="00EC4A92"/>
    <w:rsid w:val="00EC5C39"/>
    <w:rsid w:val="00EC5DD0"/>
    <w:rsid w:val="00EC615E"/>
    <w:rsid w:val="00ED023B"/>
    <w:rsid w:val="00ED08B0"/>
    <w:rsid w:val="00ED0ABD"/>
    <w:rsid w:val="00ED1E74"/>
    <w:rsid w:val="00ED1EE7"/>
    <w:rsid w:val="00ED2DFC"/>
    <w:rsid w:val="00ED2F48"/>
    <w:rsid w:val="00ED4B49"/>
    <w:rsid w:val="00EE09E1"/>
    <w:rsid w:val="00EE14FB"/>
    <w:rsid w:val="00EE2333"/>
    <w:rsid w:val="00EE2583"/>
    <w:rsid w:val="00EE428E"/>
    <w:rsid w:val="00EE5773"/>
    <w:rsid w:val="00EE691A"/>
    <w:rsid w:val="00EF062F"/>
    <w:rsid w:val="00EF0DA8"/>
    <w:rsid w:val="00EF217E"/>
    <w:rsid w:val="00EF2C3B"/>
    <w:rsid w:val="00EF3B3F"/>
    <w:rsid w:val="00EF43C4"/>
    <w:rsid w:val="00EF4776"/>
    <w:rsid w:val="00EF60FB"/>
    <w:rsid w:val="00EF6741"/>
    <w:rsid w:val="00F011DD"/>
    <w:rsid w:val="00F019AB"/>
    <w:rsid w:val="00F019CF"/>
    <w:rsid w:val="00F03498"/>
    <w:rsid w:val="00F0372F"/>
    <w:rsid w:val="00F03F30"/>
    <w:rsid w:val="00F04857"/>
    <w:rsid w:val="00F06193"/>
    <w:rsid w:val="00F10840"/>
    <w:rsid w:val="00F10D65"/>
    <w:rsid w:val="00F10E2A"/>
    <w:rsid w:val="00F11879"/>
    <w:rsid w:val="00F1224A"/>
    <w:rsid w:val="00F13AC3"/>
    <w:rsid w:val="00F13F12"/>
    <w:rsid w:val="00F14708"/>
    <w:rsid w:val="00F14E03"/>
    <w:rsid w:val="00F1519C"/>
    <w:rsid w:val="00F17566"/>
    <w:rsid w:val="00F17883"/>
    <w:rsid w:val="00F20ED4"/>
    <w:rsid w:val="00F2308E"/>
    <w:rsid w:val="00F23A05"/>
    <w:rsid w:val="00F2633D"/>
    <w:rsid w:val="00F32945"/>
    <w:rsid w:val="00F32D6F"/>
    <w:rsid w:val="00F337F2"/>
    <w:rsid w:val="00F36737"/>
    <w:rsid w:val="00F37FBB"/>
    <w:rsid w:val="00F41C49"/>
    <w:rsid w:val="00F41E23"/>
    <w:rsid w:val="00F428C6"/>
    <w:rsid w:val="00F4741F"/>
    <w:rsid w:val="00F508CF"/>
    <w:rsid w:val="00F512F6"/>
    <w:rsid w:val="00F5420D"/>
    <w:rsid w:val="00F55444"/>
    <w:rsid w:val="00F55A6A"/>
    <w:rsid w:val="00F55B8C"/>
    <w:rsid w:val="00F560F0"/>
    <w:rsid w:val="00F57301"/>
    <w:rsid w:val="00F602D9"/>
    <w:rsid w:val="00F618E4"/>
    <w:rsid w:val="00F6360E"/>
    <w:rsid w:val="00F637BE"/>
    <w:rsid w:val="00F668F7"/>
    <w:rsid w:val="00F6785A"/>
    <w:rsid w:val="00F73177"/>
    <w:rsid w:val="00F74C61"/>
    <w:rsid w:val="00F75376"/>
    <w:rsid w:val="00F76046"/>
    <w:rsid w:val="00F81B9A"/>
    <w:rsid w:val="00F81DBF"/>
    <w:rsid w:val="00F81EDD"/>
    <w:rsid w:val="00F83CAB"/>
    <w:rsid w:val="00F844BF"/>
    <w:rsid w:val="00F85069"/>
    <w:rsid w:val="00F86E3B"/>
    <w:rsid w:val="00F87399"/>
    <w:rsid w:val="00F902B0"/>
    <w:rsid w:val="00F906EA"/>
    <w:rsid w:val="00F91C96"/>
    <w:rsid w:val="00F92238"/>
    <w:rsid w:val="00F9227E"/>
    <w:rsid w:val="00F95378"/>
    <w:rsid w:val="00F9606E"/>
    <w:rsid w:val="00F961D6"/>
    <w:rsid w:val="00F978AA"/>
    <w:rsid w:val="00FA2548"/>
    <w:rsid w:val="00FA2C5A"/>
    <w:rsid w:val="00FA3A27"/>
    <w:rsid w:val="00FA41BD"/>
    <w:rsid w:val="00FA5729"/>
    <w:rsid w:val="00FA65F0"/>
    <w:rsid w:val="00FA744B"/>
    <w:rsid w:val="00FA785C"/>
    <w:rsid w:val="00FB3B83"/>
    <w:rsid w:val="00FB4FD0"/>
    <w:rsid w:val="00FB5073"/>
    <w:rsid w:val="00FB6C3A"/>
    <w:rsid w:val="00FB7E01"/>
    <w:rsid w:val="00FC0AFA"/>
    <w:rsid w:val="00FC384E"/>
    <w:rsid w:val="00FC4895"/>
    <w:rsid w:val="00FC5604"/>
    <w:rsid w:val="00FC6334"/>
    <w:rsid w:val="00FC65DC"/>
    <w:rsid w:val="00FC76B7"/>
    <w:rsid w:val="00FD1C4C"/>
    <w:rsid w:val="00FD3180"/>
    <w:rsid w:val="00FD34EB"/>
    <w:rsid w:val="00FD417A"/>
    <w:rsid w:val="00FD418E"/>
    <w:rsid w:val="00FD548C"/>
    <w:rsid w:val="00FD6940"/>
    <w:rsid w:val="00FE44B1"/>
    <w:rsid w:val="00FE5725"/>
    <w:rsid w:val="00FE69A9"/>
    <w:rsid w:val="00FE7D58"/>
    <w:rsid w:val="00FF0B27"/>
    <w:rsid w:val="00FF1B71"/>
    <w:rsid w:val="00FF2F35"/>
    <w:rsid w:val="00FF4D7F"/>
    <w:rsid w:val="00FF67EF"/>
    <w:rsid w:val="00FF6E1B"/>
    <w:rsid w:val="00FF7490"/>
    <w:rsid w:val="00FF75DD"/>
    <w:rsid w:val="011650A5"/>
    <w:rsid w:val="01383900"/>
    <w:rsid w:val="014829B9"/>
    <w:rsid w:val="0180792C"/>
    <w:rsid w:val="0183453D"/>
    <w:rsid w:val="01893391"/>
    <w:rsid w:val="01D90ED7"/>
    <w:rsid w:val="01FA65AD"/>
    <w:rsid w:val="021C6183"/>
    <w:rsid w:val="02292983"/>
    <w:rsid w:val="02780A9B"/>
    <w:rsid w:val="028832B4"/>
    <w:rsid w:val="02931780"/>
    <w:rsid w:val="02944733"/>
    <w:rsid w:val="029B5D53"/>
    <w:rsid w:val="02AD7C71"/>
    <w:rsid w:val="02D432A2"/>
    <w:rsid w:val="02D768EE"/>
    <w:rsid w:val="039C332F"/>
    <w:rsid w:val="03BC0EB4"/>
    <w:rsid w:val="03CE5F43"/>
    <w:rsid w:val="03EE0393"/>
    <w:rsid w:val="03F429F8"/>
    <w:rsid w:val="04591348"/>
    <w:rsid w:val="046441B2"/>
    <w:rsid w:val="04770389"/>
    <w:rsid w:val="04A942BA"/>
    <w:rsid w:val="04B07740"/>
    <w:rsid w:val="04F95D2B"/>
    <w:rsid w:val="050078CE"/>
    <w:rsid w:val="050463C4"/>
    <w:rsid w:val="054F4E62"/>
    <w:rsid w:val="055A55B4"/>
    <w:rsid w:val="05BA38B3"/>
    <w:rsid w:val="06140942"/>
    <w:rsid w:val="065906F6"/>
    <w:rsid w:val="065F7326"/>
    <w:rsid w:val="06B07B82"/>
    <w:rsid w:val="06E34177"/>
    <w:rsid w:val="06EC66E0"/>
    <w:rsid w:val="06F01EEF"/>
    <w:rsid w:val="06FD1204"/>
    <w:rsid w:val="07117EA5"/>
    <w:rsid w:val="071D508F"/>
    <w:rsid w:val="071F2A3E"/>
    <w:rsid w:val="072858CC"/>
    <w:rsid w:val="0737322B"/>
    <w:rsid w:val="075D7DCE"/>
    <w:rsid w:val="07990616"/>
    <w:rsid w:val="07EA70C4"/>
    <w:rsid w:val="0802440D"/>
    <w:rsid w:val="08201CBA"/>
    <w:rsid w:val="088F310A"/>
    <w:rsid w:val="088F6118"/>
    <w:rsid w:val="08AC25CB"/>
    <w:rsid w:val="08B1373D"/>
    <w:rsid w:val="08E43623"/>
    <w:rsid w:val="08F74237"/>
    <w:rsid w:val="09216B15"/>
    <w:rsid w:val="092A0515"/>
    <w:rsid w:val="093A4032"/>
    <w:rsid w:val="09417EA6"/>
    <w:rsid w:val="09D0518B"/>
    <w:rsid w:val="09EF7E0C"/>
    <w:rsid w:val="09F50B88"/>
    <w:rsid w:val="0A2306D7"/>
    <w:rsid w:val="0A3D295B"/>
    <w:rsid w:val="0A8D1916"/>
    <w:rsid w:val="0A9642EF"/>
    <w:rsid w:val="0A982E07"/>
    <w:rsid w:val="0AEF0892"/>
    <w:rsid w:val="0B0523A4"/>
    <w:rsid w:val="0B391A02"/>
    <w:rsid w:val="0B5D6937"/>
    <w:rsid w:val="0B752996"/>
    <w:rsid w:val="0BAD6035"/>
    <w:rsid w:val="0BB12173"/>
    <w:rsid w:val="0C1C1B6C"/>
    <w:rsid w:val="0C2B5E0F"/>
    <w:rsid w:val="0C540FAF"/>
    <w:rsid w:val="0C566AD6"/>
    <w:rsid w:val="0C827AA6"/>
    <w:rsid w:val="0C927091"/>
    <w:rsid w:val="0C9A023C"/>
    <w:rsid w:val="0CB42FE4"/>
    <w:rsid w:val="0CBD0903"/>
    <w:rsid w:val="0D0943F8"/>
    <w:rsid w:val="0D8B7E99"/>
    <w:rsid w:val="0D9E67E5"/>
    <w:rsid w:val="0DA43871"/>
    <w:rsid w:val="0DBE1AA2"/>
    <w:rsid w:val="0DBE4FEB"/>
    <w:rsid w:val="0E242B7E"/>
    <w:rsid w:val="0E6940FD"/>
    <w:rsid w:val="0E747874"/>
    <w:rsid w:val="0E773F4A"/>
    <w:rsid w:val="0ECC12D1"/>
    <w:rsid w:val="0ED50710"/>
    <w:rsid w:val="0ED84814"/>
    <w:rsid w:val="0F0D5446"/>
    <w:rsid w:val="0F1B4A58"/>
    <w:rsid w:val="0F497624"/>
    <w:rsid w:val="0F5710B1"/>
    <w:rsid w:val="0F5F0397"/>
    <w:rsid w:val="0F897E70"/>
    <w:rsid w:val="0FDD12BC"/>
    <w:rsid w:val="10257C82"/>
    <w:rsid w:val="10475052"/>
    <w:rsid w:val="107A6B0B"/>
    <w:rsid w:val="1092654A"/>
    <w:rsid w:val="109C2F25"/>
    <w:rsid w:val="10E072B6"/>
    <w:rsid w:val="10E14599"/>
    <w:rsid w:val="10F35DB7"/>
    <w:rsid w:val="110348F8"/>
    <w:rsid w:val="11072A94"/>
    <w:rsid w:val="111863FF"/>
    <w:rsid w:val="111F7805"/>
    <w:rsid w:val="11786AB5"/>
    <w:rsid w:val="11B134A5"/>
    <w:rsid w:val="11D81D3B"/>
    <w:rsid w:val="124B075F"/>
    <w:rsid w:val="125352EB"/>
    <w:rsid w:val="1255782F"/>
    <w:rsid w:val="127D1BE6"/>
    <w:rsid w:val="12841571"/>
    <w:rsid w:val="1298498E"/>
    <w:rsid w:val="12A738C8"/>
    <w:rsid w:val="12B50183"/>
    <w:rsid w:val="12BF0D99"/>
    <w:rsid w:val="12ED1BFE"/>
    <w:rsid w:val="12F640D9"/>
    <w:rsid w:val="12FE7BB6"/>
    <w:rsid w:val="13095F47"/>
    <w:rsid w:val="13353440"/>
    <w:rsid w:val="136D0080"/>
    <w:rsid w:val="1395622D"/>
    <w:rsid w:val="13A1744B"/>
    <w:rsid w:val="13AA0808"/>
    <w:rsid w:val="13C74AF8"/>
    <w:rsid w:val="13EB7EFF"/>
    <w:rsid w:val="13F65598"/>
    <w:rsid w:val="13FA243C"/>
    <w:rsid w:val="13FF7A53"/>
    <w:rsid w:val="141352AC"/>
    <w:rsid w:val="14300114"/>
    <w:rsid w:val="14302302"/>
    <w:rsid w:val="144638D4"/>
    <w:rsid w:val="144F46FE"/>
    <w:rsid w:val="14963FC9"/>
    <w:rsid w:val="14B67942"/>
    <w:rsid w:val="158212AB"/>
    <w:rsid w:val="158775E0"/>
    <w:rsid w:val="15A43EE9"/>
    <w:rsid w:val="15BB4F2C"/>
    <w:rsid w:val="15C63D1D"/>
    <w:rsid w:val="15C727F2"/>
    <w:rsid w:val="15C771B1"/>
    <w:rsid w:val="15E433A4"/>
    <w:rsid w:val="15F1161D"/>
    <w:rsid w:val="16551E01"/>
    <w:rsid w:val="165E3157"/>
    <w:rsid w:val="1672312F"/>
    <w:rsid w:val="168E1562"/>
    <w:rsid w:val="16DA6555"/>
    <w:rsid w:val="171A4173"/>
    <w:rsid w:val="172F1E41"/>
    <w:rsid w:val="173C59AC"/>
    <w:rsid w:val="173E0EAF"/>
    <w:rsid w:val="175C4F96"/>
    <w:rsid w:val="178766DD"/>
    <w:rsid w:val="17A51A0B"/>
    <w:rsid w:val="17BD20FF"/>
    <w:rsid w:val="17CA65CA"/>
    <w:rsid w:val="180C3FE1"/>
    <w:rsid w:val="182E0907"/>
    <w:rsid w:val="183630E7"/>
    <w:rsid w:val="183E42D5"/>
    <w:rsid w:val="186D2F3B"/>
    <w:rsid w:val="18D1616E"/>
    <w:rsid w:val="18E84F59"/>
    <w:rsid w:val="18FF1D76"/>
    <w:rsid w:val="190855FC"/>
    <w:rsid w:val="19193365"/>
    <w:rsid w:val="191E6EEF"/>
    <w:rsid w:val="192835A8"/>
    <w:rsid w:val="192F0DDA"/>
    <w:rsid w:val="19A35324"/>
    <w:rsid w:val="19D17B11"/>
    <w:rsid w:val="19FC4CD9"/>
    <w:rsid w:val="1A2227A0"/>
    <w:rsid w:val="1A2B27FC"/>
    <w:rsid w:val="1A423B81"/>
    <w:rsid w:val="1A5345A4"/>
    <w:rsid w:val="1A67585D"/>
    <w:rsid w:val="1A7F342E"/>
    <w:rsid w:val="1A8F0467"/>
    <w:rsid w:val="1A9B5FFB"/>
    <w:rsid w:val="1AB64BE3"/>
    <w:rsid w:val="1B2D117A"/>
    <w:rsid w:val="1B306444"/>
    <w:rsid w:val="1B354DDE"/>
    <w:rsid w:val="1B6A60FA"/>
    <w:rsid w:val="1B854CE1"/>
    <w:rsid w:val="1B9B2757"/>
    <w:rsid w:val="1BAF4E1B"/>
    <w:rsid w:val="1BBF6318"/>
    <w:rsid w:val="1BC9004E"/>
    <w:rsid w:val="1BE20386"/>
    <w:rsid w:val="1BFB1448"/>
    <w:rsid w:val="1C0334B8"/>
    <w:rsid w:val="1C0A168B"/>
    <w:rsid w:val="1C101580"/>
    <w:rsid w:val="1C252021"/>
    <w:rsid w:val="1C857CD7"/>
    <w:rsid w:val="1C94144C"/>
    <w:rsid w:val="1CA65B7D"/>
    <w:rsid w:val="1CCA0615"/>
    <w:rsid w:val="1CE56278"/>
    <w:rsid w:val="1D027BEA"/>
    <w:rsid w:val="1D687B7F"/>
    <w:rsid w:val="1D8E253F"/>
    <w:rsid w:val="1DAA72BB"/>
    <w:rsid w:val="1DC55869"/>
    <w:rsid w:val="1DD57E18"/>
    <w:rsid w:val="1DDA2008"/>
    <w:rsid w:val="1DE226F6"/>
    <w:rsid w:val="1E0740D4"/>
    <w:rsid w:val="1ECB5F13"/>
    <w:rsid w:val="1EE12B77"/>
    <w:rsid w:val="1F02599A"/>
    <w:rsid w:val="1F1160DC"/>
    <w:rsid w:val="1F5514F4"/>
    <w:rsid w:val="1F7C13B4"/>
    <w:rsid w:val="1FA50D5F"/>
    <w:rsid w:val="1FC7052F"/>
    <w:rsid w:val="1FDE0E64"/>
    <w:rsid w:val="20195304"/>
    <w:rsid w:val="201C7BDE"/>
    <w:rsid w:val="203404FF"/>
    <w:rsid w:val="20784E15"/>
    <w:rsid w:val="20821001"/>
    <w:rsid w:val="208D48FB"/>
    <w:rsid w:val="20AE4CDA"/>
    <w:rsid w:val="20E56222"/>
    <w:rsid w:val="211D4554"/>
    <w:rsid w:val="21212F05"/>
    <w:rsid w:val="212C3E51"/>
    <w:rsid w:val="2133205B"/>
    <w:rsid w:val="213848B6"/>
    <w:rsid w:val="21780E44"/>
    <w:rsid w:val="21867A05"/>
    <w:rsid w:val="21CD2DCA"/>
    <w:rsid w:val="223074F9"/>
    <w:rsid w:val="22350AE4"/>
    <w:rsid w:val="224F7DF7"/>
    <w:rsid w:val="226E6C73"/>
    <w:rsid w:val="227F6529"/>
    <w:rsid w:val="229B25D6"/>
    <w:rsid w:val="22A2261D"/>
    <w:rsid w:val="22C03B22"/>
    <w:rsid w:val="22D60519"/>
    <w:rsid w:val="22E01A46"/>
    <w:rsid w:val="22E5535D"/>
    <w:rsid w:val="22FF4360"/>
    <w:rsid w:val="23103009"/>
    <w:rsid w:val="234D336A"/>
    <w:rsid w:val="23517A57"/>
    <w:rsid w:val="23647308"/>
    <w:rsid w:val="2365630E"/>
    <w:rsid w:val="23700030"/>
    <w:rsid w:val="239A2B9A"/>
    <w:rsid w:val="239C0C8D"/>
    <w:rsid w:val="239F6B5C"/>
    <w:rsid w:val="23BC0F3D"/>
    <w:rsid w:val="23F01166"/>
    <w:rsid w:val="24073EC4"/>
    <w:rsid w:val="240F11D3"/>
    <w:rsid w:val="24217E53"/>
    <w:rsid w:val="24526424"/>
    <w:rsid w:val="24562EA0"/>
    <w:rsid w:val="246F34D0"/>
    <w:rsid w:val="24771887"/>
    <w:rsid w:val="247D1363"/>
    <w:rsid w:val="247E2C16"/>
    <w:rsid w:val="248A71DF"/>
    <w:rsid w:val="249440BC"/>
    <w:rsid w:val="24952344"/>
    <w:rsid w:val="24C26212"/>
    <w:rsid w:val="253F23A5"/>
    <w:rsid w:val="25500059"/>
    <w:rsid w:val="256C6F12"/>
    <w:rsid w:val="25D133E1"/>
    <w:rsid w:val="25F460EE"/>
    <w:rsid w:val="25F56309"/>
    <w:rsid w:val="262B20C6"/>
    <w:rsid w:val="262F59B5"/>
    <w:rsid w:val="26600D09"/>
    <w:rsid w:val="2661324C"/>
    <w:rsid w:val="26631EC1"/>
    <w:rsid w:val="266938DF"/>
    <w:rsid w:val="26B13621"/>
    <w:rsid w:val="26EE1FC0"/>
    <w:rsid w:val="27156F2D"/>
    <w:rsid w:val="272E3D10"/>
    <w:rsid w:val="273309CB"/>
    <w:rsid w:val="273D46C2"/>
    <w:rsid w:val="27634AAD"/>
    <w:rsid w:val="276C31F9"/>
    <w:rsid w:val="277976C4"/>
    <w:rsid w:val="27846795"/>
    <w:rsid w:val="27A21EAF"/>
    <w:rsid w:val="27B41158"/>
    <w:rsid w:val="27BF5A1F"/>
    <w:rsid w:val="2892191C"/>
    <w:rsid w:val="289A78F2"/>
    <w:rsid w:val="289B1FE8"/>
    <w:rsid w:val="28C8445F"/>
    <w:rsid w:val="28C84E77"/>
    <w:rsid w:val="28D66E8F"/>
    <w:rsid w:val="28F17CF9"/>
    <w:rsid w:val="29123BA5"/>
    <w:rsid w:val="294778BF"/>
    <w:rsid w:val="29585AF1"/>
    <w:rsid w:val="29620A37"/>
    <w:rsid w:val="29714AF7"/>
    <w:rsid w:val="29A273A6"/>
    <w:rsid w:val="29AE4672"/>
    <w:rsid w:val="29B858A9"/>
    <w:rsid w:val="29C029D5"/>
    <w:rsid w:val="29C35984"/>
    <w:rsid w:val="29D4102F"/>
    <w:rsid w:val="2A027E45"/>
    <w:rsid w:val="2A0E120D"/>
    <w:rsid w:val="2A1D33C3"/>
    <w:rsid w:val="2A2E0C3A"/>
    <w:rsid w:val="2A7918C8"/>
    <w:rsid w:val="2AA25A59"/>
    <w:rsid w:val="2AA96A88"/>
    <w:rsid w:val="2AC563B9"/>
    <w:rsid w:val="2AD72B3C"/>
    <w:rsid w:val="2AE82B97"/>
    <w:rsid w:val="2AF35C03"/>
    <w:rsid w:val="2B035C23"/>
    <w:rsid w:val="2B3202B6"/>
    <w:rsid w:val="2B6C58CD"/>
    <w:rsid w:val="2B9351F9"/>
    <w:rsid w:val="2B991AB0"/>
    <w:rsid w:val="2BAC76B6"/>
    <w:rsid w:val="2BE91584"/>
    <w:rsid w:val="2C13735F"/>
    <w:rsid w:val="2C291503"/>
    <w:rsid w:val="2C477D91"/>
    <w:rsid w:val="2C4C6FA3"/>
    <w:rsid w:val="2C87484C"/>
    <w:rsid w:val="2CB76CC5"/>
    <w:rsid w:val="2CDB1CEB"/>
    <w:rsid w:val="2D1660E1"/>
    <w:rsid w:val="2D5375D5"/>
    <w:rsid w:val="2D6C73C2"/>
    <w:rsid w:val="2D9E48E8"/>
    <w:rsid w:val="2DB925F5"/>
    <w:rsid w:val="2DF56CBA"/>
    <w:rsid w:val="2DFD4901"/>
    <w:rsid w:val="2E02278E"/>
    <w:rsid w:val="2E522A7E"/>
    <w:rsid w:val="2EAB7223"/>
    <w:rsid w:val="2EC952CF"/>
    <w:rsid w:val="2EDB7876"/>
    <w:rsid w:val="2EE73D55"/>
    <w:rsid w:val="2F0712A4"/>
    <w:rsid w:val="2F0D5F48"/>
    <w:rsid w:val="2F1877C3"/>
    <w:rsid w:val="2F292AD6"/>
    <w:rsid w:val="2F414F6C"/>
    <w:rsid w:val="2F8172D4"/>
    <w:rsid w:val="2FA05B57"/>
    <w:rsid w:val="2FA450DE"/>
    <w:rsid w:val="2FD51F89"/>
    <w:rsid w:val="303D06B3"/>
    <w:rsid w:val="30473E46"/>
    <w:rsid w:val="30972047"/>
    <w:rsid w:val="309E19D2"/>
    <w:rsid w:val="30B6433C"/>
    <w:rsid w:val="30C71F6A"/>
    <w:rsid w:val="30D00B18"/>
    <w:rsid w:val="30FF4EEE"/>
    <w:rsid w:val="31203052"/>
    <w:rsid w:val="31437F61"/>
    <w:rsid w:val="3145316C"/>
    <w:rsid w:val="31554CFE"/>
    <w:rsid w:val="31584683"/>
    <w:rsid w:val="31607511"/>
    <w:rsid w:val="316E43D2"/>
    <w:rsid w:val="319A63F2"/>
    <w:rsid w:val="31A517E2"/>
    <w:rsid w:val="31B80046"/>
    <w:rsid w:val="31D616CE"/>
    <w:rsid w:val="32170B1A"/>
    <w:rsid w:val="32236BAB"/>
    <w:rsid w:val="32494863"/>
    <w:rsid w:val="32574201"/>
    <w:rsid w:val="325E79CA"/>
    <w:rsid w:val="325F2ABE"/>
    <w:rsid w:val="3287538B"/>
    <w:rsid w:val="328C0BF4"/>
    <w:rsid w:val="32922171"/>
    <w:rsid w:val="32A66524"/>
    <w:rsid w:val="32A90701"/>
    <w:rsid w:val="32F04CDF"/>
    <w:rsid w:val="33284C22"/>
    <w:rsid w:val="332B7336"/>
    <w:rsid w:val="33560334"/>
    <w:rsid w:val="336978E6"/>
    <w:rsid w:val="33AD7074"/>
    <w:rsid w:val="33C137F8"/>
    <w:rsid w:val="341B518C"/>
    <w:rsid w:val="342D6E95"/>
    <w:rsid w:val="3432152E"/>
    <w:rsid w:val="344B0EBF"/>
    <w:rsid w:val="34655258"/>
    <w:rsid w:val="347F7212"/>
    <w:rsid w:val="34847DD4"/>
    <w:rsid w:val="34D31DDA"/>
    <w:rsid w:val="34DA0BDF"/>
    <w:rsid w:val="352407BE"/>
    <w:rsid w:val="353A5F72"/>
    <w:rsid w:val="35431A3E"/>
    <w:rsid w:val="35477134"/>
    <w:rsid w:val="35647C06"/>
    <w:rsid w:val="358C5DDF"/>
    <w:rsid w:val="35AA60C1"/>
    <w:rsid w:val="35AB0D9A"/>
    <w:rsid w:val="35D73F34"/>
    <w:rsid w:val="363217A2"/>
    <w:rsid w:val="36513CE6"/>
    <w:rsid w:val="36956822"/>
    <w:rsid w:val="36CE59FA"/>
    <w:rsid w:val="37343C8E"/>
    <w:rsid w:val="37492C0F"/>
    <w:rsid w:val="375A2588"/>
    <w:rsid w:val="37B214EF"/>
    <w:rsid w:val="37B620F4"/>
    <w:rsid w:val="37B96B0F"/>
    <w:rsid w:val="37BA6FC1"/>
    <w:rsid w:val="37E07842"/>
    <w:rsid w:val="37FD52FF"/>
    <w:rsid w:val="38145D11"/>
    <w:rsid w:val="3882287D"/>
    <w:rsid w:val="38A05623"/>
    <w:rsid w:val="38DB4455"/>
    <w:rsid w:val="39194863"/>
    <w:rsid w:val="39315CF4"/>
    <w:rsid w:val="39446C3B"/>
    <w:rsid w:val="395B09E4"/>
    <w:rsid w:val="396E5901"/>
    <w:rsid w:val="39965D61"/>
    <w:rsid w:val="39E840D9"/>
    <w:rsid w:val="39F374A0"/>
    <w:rsid w:val="3A5925EE"/>
    <w:rsid w:val="3AA96157"/>
    <w:rsid w:val="3AD96499"/>
    <w:rsid w:val="3ADF4F1E"/>
    <w:rsid w:val="3AFF08D7"/>
    <w:rsid w:val="3AFF6407"/>
    <w:rsid w:val="3B0D21A6"/>
    <w:rsid w:val="3B1B329B"/>
    <w:rsid w:val="3B2D013E"/>
    <w:rsid w:val="3B4535CA"/>
    <w:rsid w:val="3B554279"/>
    <w:rsid w:val="3B660234"/>
    <w:rsid w:val="3B7C7A57"/>
    <w:rsid w:val="3B96663F"/>
    <w:rsid w:val="3BBF665E"/>
    <w:rsid w:val="3C7704C4"/>
    <w:rsid w:val="3C9E57AB"/>
    <w:rsid w:val="3CD13DD3"/>
    <w:rsid w:val="3D0D2931"/>
    <w:rsid w:val="3D245222"/>
    <w:rsid w:val="3D536C64"/>
    <w:rsid w:val="3D5D04C1"/>
    <w:rsid w:val="3D725EAD"/>
    <w:rsid w:val="3D8C47FC"/>
    <w:rsid w:val="3DCA646D"/>
    <w:rsid w:val="3E6B5ABF"/>
    <w:rsid w:val="3E774506"/>
    <w:rsid w:val="3EAA7506"/>
    <w:rsid w:val="3F055FB6"/>
    <w:rsid w:val="3F5E56C6"/>
    <w:rsid w:val="3F6031EC"/>
    <w:rsid w:val="3F7722E4"/>
    <w:rsid w:val="3FB86B84"/>
    <w:rsid w:val="3FD6525C"/>
    <w:rsid w:val="3FF16DA3"/>
    <w:rsid w:val="400F0D79"/>
    <w:rsid w:val="40BC00EF"/>
    <w:rsid w:val="40C5242F"/>
    <w:rsid w:val="40C73FD6"/>
    <w:rsid w:val="40D8674A"/>
    <w:rsid w:val="40F070FB"/>
    <w:rsid w:val="41415E2F"/>
    <w:rsid w:val="419158DF"/>
    <w:rsid w:val="419E29B4"/>
    <w:rsid w:val="41AD2FCF"/>
    <w:rsid w:val="41F96B86"/>
    <w:rsid w:val="42051E29"/>
    <w:rsid w:val="42577756"/>
    <w:rsid w:val="428F2423"/>
    <w:rsid w:val="42BD64A5"/>
    <w:rsid w:val="42CA46A0"/>
    <w:rsid w:val="42D27D5B"/>
    <w:rsid w:val="42DF0BC8"/>
    <w:rsid w:val="430C79A2"/>
    <w:rsid w:val="430E275F"/>
    <w:rsid w:val="431F542F"/>
    <w:rsid w:val="43853E67"/>
    <w:rsid w:val="439816DD"/>
    <w:rsid w:val="43A85BF8"/>
    <w:rsid w:val="43CD276B"/>
    <w:rsid w:val="43DD43D5"/>
    <w:rsid w:val="43E77A38"/>
    <w:rsid w:val="43EE71E8"/>
    <w:rsid w:val="444B6B67"/>
    <w:rsid w:val="446B6FE1"/>
    <w:rsid w:val="44AB4F09"/>
    <w:rsid w:val="44AC2A30"/>
    <w:rsid w:val="44ED5522"/>
    <w:rsid w:val="44FC7513"/>
    <w:rsid w:val="44FE0DBC"/>
    <w:rsid w:val="45375026"/>
    <w:rsid w:val="454B049A"/>
    <w:rsid w:val="45670D13"/>
    <w:rsid w:val="45A33E32"/>
    <w:rsid w:val="45C5024D"/>
    <w:rsid w:val="46455BF2"/>
    <w:rsid w:val="46947F59"/>
    <w:rsid w:val="46E666CD"/>
    <w:rsid w:val="46EE37D3"/>
    <w:rsid w:val="46F11B84"/>
    <w:rsid w:val="46FA5CD4"/>
    <w:rsid w:val="4721166A"/>
    <w:rsid w:val="472E0158"/>
    <w:rsid w:val="473236C0"/>
    <w:rsid w:val="47835663"/>
    <w:rsid w:val="479E3C8F"/>
    <w:rsid w:val="479F062A"/>
    <w:rsid w:val="47BE73FC"/>
    <w:rsid w:val="47D77DC3"/>
    <w:rsid w:val="47F25917"/>
    <w:rsid w:val="48046E08"/>
    <w:rsid w:val="481366AF"/>
    <w:rsid w:val="48233EE8"/>
    <w:rsid w:val="485D476D"/>
    <w:rsid w:val="4860600B"/>
    <w:rsid w:val="48822425"/>
    <w:rsid w:val="488F1019"/>
    <w:rsid w:val="48945CB4"/>
    <w:rsid w:val="48B459D5"/>
    <w:rsid w:val="48FC21D7"/>
    <w:rsid w:val="49137323"/>
    <w:rsid w:val="491E7603"/>
    <w:rsid w:val="491F7C74"/>
    <w:rsid w:val="495E6AC9"/>
    <w:rsid w:val="496438D9"/>
    <w:rsid w:val="49950546"/>
    <w:rsid w:val="49A10689"/>
    <w:rsid w:val="49B51A7F"/>
    <w:rsid w:val="49CF27A8"/>
    <w:rsid w:val="4A080708"/>
    <w:rsid w:val="4A18309E"/>
    <w:rsid w:val="4A4756D4"/>
    <w:rsid w:val="4A8401CF"/>
    <w:rsid w:val="4A8C305D"/>
    <w:rsid w:val="4AB80E23"/>
    <w:rsid w:val="4AD02480"/>
    <w:rsid w:val="4AE03433"/>
    <w:rsid w:val="4AF61407"/>
    <w:rsid w:val="4B020A9D"/>
    <w:rsid w:val="4B117450"/>
    <w:rsid w:val="4B344B38"/>
    <w:rsid w:val="4B441C14"/>
    <w:rsid w:val="4B5F25AA"/>
    <w:rsid w:val="4B677F94"/>
    <w:rsid w:val="4B683B54"/>
    <w:rsid w:val="4B6928EF"/>
    <w:rsid w:val="4B893ACB"/>
    <w:rsid w:val="4BAB1C93"/>
    <w:rsid w:val="4BAE4439"/>
    <w:rsid w:val="4BF46FF8"/>
    <w:rsid w:val="4C4E1A90"/>
    <w:rsid w:val="4C614E6E"/>
    <w:rsid w:val="4C6F0F12"/>
    <w:rsid w:val="4CF756AD"/>
    <w:rsid w:val="4CFC1B5C"/>
    <w:rsid w:val="4D160508"/>
    <w:rsid w:val="4D31441A"/>
    <w:rsid w:val="4D3267B3"/>
    <w:rsid w:val="4D446692"/>
    <w:rsid w:val="4D8D78A2"/>
    <w:rsid w:val="4DE15652"/>
    <w:rsid w:val="4E0F71D8"/>
    <w:rsid w:val="4E137126"/>
    <w:rsid w:val="4E157897"/>
    <w:rsid w:val="4E5B45A0"/>
    <w:rsid w:val="4E776E4B"/>
    <w:rsid w:val="4E78174A"/>
    <w:rsid w:val="4EB5692F"/>
    <w:rsid w:val="4EC63BC9"/>
    <w:rsid w:val="4EF120B3"/>
    <w:rsid w:val="4EF43100"/>
    <w:rsid w:val="4F2272E3"/>
    <w:rsid w:val="4F250268"/>
    <w:rsid w:val="4F6F4D85"/>
    <w:rsid w:val="4FCE12A5"/>
    <w:rsid w:val="50914F3C"/>
    <w:rsid w:val="50AC1F47"/>
    <w:rsid w:val="50B67110"/>
    <w:rsid w:val="50E101BE"/>
    <w:rsid w:val="50FB7BED"/>
    <w:rsid w:val="5102131E"/>
    <w:rsid w:val="5114220C"/>
    <w:rsid w:val="51493AE0"/>
    <w:rsid w:val="517E631C"/>
    <w:rsid w:val="51917235"/>
    <w:rsid w:val="51935A63"/>
    <w:rsid w:val="51B20896"/>
    <w:rsid w:val="51BA2C30"/>
    <w:rsid w:val="51F46D81"/>
    <w:rsid w:val="52087682"/>
    <w:rsid w:val="521045FE"/>
    <w:rsid w:val="521A5E3F"/>
    <w:rsid w:val="522030C9"/>
    <w:rsid w:val="525A3ACB"/>
    <w:rsid w:val="526112FD"/>
    <w:rsid w:val="526712BE"/>
    <w:rsid w:val="52774F79"/>
    <w:rsid w:val="527F4767"/>
    <w:rsid w:val="52A631B4"/>
    <w:rsid w:val="52B0193D"/>
    <w:rsid w:val="52FF1A0D"/>
    <w:rsid w:val="5311062D"/>
    <w:rsid w:val="53484FFE"/>
    <w:rsid w:val="53566988"/>
    <w:rsid w:val="53620E89"/>
    <w:rsid w:val="5379714E"/>
    <w:rsid w:val="53806002"/>
    <w:rsid w:val="53E03C54"/>
    <w:rsid w:val="540A3EEE"/>
    <w:rsid w:val="54130285"/>
    <w:rsid w:val="542045AD"/>
    <w:rsid w:val="54236053"/>
    <w:rsid w:val="5428129F"/>
    <w:rsid w:val="545339CC"/>
    <w:rsid w:val="54B73456"/>
    <w:rsid w:val="54C52422"/>
    <w:rsid w:val="54DE1F99"/>
    <w:rsid w:val="54F621D1"/>
    <w:rsid w:val="54FA4A5B"/>
    <w:rsid w:val="551133F2"/>
    <w:rsid w:val="557A0C4C"/>
    <w:rsid w:val="55D23EFC"/>
    <w:rsid w:val="5604532D"/>
    <w:rsid w:val="560F1140"/>
    <w:rsid w:val="56204D1B"/>
    <w:rsid w:val="563E640C"/>
    <w:rsid w:val="564A5AA2"/>
    <w:rsid w:val="56567336"/>
    <w:rsid w:val="56574EF1"/>
    <w:rsid w:val="56607558"/>
    <w:rsid w:val="56780AB5"/>
    <w:rsid w:val="567A07EF"/>
    <w:rsid w:val="56AE57C6"/>
    <w:rsid w:val="56C20BE3"/>
    <w:rsid w:val="56C941F2"/>
    <w:rsid w:val="571132F2"/>
    <w:rsid w:val="57154464"/>
    <w:rsid w:val="57174680"/>
    <w:rsid w:val="5720458B"/>
    <w:rsid w:val="575823DC"/>
    <w:rsid w:val="57AC1E66"/>
    <w:rsid w:val="57E427B4"/>
    <w:rsid w:val="57FF05EB"/>
    <w:rsid w:val="58044C05"/>
    <w:rsid w:val="5826141A"/>
    <w:rsid w:val="584119B5"/>
    <w:rsid w:val="58767330"/>
    <w:rsid w:val="58D63D1E"/>
    <w:rsid w:val="59376F65"/>
    <w:rsid w:val="595E0345"/>
    <w:rsid w:val="59617E35"/>
    <w:rsid w:val="596B0E28"/>
    <w:rsid w:val="59955D26"/>
    <w:rsid w:val="5A1804F3"/>
    <w:rsid w:val="5A226FEB"/>
    <w:rsid w:val="5A450696"/>
    <w:rsid w:val="5A6951F3"/>
    <w:rsid w:val="5A7C1BE0"/>
    <w:rsid w:val="5A833B8D"/>
    <w:rsid w:val="5A9E3699"/>
    <w:rsid w:val="5AAD63E9"/>
    <w:rsid w:val="5AB04BD0"/>
    <w:rsid w:val="5AC16DDD"/>
    <w:rsid w:val="5ADF3707"/>
    <w:rsid w:val="5AEA735D"/>
    <w:rsid w:val="5AF1280C"/>
    <w:rsid w:val="5AF34724"/>
    <w:rsid w:val="5B1F58B2"/>
    <w:rsid w:val="5B305D11"/>
    <w:rsid w:val="5B3E042E"/>
    <w:rsid w:val="5B432AC3"/>
    <w:rsid w:val="5B6854AA"/>
    <w:rsid w:val="5B7025B1"/>
    <w:rsid w:val="5B713816"/>
    <w:rsid w:val="5B871DD5"/>
    <w:rsid w:val="5BDB1EAB"/>
    <w:rsid w:val="5BEF797A"/>
    <w:rsid w:val="5C29310B"/>
    <w:rsid w:val="5C3D5E61"/>
    <w:rsid w:val="5C7E485A"/>
    <w:rsid w:val="5C836B56"/>
    <w:rsid w:val="5C88775A"/>
    <w:rsid w:val="5CC11316"/>
    <w:rsid w:val="5CC26E3C"/>
    <w:rsid w:val="5CEC5DBD"/>
    <w:rsid w:val="5CF214D0"/>
    <w:rsid w:val="5D111C3D"/>
    <w:rsid w:val="5D123920"/>
    <w:rsid w:val="5D433711"/>
    <w:rsid w:val="5D495CFE"/>
    <w:rsid w:val="5D7A5DE9"/>
    <w:rsid w:val="5D7F2AAE"/>
    <w:rsid w:val="5DA1584D"/>
    <w:rsid w:val="5DAC78BD"/>
    <w:rsid w:val="5DE97722"/>
    <w:rsid w:val="5DF04B2E"/>
    <w:rsid w:val="5DF4733F"/>
    <w:rsid w:val="5E2A6A47"/>
    <w:rsid w:val="5E364898"/>
    <w:rsid w:val="5E4A0E97"/>
    <w:rsid w:val="5E6C4478"/>
    <w:rsid w:val="5E7B54F5"/>
    <w:rsid w:val="5EBE0317"/>
    <w:rsid w:val="5F014BB4"/>
    <w:rsid w:val="5F071D35"/>
    <w:rsid w:val="5F0720F8"/>
    <w:rsid w:val="5F184A8E"/>
    <w:rsid w:val="5F2636B2"/>
    <w:rsid w:val="5F3673C4"/>
    <w:rsid w:val="5F4131D6"/>
    <w:rsid w:val="5F5043A8"/>
    <w:rsid w:val="5F5D7283"/>
    <w:rsid w:val="5F677B93"/>
    <w:rsid w:val="5F700DD2"/>
    <w:rsid w:val="5F864BC4"/>
    <w:rsid w:val="5F877CC0"/>
    <w:rsid w:val="5F9D47EA"/>
    <w:rsid w:val="5FC353A5"/>
    <w:rsid w:val="5FD17AC2"/>
    <w:rsid w:val="5FF31D8F"/>
    <w:rsid w:val="60152297"/>
    <w:rsid w:val="601B10C3"/>
    <w:rsid w:val="602755FE"/>
    <w:rsid w:val="609154A7"/>
    <w:rsid w:val="60B21FAC"/>
    <w:rsid w:val="60DB04CD"/>
    <w:rsid w:val="60F17CF0"/>
    <w:rsid w:val="60F560A0"/>
    <w:rsid w:val="61136DE7"/>
    <w:rsid w:val="612956DC"/>
    <w:rsid w:val="61355E2F"/>
    <w:rsid w:val="61483DB4"/>
    <w:rsid w:val="615C6D49"/>
    <w:rsid w:val="616D55C9"/>
    <w:rsid w:val="616E6368"/>
    <w:rsid w:val="618021F6"/>
    <w:rsid w:val="61881DC6"/>
    <w:rsid w:val="61942060"/>
    <w:rsid w:val="61A46644"/>
    <w:rsid w:val="61B91F65"/>
    <w:rsid w:val="61BB4BDB"/>
    <w:rsid w:val="620307DC"/>
    <w:rsid w:val="62081D27"/>
    <w:rsid w:val="620A72BB"/>
    <w:rsid w:val="621E68C3"/>
    <w:rsid w:val="62482F74"/>
    <w:rsid w:val="625414DF"/>
    <w:rsid w:val="627757BC"/>
    <w:rsid w:val="62AC2121"/>
    <w:rsid w:val="62B641C5"/>
    <w:rsid w:val="62D652C2"/>
    <w:rsid w:val="62EC7D19"/>
    <w:rsid w:val="62F93461"/>
    <w:rsid w:val="63226E50"/>
    <w:rsid w:val="632409C5"/>
    <w:rsid w:val="634B7B8C"/>
    <w:rsid w:val="63624A92"/>
    <w:rsid w:val="636E387A"/>
    <w:rsid w:val="63B1721D"/>
    <w:rsid w:val="63B53631"/>
    <w:rsid w:val="63E022EB"/>
    <w:rsid w:val="63FE15F1"/>
    <w:rsid w:val="641649C3"/>
    <w:rsid w:val="641A7B46"/>
    <w:rsid w:val="642108EC"/>
    <w:rsid w:val="64DE058B"/>
    <w:rsid w:val="6505464C"/>
    <w:rsid w:val="65196F30"/>
    <w:rsid w:val="65295CAB"/>
    <w:rsid w:val="65442AE4"/>
    <w:rsid w:val="659550EE"/>
    <w:rsid w:val="65AF6E4B"/>
    <w:rsid w:val="65B0017A"/>
    <w:rsid w:val="65D61121"/>
    <w:rsid w:val="65DC0944"/>
    <w:rsid w:val="65DE1DB1"/>
    <w:rsid w:val="65F31D9F"/>
    <w:rsid w:val="66040139"/>
    <w:rsid w:val="66240220"/>
    <w:rsid w:val="662705F6"/>
    <w:rsid w:val="6663200A"/>
    <w:rsid w:val="668E12A5"/>
    <w:rsid w:val="66C22023"/>
    <w:rsid w:val="66E015D3"/>
    <w:rsid w:val="66E0199B"/>
    <w:rsid w:val="6703088E"/>
    <w:rsid w:val="6726007A"/>
    <w:rsid w:val="67701963"/>
    <w:rsid w:val="678455BD"/>
    <w:rsid w:val="67AC2BC3"/>
    <w:rsid w:val="67BD66F9"/>
    <w:rsid w:val="680B583D"/>
    <w:rsid w:val="683A01CF"/>
    <w:rsid w:val="68582049"/>
    <w:rsid w:val="685F2D49"/>
    <w:rsid w:val="688A7EDC"/>
    <w:rsid w:val="68A31EA7"/>
    <w:rsid w:val="68AD1096"/>
    <w:rsid w:val="68B00491"/>
    <w:rsid w:val="68CD4B9F"/>
    <w:rsid w:val="68D75A1D"/>
    <w:rsid w:val="68E17E1F"/>
    <w:rsid w:val="68EC3499"/>
    <w:rsid w:val="69025DD5"/>
    <w:rsid w:val="69236EB5"/>
    <w:rsid w:val="692E7D33"/>
    <w:rsid w:val="693C2467"/>
    <w:rsid w:val="69872FA0"/>
    <w:rsid w:val="698C6808"/>
    <w:rsid w:val="699D0A15"/>
    <w:rsid w:val="69D17E84"/>
    <w:rsid w:val="6A072332"/>
    <w:rsid w:val="6A0C050A"/>
    <w:rsid w:val="6A0E2D79"/>
    <w:rsid w:val="6A415045"/>
    <w:rsid w:val="6A512476"/>
    <w:rsid w:val="6A5B639A"/>
    <w:rsid w:val="6A7B4D5B"/>
    <w:rsid w:val="6A8E0C62"/>
    <w:rsid w:val="6A90057A"/>
    <w:rsid w:val="6A9B2674"/>
    <w:rsid w:val="6B034621"/>
    <w:rsid w:val="6B0D5727"/>
    <w:rsid w:val="6B2018FE"/>
    <w:rsid w:val="6B3F3181"/>
    <w:rsid w:val="6B4D26D9"/>
    <w:rsid w:val="6B7604F0"/>
    <w:rsid w:val="6B95409A"/>
    <w:rsid w:val="6BA8732E"/>
    <w:rsid w:val="6BAA2A50"/>
    <w:rsid w:val="6BAA4A2F"/>
    <w:rsid w:val="6BAB7077"/>
    <w:rsid w:val="6BC046CC"/>
    <w:rsid w:val="6BC40E5C"/>
    <w:rsid w:val="6BE7626E"/>
    <w:rsid w:val="6C10197F"/>
    <w:rsid w:val="6C5C4853"/>
    <w:rsid w:val="6C845EBC"/>
    <w:rsid w:val="6CBF2379"/>
    <w:rsid w:val="6CED0BD3"/>
    <w:rsid w:val="6D164380"/>
    <w:rsid w:val="6D5502EE"/>
    <w:rsid w:val="6D6D6796"/>
    <w:rsid w:val="6D841277"/>
    <w:rsid w:val="6D9A1F25"/>
    <w:rsid w:val="6DA6691C"/>
    <w:rsid w:val="6DB93944"/>
    <w:rsid w:val="6DC5053A"/>
    <w:rsid w:val="6DE16E31"/>
    <w:rsid w:val="6E5F4EBB"/>
    <w:rsid w:val="6E606222"/>
    <w:rsid w:val="6E9717B7"/>
    <w:rsid w:val="6EA14A8D"/>
    <w:rsid w:val="6EB26D11"/>
    <w:rsid w:val="6EC6436A"/>
    <w:rsid w:val="6EE5683D"/>
    <w:rsid w:val="6EF67E1B"/>
    <w:rsid w:val="6F045092"/>
    <w:rsid w:val="6F1A5974"/>
    <w:rsid w:val="6F946416"/>
    <w:rsid w:val="6F9F49B0"/>
    <w:rsid w:val="6FCE2BBA"/>
    <w:rsid w:val="6FE7389E"/>
    <w:rsid w:val="702A28D7"/>
    <w:rsid w:val="70422316"/>
    <w:rsid w:val="70776C11"/>
    <w:rsid w:val="7080699B"/>
    <w:rsid w:val="70EE1B56"/>
    <w:rsid w:val="70EF1F9B"/>
    <w:rsid w:val="71025602"/>
    <w:rsid w:val="710F390D"/>
    <w:rsid w:val="712F05BE"/>
    <w:rsid w:val="71336E8A"/>
    <w:rsid w:val="71483915"/>
    <w:rsid w:val="715C7408"/>
    <w:rsid w:val="717209D9"/>
    <w:rsid w:val="719E6674"/>
    <w:rsid w:val="71AE2C00"/>
    <w:rsid w:val="71B71FA3"/>
    <w:rsid w:val="71D40D4C"/>
    <w:rsid w:val="71EB6773"/>
    <w:rsid w:val="71F3736D"/>
    <w:rsid w:val="71F64B04"/>
    <w:rsid w:val="720E3BC4"/>
    <w:rsid w:val="723253FE"/>
    <w:rsid w:val="723B526F"/>
    <w:rsid w:val="72535141"/>
    <w:rsid w:val="725A64D5"/>
    <w:rsid w:val="725F7DDF"/>
    <w:rsid w:val="72866D36"/>
    <w:rsid w:val="72A801AB"/>
    <w:rsid w:val="72BE56A3"/>
    <w:rsid w:val="7309711B"/>
    <w:rsid w:val="73261A7B"/>
    <w:rsid w:val="734463A5"/>
    <w:rsid w:val="734844B1"/>
    <w:rsid w:val="735D7D1C"/>
    <w:rsid w:val="738A200A"/>
    <w:rsid w:val="739923BF"/>
    <w:rsid w:val="73A02941"/>
    <w:rsid w:val="73A87D4E"/>
    <w:rsid w:val="73A905BB"/>
    <w:rsid w:val="73CE71BA"/>
    <w:rsid w:val="74822CE1"/>
    <w:rsid w:val="74A42250"/>
    <w:rsid w:val="74C0557B"/>
    <w:rsid w:val="74C652C4"/>
    <w:rsid w:val="74C77C00"/>
    <w:rsid w:val="74E27C24"/>
    <w:rsid w:val="74E977FD"/>
    <w:rsid w:val="751122B7"/>
    <w:rsid w:val="75526B58"/>
    <w:rsid w:val="755D1755"/>
    <w:rsid w:val="756D63B5"/>
    <w:rsid w:val="756E6BB3"/>
    <w:rsid w:val="75866801"/>
    <w:rsid w:val="75941C40"/>
    <w:rsid w:val="75C838B8"/>
    <w:rsid w:val="75E83C06"/>
    <w:rsid w:val="75F4182A"/>
    <w:rsid w:val="760044E6"/>
    <w:rsid w:val="761E3FC2"/>
    <w:rsid w:val="762D3121"/>
    <w:rsid w:val="763172F6"/>
    <w:rsid w:val="767174B1"/>
    <w:rsid w:val="7687373D"/>
    <w:rsid w:val="76A07D97"/>
    <w:rsid w:val="76A84548"/>
    <w:rsid w:val="76AF5AC7"/>
    <w:rsid w:val="76B10FCA"/>
    <w:rsid w:val="76B353B8"/>
    <w:rsid w:val="76B77D6E"/>
    <w:rsid w:val="770C71DA"/>
    <w:rsid w:val="77BE04D4"/>
    <w:rsid w:val="77BF424C"/>
    <w:rsid w:val="77C1097B"/>
    <w:rsid w:val="77C3210C"/>
    <w:rsid w:val="77CF26E1"/>
    <w:rsid w:val="77D53A70"/>
    <w:rsid w:val="77D63117"/>
    <w:rsid w:val="77DA64AE"/>
    <w:rsid w:val="77DF669D"/>
    <w:rsid w:val="77E45A61"/>
    <w:rsid w:val="77FF2E6B"/>
    <w:rsid w:val="785D35A9"/>
    <w:rsid w:val="78B673FD"/>
    <w:rsid w:val="79156236"/>
    <w:rsid w:val="793D7B1F"/>
    <w:rsid w:val="79504A7B"/>
    <w:rsid w:val="79535D1B"/>
    <w:rsid w:val="795D24DE"/>
    <w:rsid w:val="796E6F4C"/>
    <w:rsid w:val="79853F6B"/>
    <w:rsid w:val="79B77FBE"/>
    <w:rsid w:val="79BA116F"/>
    <w:rsid w:val="79C066CF"/>
    <w:rsid w:val="79C31852"/>
    <w:rsid w:val="79C54D55"/>
    <w:rsid w:val="79EB767A"/>
    <w:rsid w:val="7A1C6139"/>
    <w:rsid w:val="7A3A5781"/>
    <w:rsid w:val="7A747570"/>
    <w:rsid w:val="7A756308"/>
    <w:rsid w:val="7AB91427"/>
    <w:rsid w:val="7AE55D78"/>
    <w:rsid w:val="7AF81F4F"/>
    <w:rsid w:val="7AFF1FEC"/>
    <w:rsid w:val="7B051247"/>
    <w:rsid w:val="7B114938"/>
    <w:rsid w:val="7B3466AF"/>
    <w:rsid w:val="7B38059E"/>
    <w:rsid w:val="7B4414B7"/>
    <w:rsid w:val="7B5B066E"/>
    <w:rsid w:val="7B7D40A6"/>
    <w:rsid w:val="7B885CBA"/>
    <w:rsid w:val="7BC65BA9"/>
    <w:rsid w:val="7BCD347D"/>
    <w:rsid w:val="7C0C783B"/>
    <w:rsid w:val="7C3010F9"/>
    <w:rsid w:val="7C3D0C61"/>
    <w:rsid w:val="7C575210"/>
    <w:rsid w:val="7CBE14B7"/>
    <w:rsid w:val="7CC77E2B"/>
    <w:rsid w:val="7CD75B94"/>
    <w:rsid w:val="7CD9572C"/>
    <w:rsid w:val="7CED360A"/>
    <w:rsid w:val="7CF60710"/>
    <w:rsid w:val="7D3632ED"/>
    <w:rsid w:val="7D521127"/>
    <w:rsid w:val="7D5D30F7"/>
    <w:rsid w:val="7D6A6A08"/>
    <w:rsid w:val="7D96563A"/>
    <w:rsid w:val="7DB6516E"/>
    <w:rsid w:val="7DC10D1E"/>
    <w:rsid w:val="7DCE343B"/>
    <w:rsid w:val="7DEC38C1"/>
    <w:rsid w:val="7DF62030"/>
    <w:rsid w:val="7E3620A1"/>
    <w:rsid w:val="7E404BAE"/>
    <w:rsid w:val="7E423935"/>
    <w:rsid w:val="7E5D1997"/>
    <w:rsid w:val="7E7A465F"/>
    <w:rsid w:val="7E7F4735"/>
    <w:rsid w:val="7E834226"/>
    <w:rsid w:val="7EBE0DBA"/>
    <w:rsid w:val="7F0026A0"/>
    <w:rsid w:val="7F1B445E"/>
    <w:rsid w:val="7F392BC8"/>
    <w:rsid w:val="7F4B7FF1"/>
    <w:rsid w:val="7FC6022D"/>
    <w:rsid w:val="7FD32DC6"/>
    <w:rsid w:val="7FDC5C54"/>
    <w:rsid w:val="7FE42AA2"/>
    <w:rsid w:val="7FE874E8"/>
    <w:rsid w:val="7FFF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 w:hAnsi="仿宋" w:eastAsia="仿宋"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8"/>
    <w:unhideWhenUsed/>
    <w:qFormat/>
    <w:uiPriority w:val="0"/>
    <w:pPr>
      <w:overflowPunct w:val="0"/>
      <w:ind w:firstLine="0" w:firstLineChars="0"/>
      <w:jc w:val="center"/>
      <w:outlineLvl w:val="1"/>
    </w:pPr>
    <w:rPr>
      <w:rFonts w:ascii="黑体" w:hAnsi="黑体" w:eastAsia="方正小标宋简体" w:cs="方正小标宋简体"/>
    </w:rPr>
  </w:style>
  <w:style w:type="paragraph" w:styleId="4">
    <w:name w:val="heading 3"/>
    <w:basedOn w:val="1"/>
    <w:next w:val="1"/>
    <w:link w:val="47"/>
    <w:unhideWhenUsed/>
    <w:qFormat/>
    <w:uiPriority w:val="0"/>
    <w:pPr>
      <w:outlineLvl w:val="2"/>
    </w:pPr>
    <w:rPr>
      <w:rFonts w:ascii="黑体" w:hAnsi="黑体" w:eastAsia="黑体"/>
      <w:bCs/>
      <w:szCs w:val="32"/>
    </w:rPr>
  </w:style>
  <w:style w:type="paragraph" w:styleId="5">
    <w:name w:val="heading 4"/>
    <w:basedOn w:val="1"/>
    <w:next w:val="1"/>
    <w:link w:val="61"/>
    <w:unhideWhenUsed/>
    <w:qFormat/>
    <w:uiPriority w:val="0"/>
    <w:pPr>
      <w:outlineLvl w:val="3"/>
    </w:pPr>
    <w:rPr>
      <w:rFonts w:ascii="楷体" w:hAnsi="楷体" w:eastAsia="楷体" w:cs="楷体"/>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160" w:line="278" w:lineRule="auto"/>
      <w:ind w:left="2520" w:leftChars="1200"/>
      <w:jc w:val="left"/>
    </w:pPr>
    <w:rPr>
      <w:rFonts w:asciiTheme="minorHAnsi" w:hAnsiTheme="minorHAnsi" w:eastAsiaTheme="minorEastAsia" w:cstheme="minorBidi"/>
      <w:sz w:val="22"/>
      <w14:ligatures w14:val="standardContextual"/>
    </w:rPr>
  </w:style>
  <w:style w:type="paragraph" w:styleId="7">
    <w:name w:val="annotation text"/>
    <w:basedOn w:val="1"/>
    <w:link w:val="31"/>
    <w:qFormat/>
    <w:uiPriority w:val="0"/>
    <w:pPr>
      <w:jc w:val="left"/>
    </w:pPr>
  </w:style>
  <w:style w:type="paragraph" w:styleId="8">
    <w:name w:val="toc 5"/>
    <w:basedOn w:val="1"/>
    <w:next w:val="1"/>
    <w:unhideWhenUsed/>
    <w:qFormat/>
    <w:uiPriority w:val="39"/>
    <w:pPr>
      <w:spacing w:after="160" w:line="278" w:lineRule="auto"/>
      <w:ind w:left="1680" w:leftChars="800"/>
      <w:jc w:val="left"/>
    </w:pPr>
    <w:rPr>
      <w:rFonts w:asciiTheme="minorHAnsi" w:hAnsiTheme="minorHAnsi" w:eastAsiaTheme="minorEastAsia" w:cstheme="minorBidi"/>
      <w:sz w:val="22"/>
      <w14:ligatures w14:val="standardContextual"/>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spacing w:after="160" w:line="278" w:lineRule="auto"/>
      <w:ind w:left="2940" w:leftChars="1400"/>
      <w:jc w:val="left"/>
    </w:pPr>
    <w:rPr>
      <w:rFonts w:asciiTheme="minorHAnsi" w:hAnsiTheme="minorHAnsi" w:eastAsiaTheme="minorEastAsia" w:cstheme="minorBidi"/>
      <w:sz w:val="22"/>
      <w14:ligatures w14:val="standardContextual"/>
    </w:rPr>
  </w:style>
  <w:style w:type="paragraph" w:styleId="11">
    <w:name w:val="Balloon Text"/>
    <w:basedOn w:val="1"/>
    <w:link w:val="37"/>
    <w:qFormat/>
    <w:uiPriority w:val="0"/>
    <w:rPr>
      <w:sz w:val="18"/>
      <w:szCs w:val="18"/>
    </w:rPr>
  </w:style>
  <w:style w:type="paragraph" w:styleId="12">
    <w:name w:val="footer"/>
    <w:basedOn w:val="1"/>
    <w:link w:val="51"/>
    <w:qFormat/>
    <w:uiPriority w:val="99"/>
    <w:pPr>
      <w:tabs>
        <w:tab w:val="center" w:pos="4153"/>
        <w:tab w:val="right" w:pos="8306"/>
      </w:tabs>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toc 1"/>
    <w:basedOn w:val="1"/>
    <w:next w:val="1"/>
    <w:unhideWhenUsed/>
    <w:qFormat/>
    <w:uiPriority w:val="39"/>
    <w:pPr>
      <w:widowControl/>
      <w:tabs>
        <w:tab w:val="left" w:pos="420"/>
        <w:tab w:val="right" w:leader="dot" w:pos="8296"/>
      </w:tabs>
      <w:spacing w:before="156" w:beforeLines="50" w:after="156" w:afterLines="50"/>
      <w:jc w:val="center"/>
    </w:pPr>
    <w:rPr>
      <w:rFonts w:eastAsia="微软雅黑" w:cstheme="minorBidi"/>
      <w:b/>
      <w:bCs/>
      <w:kern w:val="0"/>
      <w:sz w:val="22"/>
      <w:szCs w:val="21"/>
    </w:rPr>
  </w:style>
  <w:style w:type="paragraph" w:styleId="15">
    <w:name w:val="toc 4"/>
    <w:basedOn w:val="1"/>
    <w:next w:val="1"/>
    <w:unhideWhenUsed/>
    <w:qFormat/>
    <w:uiPriority w:val="39"/>
    <w:pPr>
      <w:spacing w:after="160" w:line="278" w:lineRule="auto"/>
      <w:ind w:left="1260" w:leftChars="600"/>
      <w:jc w:val="left"/>
    </w:pPr>
    <w:rPr>
      <w:rFonts w:asciiTheme="minorHAnsi" w:hAnsiTheme="minorHAnsi" w:eastAsiaTheme="minorEastAsia" w:cstheme="minorBidi"/>
      <w:sz w:val="22"/>
      <w14:ligatures w14:val="standardContextual"/>
    </w:rPr>
  </w:style>
  <w:style w:type="paragraph" w:styleId="16">
    <w:name w:val="footnote text"/>
    <w:basedOn w:val="1"/>
    <w:link w:val="42"/>
    <w:qFormat/>
    <w:uiPriority w:val="0"/>
    <w:pPr>
      <w:jc w:val="left"/>
    </w:pPr>
    <w:rPr>
      <w:sz w:val="18"/>
      <w:szCs w:val="18"/>
    </w:rPr>
  </w:style>
  <w:style w:type="paragraph" w:styleId="17">
    <w:name w:val="toc 6"/>
    <w:basedOn w:val="1"/>
    <w:next w:val="1"/>
    <w:unhideWhenUsed/>
    <w:qFormat/>
    <w:uiPriority w:val="39"/>
    <w:pPr>
      <w:spacing w:after="160" w:line="278" w:lineRule="auto"/>
      <w:ind w:left="2100" w:leftChars="1000"/>
      <w:jc w:val="left"/>
    </w:pPr>
    <w:rPr>
      <w:rFonts w:asciiTheme="minorHAnsi" w:hAnsiTheme="minorHAnsi" w:eastAsiaTheme="minorEastAsia" w:cstheme="minorBidi"/>
      <w:sz w:val="22"/>
      <w14:ligatures w14:val="standardContextual"/>
    </w:rPr>
  </w:style>
  <w:style w:type="paragraph" w:styleId="18">
    <w:name w:val="toc 2"/>
    <w:basedOn w:val="1"/>
    <w:next w:val="1"/>
    <w:unhideWhenUsed/>
    <w:qFormat/>
    <w:uiPriority w:val="39"/>
    <w:pPr>
      <w:widowControl/>
      <w:tabs>
        <w:tab w:val="right" w:leader="dot" w:pos="8296"/>
      </w:tabs>
      <w:spacing w:before="156" w:beforeLines="50" w:after="156" w:afterLines="50"/>
      <w:ind w:left="440" w:leftChars="200"/>
    </w:pPr>
    <w:rPr>
      <w:rFonts w:eastAsia="微软雅黑" w:cstheme="minorBidi"/>
      <w:kern w:val="0"/>
      <w:sz w:val="22"/>
      <w:szCs w:val="21"/>
    </w:rPr>
  </w:style>
  <w:style w:type="paragraph" w:styleId="19">
    <w:name w:val="toc 9"/>
    <w:basedOn w:val="1"/>
    <w:next w:val="1"/>
    <w:unhideWhenUsed/>
    <w:qFormat/>
    <w:uiPriority w:val="39"/>
    <w:pPr>
      <w:spacing w:after="160" w:line="278" w:lineRule="auto"/>
      <w:ind w:left="3360" w:leftChars="1600"/>
      <w:jc w:val="left"/>
    </w:pPr>
    <w:rPr>
      <w:rFonts w:asciiTheme="minorHAnsi" w:hAnsiTheme="minorHAnsi" w:eastAsiaTheme="minorEastAsia" w:cstheme="minorBidi"/>
      <w:sz w:val="22"/>
      <w14:ligatures w14:val="standardContextual"/>
    </w:rPr>
  </w:style>
  <w:style w:type="paragraph" w:styleId="20">
    <w:name w:val="annotation subject"/>
    <w:basedOn w:val="7"/>
    <w:next w:val="7"/>
    <w:link w:val="32"/>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26E5"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character" w:customStyle="1" w:styleId="28">
    <w:name w:val="标题 2 字符"/>
    <w:link w:val="3"/>
    <w:qFormat/>
    <w:uiPriority w:val="0"/>
    <w:rPr>
      <w:rFonts w:ascii="黑体" w:hAnsi="黑体" w:eastAsia="方正小标宋简体" w:cs="方正小标宋简体"/>
    </w:rPr>
  </w:style>
  <w:style w:type="paragraph" w:customStyle="1" w:styleId="29">
    <w:name w:val="_Style 17"/>
    <w:basedOn w:val="1"/>
    <w:next w:val="30"/>
    <w:qFormat/>
    <w:uiPriority w:val="34"/>
    <w:pPr>
      <w:ind w:firstLine="420"/>
    </w:pPr>
    <w:rPr>
      <w:szCs w:val="22"/>
    </w:rPr>
  </w:style>
  <w:style w:type="paragraph" w:styleId="30">
    <w:name w:val="List Paragraph"/>
    <w:basedOn w:val="1"/>
    <w:qFormat/>
    <w:uiPriority w:val="1"/>
    <w:pPr>
      <w:ind w:firstLine="420"/>
    </w:pPr>
    <w:rPr>
      <w:szCs w:val="22"/>
    </w:rPr>
  </w:style>
  <w:style w:type="character" w:customStyle="1" w:styleId="31">
    <w:name w:val="批注文字 字符"/>
    <w:basedOn w:val="23"/>
    <w:link w:val="7"/>
    <w:qFormat/>
    <w:uiPriority w:val="0"/>
    <w:rPr>
      <w:rFonts w:ascii="Times New Roman" w:hAnsi="Times New Roman" w:eastAsia="宋体" w:cs="Times New Roman"/>
      <w:kern w:val="2"/>
      <w:sz w:val="21"/>
      <w:szCs w:val="24"/>
    </w:rPr>
  </w:style>
  <w:style w:type="character" w:customStyle="1" w:styleId="32">
    <w:name w:val="批注主题 字符"/>
    <w:basedOn w:val="31"/>
    <w:link w:val="20"/>
    <w:qFormat/>
    <w:uiPriority w:val="0"/>
    <w:rPr>
      <w:rFonts w:ascii="Times New Roman" w:hAnsi="Times New Roman" w:eastAsia="宋体" w:cs="Times New Roman"/>
      <w:b/>
      <w:bCs/>
      <w:kern w:val="2"/>
      <w:sz w:val="21"/>
      <w:szCs w:val="24"/>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36">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批注框文本 字符"/>
    <w:basedOn w:val="23"/>
    <w:link w:val="11"/>
    <w:qFormat/>
    <w:uiPriority w:val="0"/>
    <w:rPr>
      <w:rFonts w:ascii="Times New Roman" w:hAnsi="Times New Roman" w:eastAsia="宋体" w:cs="Times New Roman"/>
      <w:kern w:val="2"/>
      <w:sz w:val="18"/>
      <w:szCs w:val="18"/>
    </w:rPr>
  </w:style>
  <w:style w:type="paragraph" w:customStyle="1" w:styleId="3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3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Pa4"/>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1">
    <w:name w:val="A8"/>
    <w:qFormat/>
    <w:uiPriority w:val="99"/>
    <w:rPr>
      <w:rFonts w:cs="Source Han Serif CN"/>
      <w:color w:val="211D1E"/>
      <w:sz w:val="18"/>
      <w:szCs w:val="18"/>
    </w:rPr>
  </w:style>
  <w:style w:type="character" w:customStyle="1" w:styleId="42">
    <w:name w:val="脚注文本 字符"/>
    <w:basedOn w:val="23"/>
    <w:link w:val="16"/>
    <w:qFormat/>
    <w:uiPriority w:val="0"/>
    <w:rPr>
      <w:kern w:val="2"/>
      <w:sz w:val="18"/>
      <w:szCs w:val="18"/>
    </w:rPr>
  </w:style>
  <w:style w:type="character" w:customStyle="1" w:styleId="43">
    <w:name w:val="未处理的提及1"/>
    <w:basedOn w:val="23"/>
    <w:semiHidden/>
    <w:unhideWhenUsed/>
    <w:qFormat/>
    <w:uiPriority w:val="99"/>
    <w:rPr>
      <w:color w:val="605E5C"/>
      <w:shd w:val="clear" w:color="auto" w:fill="E1DFDD"/>
    </w:rPr>
  </w:style>
  <w:style w:type="paragraph" w:customStyle="1" w:styleId="44">
    <w:name w:val="Pa21"/>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5">
    <w:name w:val="A11"/>
    <w:qFormat/>
    <w:uiPriority w:val="99"/>
    <w:rPr>
      <w:rFonts w:cs="Source Han Serif CN"/>
      <w:color w:val="211D1E"/>
      <w:sz w:val="10"/>
      <w:szCs w:val="10"/>
    </w:rPr>
  </w:style>
  <w:style w:type="paragraph" w:customStyle="1" w:styleId="46">
    <w:name w:val="Pa0"/>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7">
    <w:name w:val="标题 3 字符"/>
    <w:basedOn w:val="23"/>
    <w:link w:val="4"/>
    <w:semiHidden/>
    <w:qFormat/>
    <w:uiPriority w:val="0"/>
    <w:rPr>
      <w:rFonts w:ascii="黑体" w:hAnsi="黑体" w:eastAsia="黑体"/>
      <w:bCs/>
      <w:kern w:val="2"/>
      <w:sz w:val="32"/>
      <w:szCs w:val="32"/>
    </w:rPr>
  </w:style>
  <w:style w:type="paragraph" w:customStyle="1" w:styleId="4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lang w:val="en-US"/>
    </w:rPr>
  </w:style>
  <w:style w:type="paragraph" w:customStyle="1" w:styleId="49">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15"/>
    <w:basedOn w:val="23"/>
    <w:qFormat/>
    <w:uiPriority w:val="0"/>
    <w:rPr>
      <w:rFonts w:hint="default" w:ascii="Times New Roman" w:hAnsi="Times New Roman" w:cs="Source Han Serif CN"/>
      <w:color w:val="211D1E"/>
      <w:sz w:val="18"/>
      <w:szCs w:val="18"/>
    </w:rPr>
  </w:style>
  <w:style w:type="character" w:customStyle="1" w:styleId="51">
    <w:name w:val="页脚 字符"/>
    <w:basedOn w:val="23"/>
    <w:link w:val="12"/>
    <w:qFormat/>
    <w:uiPriority w:val="99"/>
    <w:rPr>
      <w:kern w:val="2"/>
      <w:sz w:val="18"/>
      <w:szCs w:val="24"/>
    </w:rPr>
  </w:style>
  <w:style w:type="paragraph" w:customStyle="1" w:styleId="5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修订7"/>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2"/>
    <w:basedOn w:val="2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表头"/>
    <w:basedOn w:val="1"/>
    <w:next w:val="1"/>
    <w:link w:val="60"/>
    <w:qFormat/>
    <w:uiPriority w:val="0"/>
    <w:pPr>
      <w:spacing w:line="400" w:lineRule="exact"/>
      <w:ind w:firstLine="0" w:firstLineChars="0"/>
      <w:jc w:val="center"/>
    </w:pPr>
    <w:rPr>
      <w:rFonts w:hint="eastAsia"/>
      <w:sz w:val="28"/>
    </w:rPr>
  </w:style>
  <w:style w:type="paragraph" w:customStyle="1" w:styleId="58">
    <w:name w:val="表格"/>
    <w:basedOn w:val="1"/>
    <w:next w:val="1"/>
    <w:qFormat/>
    <w:uiPriority w:val="0"/>
    <w:pPr>
      <w:spacing w:line="400" w:lineRule="exact"/>
      <w:ind w:firstLine="0" w:firstLineChars="0"/>
    </w:pPr>
    <w:rPr>
      <w:rFonts w:cs="仿宋"/>
      <w:sz w:val="24"/>
    </w:rPr>
  </w:style>
  <w:style w:type="table" w:customStyle="1" w:styleId="59">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character" w:customStyle="1" w:styleId="60">
    <w:name w:val="表头 Char"/>
    <w:link w:val="57"/>
    <w:qFormat/>
    <w:uiPriority w:val="0"/>
    <w:rPr>
      <w:rFonts w:hint="eastAsia"/>
      <w:sz w:val="28"/>
    </w:rPr>
  </w:style>
  <w:style w:type="character" w:customStyle="1" w:styleId="61">
    <w:name w:val="标题 4 字符"/>
    <w:link w:val="5"/>
    <w:qFormat/>
    <w:uiPriority w:val="0"/>
    <w:rPr>
      <w:rFonts w:ascii="楷体" w:hAnsi="楷体" w:eastAsia="楷体" w:cs="楷体"/>
      <w:szCs w:val="32"/>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3">
    <w:name w:val="样式3"/>
    <w:basedOn w:val="23"/>
    <w:qFormat/>
    <w:uiPriority w:val="1"/>
    <w:rPr>
      <w:rFonts w:eastAsia="宋体"/>
      <w:b/>
      <w:color w:val="FF0000"/>
      <w:sz w:val="21"/>
    </w:rPr>
  </w:style>
  <w:style w:type="table" w:customStyle="1" w:styleId="64">
    <w:name w:val="网格型4"/>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DFDA-79C2-44B3-BC1C-6C2BAFAD132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5850</Words>
  <Characters>33348</Characters>
  <Lines>277</Lines>
  <Paragraphs>78</Paragraphs>
  <TotalTime>10</TotalTime>
  <ScaleCrop>false</ScaleCrop>
  <LinksUpToDate>false</LinksUpToDate>
  <CharactersWithSpaces>39120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2024-10-29T02:01:00Z</dcterms:created>
  <dc:creator>shuga</dc:creator>
  <cp:lastModifiedBy>周星运</cp:lastModifiedBy>
  <cp:lastPrinted>2024-09-30T00:54:00Z</cp:lastPrinted>
  <dcterms:modified xsi:type="dcterms:W3CDTF">2025-01-17T11:14:19Z</dcterms:modified>
  <cp:revision>858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3E8058FB196E431696CF2E5CCB464B3A</vt:lpwstr>
  </property>
</Properties>
</file>