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37" w:lineRule="auto"/>
        <w:rPr>
          <w:rFonts w:ascii="黑体" w:hAnsi="黑体" w:eastAsia="黑体" w:cs="宋体"/>
          <w:sz w:val="32"/>
          <w:szCs w:val="32"/>
        </w:rPr>
      </w:pPr>
      <w:bookmarkStart w:id="0" w:name="_GoBack"/>
      <w:bookmarkEnd w:id="0"/>
      <w:r>
        <w:rPr>
          <w:rFonts w:hint="eastAsia" w:ascii="黑体" w:hAnsi="黑体" w:eastAsia="黑体" w:cs="宋体"/>
          <w:sz w:val="32"/>
          <w:szCs w:val="32"/>
        </w:rPr>
        <w:t>附件2</w:t>
      </w:r>
    </w:p>
    <w:p>
      <w:pPr>
        <w:adjustRightInd w:val="0"/>
        <w:spacing w:line="237" w:lineRule="auto"/>
        <w:jc w:val="center"/>
        <w:rPr>
          <w:rFonts w:ascii="宋体" w:hAnsi="宋体" w:cs="宋体"/>
          <w:szCs w:val="21"/>
        </w:rPr>
      </w:pPr>
    </w:p>
    <w:p>
      <w:pPr>
        <w:adjustRightInd w:val="0"/>
        <w:spacing w:line="237" w:lineRule="auto"/>
        <w:jc w:val="center"/>
        <w:rPr>
          <w:rFonts w:ascii="宋体" w:hAnsi="宋体" w:cs="宋体"/>
          <w:szCs w:val="21"/>
        </w:rPr>
      </w:pPr>
    </w:p>
    <w:p>
      <w:pPr>
        <w:adjustRightInd w:val="0"/>
        <w:spacing w:line="237" w:lineRule="auto"/>
        <w:jc w:val="center"/>
        <w:rPr>
          <w:rFonts w:ascii="宋体" w:hAnsi="宋体" w:cs="宋体"/>
          <w:szCs w:val="21"/>
        </w:rPr>
      </w:pPr>
    </w:p>
    <w:p>
      <w:pPr>
        <w:spacing w:line="560" w:lineRule="exact"/>
        <w:jc w:val="center"/>
        <w:rPr>
          <w:rFonts w:ascii="方正小标宋简体" w:hAnsi="宋体" w:eastAsia="方正小标宋简体" w:cs="宋体"/>
          <w:color w:val="000000"/>
          <w:sz w:val="44"/>
          <w:szCs w:val="22"/>
        </w:rPr>
      </w:pPr>
      <w:r>
        <w:rPr>
          <w:rFonts w:hint="eastAsia" w:ascii="方正小标宋简体" w:hAnsi="宋体" w:eastAsia="方正小标宋简体" w:cs="宋体"/>
          <w:color w:val="000000"/>
          <w:sz w:val="44"/>
          <w:szCs w:val="22"/>
        </w:rPr>
        <w:t>《深圳证券交易所 中国证券登记结算</w:t>
      </w:r>
      <w:r>
        <w:rPr>
          <w:rFonts w:ascii="方正小标宋简体" w:hAnsi="宋体" w:eastAsia="方正小标宋简体" w:cs="宋体"/>
          <w:color w:val="000000"/>
          <w:sz w:val="44"/>
          <w:szCs w:val="22"/>
        </w:rPr>
        <w:br w:type="textWrapping"/>
      </w:r>
      <w:r>
        <w:rPr>
          <w:rFonts w:hint="eastAsia" w:ascii="方正小标宋简体" w:hAnsi="宋体" w:eastAsia="方正小标宋简体" w:cs="宋体"/>
          <w:color w:val="000000"/>
          <w:sz w:val="44"/>
          <w:szCs w:val="22"/>
        </w:rPr>
        <w:t>有限责任公司B转H业务实施细则》</w:t>
      </w:r>
    </w:p>
    <w:p>
      <w:pPr>
        <w:spacing w:line="560" w:lineRule="exact"/>
        <w:jc w:val="center"/>
        <w:rPr>
          <w:rFonts w:ascii="方正小标宋简体" w:hAnsi="宋体" w:eastAsia="方正小标宋简体" w:cs="宋体"/>
          <w:color w:val="000000"/>
          <w:sz w:val="44"/>
          <w:szCs w:val="22"/>
        </w:rPr>
      </w:pPr>
      <w:r>
        <w:rPr>
          <w:rFonts w:hint="eastAsia" w:ascii="方正小标宋简体" w:hAnsi="宋体" w:eastAsia="方正小标宋简体" w:cs="宋体"/>
          <w:color w:val="000000"/>
          <w:sz w:val="44"/>
          <w:szCs w:val="22"/>
        </w:rPr>
        <w:t>起草说明</w:t>
      </w:r>
    </w:p>
    <w:p>
      <w:pPr>
        <w:adjustRightInd w:val="0"/>
        <w:spacing w:line="237" w:lineRule="auto"/>
        <w:jc w:val="center"/>
        <w:rPr>
          <w:rFonts w:ascii="宋体" w:hAnsi="宋体" w:cs="宋体"/>
          <w:szCs w:val="21"/>
        </w:rPr>
      </w:pPr>
    </w:p>
    <w:p>
      <w:pPr>
        <w:adjustRightInd w:val="0"/>
        <w:spacing w:line="237" w:lineRule="auto"/>
        <w:jc w:val="center"/>
        <w:rPr>
          <w:rFonts w:ascii="宋体" w:hAnsi="宋体" w:cs="宋体"/>
          <w:szCs w:val="21"/>
        </w:rPr>
      </w:pPr>
    </w:p>
    <w:p>
      <w:pPr>
        <w:adjustRightInd w:val="0"/>
        <w:spacing w:line="237" w:lineRule="auto"/>
        <w:jc w:val="center"/>
        <w:rPr>
          <w:rFonts w:ascii="宋体" w:hAnsi="宋体" w:cs="宋体"/>
          <w:szCs w:val="21"/>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为了完善深圳市场境内上市外资股转为境外上市外资股并在香港联合交易所有限公司（以下简称联交所）上市交易（以下简称B转H）业务配套规则，优化相应技术系统建设，更好保障业务平稳运行，</w:t>
      </w:r>
      <w:r>
        <w:rPr>
          <w:rFonts w:ascii="仿宋" w:hAnsi="仿宋" w:eastAsia="仿宋"/>
          <w:sz w:val="32"/>
          <w:szCs w:val="32"/>
        </w:rPr>
        <w:t>根据《中华人民共和国证券法》《证券登记结算管理办法》等法律、行政法规、部门规章、规范性文件，</w:t>
      </w:r>
      <w:r>
        <w:rPr>
          <w:rFonts w:hint="eastAsia" w:ascii="仿宋" w:hAnsi="仿宋" w:eastAsia="仿宋"/>
          <w:sz w:val="32"/>
          <w:szCs w:val="32"/>
        </w:rPr>
        <w:t>深圳证券交易所（以下简称深交所）会同中国证券登记结算有限责任公司（以下简称中国结算）在总结深市B转H业务实践经验的基础上</w:t>
      </w:r>
      <w:r>
        <w:rPr>
          <w:rFonts w:ascii="仿宋" w:hAnsi="仿宋" w:eastAsia="仿宋"/>
          <w:sz w:val="32"/>
          <w:szCs w:val="32"/>
        </w:rPr>
        <w:t>起草了《</w:t>
      </w:r>
      <w:r>
        <w:rPr>
          <w:rFonts w:hint="eastAsia" w:ascii="仿宋" w:hAnsi="仿宋" w:eastAsia="仿宋"/>
          <w:sz w:val="32"/>
          <w:szCs w:val="32"/>
        </w:rPr>
        <w:t>深圳</w:t>
      </w:r>
      <w:r>
        <w:rPr>
          <w:rFonts w:ascii="仿宋" w:hAnsi="仿宋" w:eastAsia="仿宋"/>
          <w:sz w:val="32"/>
          <w:szCs w:val="32"/>
        </w:rPr>
        <w:t>证券交易所</w:t>
      </w:r>
      <w:r>
        <w:rPr>
          <w:rFonts w:hint="eastAsia" w:ascii="仿宋" w:hAnsi="仿宋" w:eastAsia="仿宋"/>
          <w:sz w:val="32"/>
          <w:szCs w:val="32"/>
        </w:rPr>
        <w:t xml:space="preserve"> </w:t>
      </w:r>
      <w:r>
        <w:rPr>
          <w:rFonts w:ascii="仿宋" w:hAnsi="仿宋" w:eastAsia="仿宋"/>
          <w:sz w:val="32"/>
          <w:szCs w:val="32"/>
        </w:rPr>
        <w:t>中国证券登记结算有限责任公司B转H业务</w:t>
      </w:r>
      <w:r>
        <w:rPr>
          <w:rFonts w:hint="eastAsia" w:ascii="仿宋" w:hAnsi="仿宋" w:eastAsia="仿宋"/>
          <w:sz w:val="32"/>
          <w:szCs w:val="32"/>
        </w:rPr>
        <w:t>实施</w:t>
      </w:r>
      <w:r>
        <w:rPr>
          <w:rFonts w:ascii="仿宋" w:hAnsi="仿宋" w:eastAsia="仿宋"/>
          <w:sz w:val="32"/>
          <w:szCs w:val="32"/>
        </w:rPr>
        <w:t>细则》（以下简称《细则》）。现就相关情况说明如下</w:t>
      </w:r>
      <w:r>
        <w:rPr>
          <w:rFonts w:hint="eastAsia" w:ascii="仿宋" w:hAnsi="仿宋" w:eastAsia="仿宋"/>
          <w:sz w:val="32"/>
          <w:szCs w:val="32"/>
        </w:rPr>
        <w:t>：</w:t>
      </w:r>
    </w:p>
    <w:p>
      <w:pPr>
        <w:spacing w:line="560" w:lineRule="exact"/>
        <w:ind w:firstLine="640" w:firstLineChars="200"/>
        <w:outlineLvl w:val="9"/>
        <w:rPr>
          <w:rFonts w:ascii="黑体" w:hAnsi="黑体" w:eastAsia="黑体" w:cs="黑体"/>
          <w:bCs/>
          <w:sz w:val="32"/>
          <w:szCs w:val="32"/>
        </w:rPr>
      </w:pPr>
      <w:r>
        <w:rPr>
          <w:rFonts w:hint="eastAsia" w:ascii="黑体" w:hAnsi="黑体" w:eastAsia="黑体" w:cs="黑体"/>
          <w:bCs/>
          <w:sz w:val="32"/>
          <w:szCs w:val="32"/>
        </w:rPr>
        <w:t>一、起草思路</w:t>
      </w:r>
    </w:p>
    <w:p>
      <w:pPr>
        <w:spacing w:line="560" w:lineRule="exact"/>
        <w:ind w:firstLine="640" w:firstLineChars="200"/>
        <w:outlineLvl w:val="9"/>
        <w:rPr>
          <w:rFonts w:ascii="仿宋" w:hAnsi="仿宋" w:eastAsia="仿宋"/>
          <w:sz w:val="32"/>
          <w:szCs w:val="32"/>
        </w:rPr>
      </w:pPr>
      <w:r>
        <w:rPr>
          <w:rFonts w:hint="eastAsia" w:ascii="仿宋" w:hAnsi="仿宋" w:eastAsia="仿宋"/>
          <w:sz w:val="32"/>
          <w:szCs w:val="32"/>
        </w:rPr>
        <w:t>在深交所和中国结算的共同参与下，深市建立了成熟的B转H业务技术系统和交易路径，3家公司已实施完成B转H业务，其中2家由中国结算承担托管人职责。2013年10月，中国结算发布《中国证券登记结算有限责任公司深圳分公司B转H境内业务指南》和《中国证券登记结算有限责任公司深圳分公司B转H境内业务投资者操作指南》，指导深市上市公司实施B转H业务。为进一步完善交易前端监控机制，优化业务实施流程，明确会员管理职责，深交所联合中国结算在现行业务指南基础上制定发布《细则》，以更好规范中国结算托管模式下的B转H业务。</w:t>
      </w:r>
    </w:p>
    <w:p>
      <w:pPr>
        <w:tabs>
          <w:tab w:val="left" w:pos="5341"/>
        </w:tabs>
        <w:spacing w:line="560" w:lineRule="exact"/>
        <w:ind w:firstLine="566" w:firstLineChars="177"/>
        <w:rPr>
          <w:rFonts w:ascii="黑体" w:hAnsi="黑体" w:eastAsia="黑体" w:cs="黑体"/>
          <w:bCs/>
          <w:sz w:val="32"/>
          <w:szCs w:val="32"/>
        </w:rPr>
      </w:pPr>
      <w:r>
        <w:rPr>
          <w:rFonts w:hint="eastAsia" w:ascii="黑体" w:hAnsi="黑体" w:eastAsia="黑体" w:cs="黑体"/>
          <w:bCs/>
          <w:sz w:val="32"/>
          <w:szCs w:val="32"/>
        </w:rPr>
        <w:t>二、主要内容</w:t>
      </w:r>
      <w:r>
        <w:rPr>
          <w:rFonts w:ascii="黑体" w:hAnsi="黑体" w:eastAsia="黑体" w:cs="黑体"/>
          <w:bCs/>
          <w:sz w:val="32"/>
          <w:szCs w:val="32"/>
        </w:rPr>
        <w:tab/>
      </w:r>
    </w:p>
    <w:p>
      <w:pPr>
        <w:spacing w:line="560" w:lineRule="exact"/>
        <w:ind w:firstLine="566" w:firstLineChars="177"/>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细则</w:t>
      </w:r>
      <w:r>
        <w:rPr>
          <w:rFonts w:hint="eastAsia" w:ascii="仿宋" w:hAnsi="仿宋" w:eastAsia="仿宋"/>
          <w:sz w:val="32"/>
          <w:szCs w:val="32"/>
        </w:rPr>
        <w:t>》</w:t>
      </w:r>
      <w:r>
        <w:rPr>
          <w:rFonts w:ascii="仿宋" w:hAnsi="仿宋" w:eastAsia="仿宋"/>
          <w:sz w:val="32"/>
          <w:szCs w:val="32"/>
        </w:rPr>
        <w:t>共九章</w:t>
      </w:r>
      <w:r>
        <w:rPr>
          <w:rFonts w:hint="eastAsia" w:ascii="仿宋" w:hAnsi="仿宋" w:eastAsia="仿宋"/>
          <w:sz w:val="32"/>
          <w:szCs w:val="32"/>
        </w:rPr>
        <w:t>四十九</w:t>
      </w:r>
      <w:r>
        <w:rPr>
          <w:rFonts w:ascii="仿宋" w:hAnsi="仿宋" w:eastAsia="仿宋"/>
          <w:sz w:val="32"/>
          <w:szCs w:val="32"/>
        </w:rPr>
        <w:t>条，主要包括制定依据、跨境转登记基本原则、股份存管和明细维护的流程安排、交易委托关系和指令传递、清算交收的步骤和集中履约保障、</w:t>
      </w:r>
      <w:r>
        <w:rPr>
          <w:rFonts w:hint="eastAsia" w:ascii="仿宋" w:hAnsi="仿宋" w:eastAsia="仿宋"/>
          <w:sz w:val="32"/>
          <w:szCs w:val="32"/>
        </w:rPr>
        <w:t>公司行为服务</w:t>
      </w:r>
      <w:r>
        <w:rPr>
          <w:rFonts w:ascii="仿宋" w:hAnsi="仿宋" w:eastAsia="仿宋"/>
          <w:sz w:val="32"/>
          <w:szCs w:val="32"/>
        </w:rPr>
        <w:t>的范围和方式、前端监控和结算风险管理及措施等内容，并</w:t>
      </w:r>
      <w:r>
        <w:rPr>
          <w:rFonts w:hint="eastAsia" w:ascii="仿宋" w:hAnsi="仿宋" w:eastAsia="仿宋"/>
          <w:sz w:val="32"/>
          <w:szCs w:val="32"/>
        </w:rPr>
        <w:t>对突发性</w:t>
      </w:r>
      <w:r>
        <w:rPr>
          <w:rFonts w:ascii="仿宋" w:hAnsi="仿宋" w:eastAsia="仿宋"/>
          <w:sz w:val="32"/>
          <w:szCs w:val="32"/>
        </w:rPr>
        <w:t>事件的处理进行了原则性的规定。</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（一）关于B转H交易路径</w:t>
      </w:r>
    </w:p>
    <w:p>
      <w:pPr>
        <w:spacing w:line="560" w:lineRule="exact"/>
        <w:ind w:firstLine="640" w:firstLineChars="200"/>
        <w:rPr>
          <w:rFonts w:ascii="仿宋" w:hAnsi="仿宋" w:eastAsia="仿宋"/>
          <w:spacing w:val="-6"/>
          <w:sz w:val="32"/>
          <w:szCs w:val="32"/>
        </w:rPr>
      </w:pPr>
      <w:r>
        <w:rPr>
          <w:rFonts w:hint="eastAsia" w:ascii="仿宋" w:hAnsi="仿宋" w:eastAsia="仿宋"/>
          <w:bCs/>
          <w:sz w:val="32"/>
          <w:szCs w:val="32"/>
        </w:rPr>
        <w:t>上市公司根据股东大会方案，选择一家香港证券公司作为在联交所卖出股份的经纪商。</w:t>
      </w:r>
      <w:r>
        <w:rPr>
          <w:rFonts w:hint="eastAsia" w:ascii="仿宋" w:hAnsi="仿宋" w:eastAsia="仿宋"/>
          <w:sz w:val="32"/>
          <w:szCs w:val="32"/>
        </w:rPr>
        <w:t>投</w:t>
      </w:r>
      <w:r>
        <w:rPr>
          <w:rFonts w:ascii="仿宋" w:hAnsi="仿宋" w:eastAsia="仿宋"/>
          <w:sz w:val="32"/>
          <w:szCs w:val="32"/>
        </w:rPr>
        <w:t>资者持有的H股存管</w:t>
      </w:r>
      <w:r>
        <w:rPr>
          <w:rFonts w:hint="eastAsia" w:ascii="仿宋" w:hAnsi="仿宋" w:eastAsia="仿宋"/>
          <w:sz w:val="32"/>
          <w:szCs w:val="32"/>
        </w:rPr>
        <w:t>于</w:t>
      </w:r>
      <w:r>
        <w:rPr>
          <w:rFonts w:ascii="仿宋" w:hAnsi="仿宋" w:eastAsia="仿宋"/>
          <w:sz w:val="32"/>
          <w:szCs w:val="32"/>
        </w:rPr>
        <w:t>中国结算</w:t>
      </w:r>
      <w:r>
        <w:rPr>
          <w:rFonts w:hint="eastAsia" w:ascii="仿宋" w:hAnsi="仿宋" w:eastAsia="仿宋"/>
          <w:sz w:val="32"/>
          <w:szCs w:val="32"/>
        </w:rPr>
        <w:t>在香港中央结算有限公司（以下简称</w:t>
      </w:r>
      <w:r>
        <w:rPr>
          <w:rFonts w:ascii="仿宋" w:hAnsi="仿宋" w:eastAsia="仿宋"/>
          <w:sz w:val="32"/>
          <w:szCs w:val="32"/>
        </w:rPr>
        <w:t>香港结算</w:t>
      </w:r>
      <w:r>
        <w:rPr>
          <w:rFonts w:hint="eastAsia" w:ascii="仿宋" w:hAnsi="仿宋" w:eastAsia="仿宋"/>
          <w:sz w:val="32"/>
          <w:szCs w:val="32"/>
        </w:rPr>
        <w:t>）开立的证券</w:t>
      </w:r>
      <w:r>
        <w:rPr>
          <w:rFonts w:ascii="仿宋" w:hAnsi="仿宋" w:eastAsia="仿宋"/>
          <w:sz w:val="32"/>
          <w:szCs w:val="32"/>
        </w:rPr>
        <w:t>账户中</w:t>
      </w:r>
      <w:r>
        <w:rPr>
          <w:rFonts w:ascii="仿宋" w:hAnsi="仿宋" w:eastAsia="仿宋"/>
          <w:kern w:val="0"/>
          <w:sz w:val="32"/>
          <w:szCs w:val="32"/>
        </w:rPr>
        <w:t>，</w:t>
      </w:r>
      <w:r>
        <w:rPr>
          <w:rFonts w:hint="eastAsia" w:ascii="仿宋" w:hAnsi="仿宋" w:eastAsia="仿宋"/>
          <w:kern w:val="0"/>
          <w:sz w:val="32"/>
          <w:szCs w:val="32"/>
        </w:rPr>
        <w:t>并</w:t>
      </w:r>
      <w:r>
        <w:rPr>
          <w:rFonts w:ascii="仿宋" w:hAnsi="仿宋" w:eastAsia="仿宋"/>
          <w:kern w:val="0"/>
          <w:sz w:val="32"/>
          <w:szCs w:val="32"/>
        </w:rPr>
        <w:t>以香港</w:t>
      </w:r>
      <w:r>
        <w:rPr>
          <w:rFonts w:hint="eastAsia" w:ascii="仿宋" w:hAnsi="仿宋" w:eastAsia="仿宋"/>
          <w:kern w:val="0"/>
          <w:sz w:val="32"/>
          <w:szCs w:val="32"/>
        </w:rPr>
        <w:t>中央</w:t>
      </w:r>
      <w:r>
        <w:rPr>
          <w:rFonts w:ascii="仿宋" w:hAnsi="仿宋" w:eastAsia="仿宋"/>
          <w:kern w:val="0"/>
          <w:sz w:val="32"/>
          <w:szCs w:val="32"/>
        </w:rPr>
        <w:t>结算</w:t>
      </w:r>
      <w:r>
        <w:rPr>
          <w:rFonts w:hint="eastAsia" w:ascii="仿宋" w:hAnsi="仿宋" w:eastAsia="仿宋"/>
          <w:kern w:val="0"/>
          <w:sz w:val="32"/>
          <w:szCs w:val="32"/>
        </w:rPr>
        <w:t>（代理人）有限公司</w:t>
      </w:r>
      <w:r>
        <w:rPr>
          <w:rFonts w:ascii="仿宋" w:hAnsi="仿宋" w:eastAsia="仿宋"/>
          <w:kern w:val="0"/>
          <w:sz w:val="32"/>
          <w:szCs w:val="32"/>
        </w:rPr>
        <w:t>的名义登记于发行人的股东名册。</w:t>
      </w:r>
      <w:r>
        <w:rPr>
          <w:rFonts w:ascii="仿宋" w:hAnsi="仿宋" w:eastAsia="仿宋"/>
          <w:sz w:val="32"/>
          <w:szCs w:val="32"/>
        </w:rPr>
        <w:t>投资者通过境内券商</w:t>
      </w:r>
      <w:r>
        <w:rPr>
          <w:rFonts w:ascii="仿宋" w:hAnsi="仿宋" w:eastAsia="仿宋"/>
          <w:spacing w:val="-6"/>
          <w:sz w:val="32"/>
          <w:szCs w:val="32"/>
        </w:rPr>
        <w:t>提交H股的卖出交易委托指令，经</w:t>
      </w:r>
      <w:r>
        <w:rPr>
          <w:rFonts w:hint="eastAsia" w:ascii="仿宋" w:hAnsi="仿宋" w:eastAsia="仿宋"/>
          <w:spacing w:val="-6"/>
          <w:sz w:val="32"/>
          <w:szCs w:val="32"/>
        </w:rPr>
        <w:t>深圳证券通信有限公司（以下简称深证通）提供的订单路由</w:t>
      </w:r>
      <w:r>
        <w:rPr>
          <w:rFonts w:ascii="仿宋" w:hAnsi="仿宋" w:eastAsia="仿宋"/>
          <w:spacing w:val="-6"/>
          <w:sz w:val="32"/>
          <w:szCs w:val="32"/>
        </w:rPr>
        <w:t>，由上市公司选</w:t>
      </w:r>
      <w:r>
        <w:rPr>
          <w:rFonts w:hint="eastAsia" w:ascii="仿宋" w:hAnsi="仿宋" w:eastAsia="仿宋"/>
          <w:spacing w:val="-6"/>
          <w:sz w:val="32"/>
          <w:szCs w:val="32"/>
        </w:rPr>
        <w:t>择</w:t>
      </w:r>
      <w:r>
        <w:rPr>
          <w:rFonts w:ascii="仿宋" w:hAnsi="仿宋" w:eastAsia="仿宋"/>
          <w:spacing w:val="-6"/>
          <w:sz w:val="32"/>
          <w:szCs w:val="32"/>
        </w:rPr>
        <w:t>的香港证券公司报送至联交所进行交易。</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（二）关于跨境转登记</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上市公司先完成深市B股终止上市及B股退出登记，再到香港市场进行股份登记。对于B股退出登记前被质押、冻结的股份，B转H后经上市公司申报质押、冻结仍有效的，原办理主体应当做好数据维护。</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（三）存管和持有明细维护</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投资者持有的H股存管于中国结算在香港结算开立的证券账户，中国结算记录并维护投资者持有H股股份明细。境外投资者可通过托管其股份的证券公司或负责其结算的托管银行向中国结算申请，将所持股份跨境转托管至香港的证券公司或托管银行。投资者所持H股非交易过户、质押登记、协助执法等业务参照中国结算相关业务规则办理。</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（四）交易委托与指令传递</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投资者通过境内证券公司提交交易委托指令，经由深证通传递至香港证券公司。香港证券公司按照联交所规则在香港市场进行证券交易。深证通仅在深交所和联交所的共同交易时间提供交易委托指令传递等服务。投资者和境内证券公司在进行交易委托时均应当确认有足额可用的证券。</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（五）清算交收</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中国结算根据香港证券公司经由深证通发至境内的成交明细数据进行资金清算。H股交易日后第一个联交所交收日，中国结算与香港证券公司通过香港结算系统进行预对盘；H股交易日后第二个联交所交收日，中国结算与香港证券公司以实时货银对付方式完成证券和资金交收。中国结算根据清算结果于H股交易日后的第二个联交所交收日完成与境内结算参与人的证券和资金交收，遇境内假期则顺延至假期后首个H股交收日。</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（六）公司行为服务</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中国结算通过境内结算参与人为投资者提供公司行为服务，具体服务包括现金红利派发、送转股和投票业务。中国结算从香港结算收到权益证券后直接派发至相关证券账户，收到权益资金派发至境内结算参与人结算备付金账户，由境内结算参与人派发给投资者。中国结算办理投票业务，汇总申报期内投资者投票意愿后，向香港结算提交，投资者也可以选择现场投票。</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（七）风险管理</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在境内交易的投资者不可卖空，境内证券公司和香港证券公司分别进行确认证券足额和总额控制。因证券公司前端检查监控失败出现投资者卖空的，香港证券公司进行补购，价差与罚息等由责任方承担。香港证券公司应当按照约定向中国结算缴纳担保资金和结算保证金，结算保证金由中国结算在香港证券公司发生交收违约时，用于弥补交收违约损失。</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（八）结算参与机构和结算银行管理</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结算参与人在办理证券和资金清算交收等业务过程中违反《细则》规定的，中国结算可参照结算参与人管理相关规定对其采取相应措施。B转H业务的结算银行应当是已为中国结算提供外币结算服务的结算银行。</w:t>
      </w:r>
    </w:p>
    <w:p>
      <w:pPr>
        <w:spacing w:line="560" w:lineRule="exact"/>
        <w:ind w:firstLine="566" w:firstLineChars="177"/>
        <w:rPr>
          <w:rFonts w:ascii="楷体" w:hAnsi="楷体" w:eastAsia="楷体"/>
          <w:sz w:val="32"/>
          <w:szCs w:val="32"/>
        </w:rPr>
      </w:pPr>
      <w:r>
        <w:rPr>
          <w:rFonts w:hint="eastAsia" w:ascii="楷体" w:hAnsi="楷体" w:eastAsia="楷体"/>
          <w:sz w:val="32"/>
          <w:szCs w:val="32"/>
        </w:rPr>
        <w:t>（九）应急处理和境内证券公司监管</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因突发性事件导致或者可能导致交易不能正常进行的，深交所可以决定暂停部分或者全部交易，并通知中国结算暂缓相应交收业务，向市场公告并向中国证监会报告。深交所对于境内证券公司在发送股份委托指令和接收成交回报过程中，以及对投资者持仓前端检查监控过程中违反《细则》的，可以参照会员管理相关规定采取相应自律监管措施。</w:t>
      </w:r>
    </w:p>
    <w:p>
      <w:pPr>
        <w:spacing w:line="560" w:lineRule="exact"/>
        <w:ind w:firstLine="566" w:firstLineChars="177"/>
        <w:rPr>
          <w:rFonts w:ascii="黑体" w:hAnsi="黑体" w:eastAsia="黑体"/>
          <w:sz w:val="32"/>
          <w:szCs w:val="32"/>
        </w:rPr>
      </w:pPr>
      <w:r>
        <w:rPr>
          <w:rFonts w:hint="eastAsia" w:ascii="黑体" w:hAnsi="黑体" w:eastAsia="黑体"/>
          <w:sz w:val="32"/>
          <w:szCs w:val="32"/>
        </w:rPr>
        <w:t>三、征求意见及采纳情况</w:t>
      </w:r>
    </w:p>
    <w:p>
      <w:pPr>
        <w:spacing w:line="560" w:lineRule="exact"/>
        <w:ind w:firstLine="566" w:firstLineChars="177"/>
        <w:rPr>
          <w:rFonts w:ascii="仿宋" w:hAnsi="仿宋" w:eastAsia="仿宋"/>
          <w:sz w:val="32"/>
          <w:szCs w:val="32"/>
        </w:rPr>
      </w:pPr>
      <w:r>
        <w:rPr>
          <w:rFonts w:hint="eastAsia" w:ascii="仿宋" w:hAnsi="仿宋" w:eastAsia="仿宋"/>
          <w:sz w:val="32"/>
          <w:szCs w:val="32"/>
        </w:rPr>
        <w:t>秉承“开门立规”原则，深交所与中国结算向深圳市场B转H上市公司和全部证券公司征求意见，共收到19条反馈，合并同类意见后共17条，其中9条属于解释说明事项。本所与中国结算对与规则制定相关的8条意见进行了认真研究，采纳了其中5条合理意见，对《细则》作出相应修订完善，其他3条意见暂未采纳，后续将视市场发展情况进一步研究考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3230F"/>
    <w:rsid w:val="00010F74"/>
    <w:rsid w:val="000115A0"/>
    <w:rsid w:val="0005640F"/>
    <w:rsid w:val="000D6E35"/>
    <w:rsid w:val="000F5202"/>
    <w:rsid w:val="00101C64"/>
    <w:rsid w:val="00104BD2"/>
    <w:rsid w:val="00137DE7"/>
    <w:rsid w:val="001B734E"/>
    <w:rsid w:val="001F0C62"/>
    <w:rsid w:val="00217FE1"/>
    <w:rsid w:val="00222DA6"/>
    <w:rsid w:val="00224098"/>
    <w:rsid w:val="0023172F"/>
    <w:rsid w:val="002343B1"/>
    <w:rsid w:val="002E1D3F"/>
    <w:rsid w:val="003A07BF"/>
    <w:rsid w:val="003B5D8D"/>
    <w:rsid w:val="00416EF8"/>
    <w:rsid w:val="00446067"/>
    <w:rsid w:val="004630CD"/>
    <w:rsid w:val="0046468F"/>
    <w:rsid w:val="004C4C95"/>
    <w:rsid w:val="004F7E9E"/>
    <w:rsid w:val="00541074"/>
    <w:rsid w:val="005668F6"/>
    <w:rsid w:val="00567253"/>
    <w:rsid w:val="00585F0F"/>
    <w:rsid w:val="005A46B4"/>
    <w:rsid w:val="005D5765"/>
    <w:rsid w:val="00626497"/>
    <w:rsid w:val="00634745"/>
    <w:rsid w:val="006375BF"/>
    <w:rsid w:val="006859BF"/>
    <w:rsid w:val="006D2E29"/>
    <w:rsid w:val="00744346"/>
    <w:rsid w:val="007972D1"/>
    <w:rsid w:val="00810D2B"/>
    <w:rsid w:val="0081493C"/>
    <w:rsid w:val="00840946"/>
    <w:rsid w:val="00857A26"/>
    <w:rsid w:val="00892C21"/>
    <w:rsid w:val="008D36B5"/>
    <w:rsid w:val="008E119C"/>
    <w:rsid w:val="008E5425"/>
    <w:rsid w:val="008F77A4"/>
    <w:rsid w:val="00935DDD"/>
    <w:rsid w:val="0098006E"/>
    <w:rsid w:val="009971DC"/>
    <w:rsid w:val="009F6263"/>
    <w:rsid w:val="00A73024"/>
    <w:rsid w:val="00AB6073"/>
    <w:rsid w:val="00AF1CF5"/>
    <w:rsid w:val="00B01B48"/>
    <w:rsid w:val="00B1563E"/>
    <w:rsid w:val="00B9321D"/>
    <w:rsid w:val="00BC04FA"/>
    <w:rsid w:val="00BD2185"/>
    <w:rsid w:val="00C35E86"/>
    <w:rsid w:val="00C446B6"/>
    <w:rsid w:val="00C65B68"/>
    <w:rsid w:val="00C67E15"/>
    <w:rsid w:val="00CA1A62"/>
    <w:rsid w:val="00CB6D6E"/>
    <w:rsid w:val="00CD7BD7"/>
    <w:rsid w:val="00D3202F"/>
    <w:rsid w:val="00D47164"/>
    <w:rsid w:val="00D6268A"/>
    <w:rsid w:val="00D73F56"/>
    <w:rsid w:val="00DB252A"/>
    <w:rsid w:val="00DC11C9"/>
    <w:rsid w:val="00DE3B1D"/>
    <w:rsid w:val="00DE3FF4"/>
    <w:rsid w:val="00E27263"/>
    <w:rsid w:val="00EB2A77"/>
    <w:rsid w:val="00EB38F4"/>
    <w:rsid w:val="00F05DBF"/>
    <w:rsid w:val="00F52242"/>
    <w:rsid w:val="00F61249"/>
    <w:rsid w:val="00FA667F"/>
    <w:rsid w:val="00FD1555"/>
    <w:rsid w:val="00FD5DA3"/>
    <w:rsid w:val="00FF66C6"/>
    <w:rsid w:val="041B7A3B"/>
    <w:rsid w:val="04A76AF2"/>
    <w:rsid w:val="0B346D85"/>
    <w:rsid w:val="0CB84EA3"/>
    <w:rsid w:val="117D2410"/>
    <w:rsid w:val="1BEC71CB"/>
    <w:rsid w:val="274F0734"/>
    <w:rsid w:val="2834011E"/>
    <w:rsid w:val="291134EF"/>
    <w:rsid w:val="299A4067"/>
    <w:rsid w:val="29DF6806"/>
    <w:rsid w:val="2C797A28"/>
    <w:rsid w:val="2DDA3448"/>
    <w:rsid w:val="306159E5"/>
    <w:rsid w:val="31790415"/>
    <w:rsid w:val="348957C0"/>
    <w:rsid w:val="36A8227E"/>
    <w:rsid w:val="38A2180B"/>
    <w:rsid w:val="3BDD5C2C"/>
    <w:rsid w:val="3E456048"/>
    <w:rsid w:val="436552D6"/>
    <w:rsid w:val="44E22CC1"/>
    <w:rsid w:val="469965DF"/>
    <w:rsid w:val="48CE7F3F"/>
    <w:rsid w:val="50F415F6"/>
    <w:rsid w:val="52981095"/>
    <w:rsid w:val="54FF59EF"/>
    <w:rsid w:val="570C5B60"/>
    <w:rsid w:val="5CB3230F"/>
    <w:rsid w:val="5F3E6D4B"/>
    <w:rsid w:val="609D0786"/>
    <w:rsid w:val="65B17676"/>
    <w:rsid w:val="67961E67"/>
    <w:rsid w:val="765566B2"/>
    <w:rsid w:val="7C162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2"/>
    <w:qFormat/>
    <w:uiPriority w:val="0"/>
    <w:rPr>
      <w:b/>
      <w:bCs/>
    </w:rPr>
  </w:style>
  <w:style w:type="character" w:styleId="10">
    <w:name w:val="annotation reference"/>
    <w:basedOn w:val="9"/>
    <w:qFormat/>
    <w:uiPriority w:val="0"/>
    <w:rPr>
      <w:sz w:val="21"/>
      <w:szCs w:val="21"/>
    </w:rPr>
  </w:style>
  <w:style w:type="character" w:customStyle="1" w:styleId="11">
    <w:name w:val="批注文字 Char"/>
    <w:basedOn w:val="9"/>
    <w:link w:val="3"/>
    <w:qFormat/>
    <w:uiPriority w:val="0"/>
    <w:rPr>
      <w:rFonts w:ascii="Times New Roman" w:hAnsi="Times New Roman" w:eastAsia="宋体" w:cs="Times New Roman"/>
      <w:kern w:val="2"/>
      <w:sz w:val="21"/>
      <w:szCs w:val="24"/>
    </w:rPr>
  </w:style>
  <w:style w:type="character" w:customStyle="1" w:styleId="12">
    <w:name w:val="批注主题 Char"/>
    <w:basedOn w:val="11"/>
    <w:link w:val="7"/>
    <w:qFormat/>
    <w:uiPriority w:val="0"/>
    <w:rPr>
      <w:rFonts w:ascii="Times New Roman" w:hAnsi="Times New Roman" w:eastAsia="宋体" w:cs="Times New Roman"/>
      <w:b/>
      <w:bCs/>
      <w:kern w:val="2"/>
      <w:sz w:val="21"/>
      <w:szCs w:val="24"/>
    </w:rPr>
  </w:style>
  <w:style w:type="character" w:customStyle="1" w:styleId="13">
    <w:name w:val="批注框文本 Char"/>
    <w:basedOn w:val="9"/>
    <w:link w:val="4"/>
    <w:qFormat/>
    <w:uiPriority w:val="0"/>
    <w:rPr>
      <w:rFonts w:ascii="Times New Roman" w:hAnsi="Times New Roman" w:eastAsia="宋体" w:cs="Times New Roman"/>
      <w:kern w:val="2"/>
      <w:sz w:val="18"/>
      <w:szCs w:val="18"/>
    </w:rPr>
  </w:style>
  <w:style w:type="character" w:customStyle="1" w:styleId="14">
    <w:name w:val="标题 1 Char"/>
    <w:basedOn w:val="9"/>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B56EC-EA9D-4A26-94BC-600CDA73F7E1}">
  <ds:schemaRefs/>
</ds:datastoreItem>
</file>

<file path=docProps/app.xml><?xml version="1.0" encoding="utf-8"?>
<Properties xmlns="http://schemas.openxmlformats.org/officeDocument/2006/extended-properties" xmlns:vt="http://schemas.openxmlformats.org/officeDocument/2006/docPropsVTypes">
  <Template>Normal</Template>
  <Pages>1</Pages>
  <Words>342</Words>
  <Characters>1951</Characters>
  <Lines>16</Lines>
  <Paragraphs>4</Paragraphs>
  <TotalTime>29</TotalTime>
  <ScaleCrop>false</ScaleCrop>
  <LinksUpToDate>false</LinksUpToDate>
  <CharactersWithSpaces>2289</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2023-12-26T06:12:00Z</dcterms:created>
  <dc:creator>杨浩</dc:creator>
  <cp:lastModifiedBy>xxfb01</cp:lastModifiedBy>
  <cp:lastPrinted>2022-08-23T01:26:00Z</cp:lastPrinted>
  <dcterms:modified xsi:type="dcterms:W3CDTF">2023-12-29T07:13:17Z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F05CC5E8F11345BA8554CCB53A44CC55</vt:lpwstr>
  </property>
</Properties>
</file>