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after="0" w:line="237" w:lineRule="auto"/>
        <w:ind w:left="0" w:firstLine="0"/>
        <w:rPr>
          <w:rFonts w:ascii="黑体" w:hAnsi="黑体" w:eastAsia="黑体" w:cs="宋体"/>
          <w:szCs w:val="32"/>
        </w:rPr>
      </w:pPr>
      <w:bookmarkStart w:id="0" w:name="_GoBack"/>
      <w:bookmarkEnd w:id="0"/>
      <w:r>
        <w:rPr>
          <w:rFonts w:hint="eastAsia" w:ascii="黑体" w:hAnsi="黑体" w:eastAsia="黑体" w:cs="宋体"/>
          <w:szCs w:val="32"/>
        </w:rPr>
        <w:t>附件1</w:t>
      </w:r>
    </w:p>
    <w:p>
      <w:pPr>
        <w:adjustRightInd w:val="0"/>
        <w:spacing w:after="0" w:line="237" w:lineRule="auto"/>
        <w:ind w:left="0" w:firstLine="0"/>
        <w:jc w:val="center"/>
        <w:rPr>
          <w:rFonts w:ascii="宋体" w:hAnsi="宋体" w:eastAsia="宋体" w:cs="宋体"/>
          <w:sz w:val="21"/>
          <w:szCs w:val="21"/>
        </w:rPr>
      </w:pPr>
    </w:p>
    <w:p>
      <w:pPr>
        <w:adjustRightInd w:val="0"/>
        <w:spacing w:after="0" w:line="237" w:lineRule="auto"/>
        <w:ind w:left="0" w:firstLine="0"/>
        <w:jc w:val="center"/>
        <w:rPr>
          <w:rFonts w:ascii="宋体" w:hAnsi="宋体" w:eastAsia="宋体" w:cs="宋体"/>
          <w:sz w:val="21"/>
          <w:szCs w:val="21"/>
        </w:rPr>
      </w:pPr>
    </w:p>
    <w:p>
      <w:pPr>
        <w:adjustRightInd w:val="0"/>
        <w:spacing w:after="0" w:line="237" w:lineRule="auto"/>
        <w:ind w:left="0" w:firstLine="0"/>
        <w:jc w:val="center"/>
        <w:rPr>
          <w:rFonts w:ascii="宋体" w:hAnsi="宋体" w:eastAsia="宋体" w:cs="宋体"/>
          <w:sz w:val="21"/>
          <w:szCs w:val="21"/>
        </w:rPr>
      </w:pPr>
    </w:p>
    <w:p>
      <w:pPr>
        <w:adjustRightInd w:val="0"/>
        <w:spacing w:after="0" w:line="237" w:lineRule="auto"/>
        <w:ind w:left="0" w:firstLine="0"/>
        <w:jc w:val="center"/>
        <w:rPr>
          <w:rFonts w:ascii="方正小标宋简体" w:hAnsi="宋体" w:eastAsia="方正小标宋简体" w:cs="宋体"/>
          <w:sz w:val="44"/>
        </w:rPr>
      </w:pPr>
      <w:r>
        <w:rPr>
          <w:rFonts w:hint="eastAsia" w:ascii="方正小标宋简体" w:hAnsi="宋体" w:eastAsia="方正小标宋简体" w:cs="宋体"/>
          <w:sz w:val="44"/>
        </w:rPr>
        <w:t>深圳证券交易所 中国证券登记结算有限</w:t>
      </w:r>
    </w:p>
    <w:p>
      <w:pPr>
        <w:adjustRightInd w:val="0"/>
        <w:spacing w:after="0" w:line="237" w:lineRule="auto"/>
        <w:ind w:left="0" w:firstLine="0"/>
        <w:jc w:val="center"/>
        <w:rPr>
          <w:rFonts w:ascii="方正小标宋简体" w:hAnsi="宋体" w:eastAsia="方正小标宋简体" w:cs="宋体"/>
          <w:sz w:val="44"/>
        </w:rPr>
      </w:pPr>
      <w:r>
        <w:rPr>
          <w:rFonts w:hint="eastAsia" w:ascii="方正小标宋简体" w:hAnsi="宋体" w:eastAsia="方正小标宋简体" w:cs="宋体"/>
          <w:sz w:val="44"/>
        </w:rPr>
        <w:t>责任公司</w:t>
      </w:r>
      <w:r>
        <w:rPr>
          <w:rFonts w:hint="eastAsia" w:ascii="方正小标宋简体" w:hAnsi="Times New Roman" w:eastAsia="方正小标宋简体" w:cs="Times New Roman"/>
          <w:sz w:val="44"/>
        </w:rPr>
        <w:t>B</w:t>
      </w:r>
      <w:r>
        <w:rPr>
          <w:rFonts w:hint="eastAsia" w:ascii="方正小标宋简体" w:hAnsi="宋体" w:eastAsia="方正小标宋简体" w:cs="宋体"/>
          <w:sz w:val="44"/>
        </w:rPr>
        <w:t>转</w:t>
      </w:r>
      <w:r>
        <w:rPr>
          <w:rFonts w:hint="eastAsia" w:ascii="方正小标宋简体" w:hAnsi="Times New Roman" w:eastAsia="方正小标宋简体" w:cs="Times New Roman"/>
          <w:sz w:val="44"/>
        </w:rPr>
        <w:t>H</w:t>
      </w:r>
      <w:r>
        <w:rPr>
          <w:rFonts w:hint="eastAsia" w:ascii="方正小标宋简体" w:hAnsi="宋体" w:eastAsia="方正小标宋简体" w:cs="宋体"/>
          <w:sz w:val="44"/>
        </w:rPr>
        <w:t>业务实施细则</w:t>
      </w:r>
    </w:p>
    <w:p>
      <w:pPr>
        <w:adjustRightInd w:val="0"/>
        <w:spacing w:after="0" w:line="237" w:lineRule="auto"/>
        <w:ind w:left="0" w:firstLine="0"/>
        <w:jc w:val="center"/>
        <w:rPr>
          <w:rFonts w:ascii="宋体" w:hAnsi="宋体" w:eastAsia="宋体" w:cs="宋体"/>
          <w:sz w:val="21"/>
          <w:szCs w:val="21"/>
        </w:rPr>
      </w:pPr>
    </w:p>
    <w:p>
      <w:pPr>
        <w:adjustRightInd w:val="0"/>
        <w:spacing w:after="0" w:line="237" w:lineRule="auto"/>
        <w:ind w:left="0" w:firstLine="0"/>
        <w:jc w:val="center"/>
        <w:rPr>
          <w:rFonts w:ascii="宋体" w:hAnsi="宋体" w:eastAsia="宋体" w:cs="宋体"/>
          <w:sz w:val="21"/>
          <w:szCs w:val="21"/>
        </w:rPr>
      </w:pPr>
    </w:p>
    <w:p>
      <w:pPr>
        <w:adjustRightInd w:val="0"/>
        <w:spacing w:after="0" w:line="237" w:lineRule="auto"/>
        <w:ind w:left="0" w:firstLine="0"/>
        <w:jc w:val="center"/>
        <w:rPr>
          <w:rFonts w:ascii="宋体" w:hAnsi="宋体" w:eastAsia="宋体" w:cs="宋体"/>
          <w:sz w:val="21"/>
          <w:szCs w:val="21"/>
        </w:rPr>
      </w:pPr>
    </w:p>
    <w:p>
      <w:pPr>
        <w:adjustRightInd w:val="0"/>
        <w:spacing w:after="0" w:line="560" w:lineRule="exact"/>
        <w:ind w:left="0" w:firstLine="640" w:firstLineChars="200"/>
        <w:jc w:val="center"/>
        <w:rPr>
          <w:rFonts w:ascii="黑体" w:hAnsi="黑体" w:eastAsia="黑体"/>
          <w:szCs w:val="32"/>
        </w:rPr>
      </w:pPr>
      <w:r>
        <w:rPr>
          <w:rFonts w:hint="eastAsia" w:ascii="黑体" w:hAnsi="黑体" w:eastAsia="黑体"/>
          <w:szCs w:val="32"/>
        </w:rPr>
        <w:t>第一章 总则</w:t>
      </w:r>
    </w:p>
    <w:p>
      <w:pPr>
        <w:adjustRightInd w:val="0"/>
        <w:spacing w:after="0" w:line="560" w:lineRule="exact"/>
        <w:ind w:left="0" w:firstLine="643" w:firstLineChars="200"/>
        <w:jc w:val="both"/>
        <w:rPr>
          <w:szCs w:val="32"/>
        </w:rPr>
      </w:pPr>
      <w:r>
        <w:rPr>
          <w:b/>
          <w:szCs w:val="32"/>
        </w:rPr>
        <w:t>第一条</w:t>
      </w:r>
      <w:r>
        <w:rPr>
          <w:szCs w:val="32"/>
        </w:rPr>
        <w:t xml:space="preserve"> 为</w:t>
      </w:r>
      <w:r>
        <w:rPr>
          <w:rFonts w:hint="eastAsia"/>
          <w:szCs w:val="32"/>
        </w:rPr>
        <w:t>了</w:t>
      </w:r>
      <w:r>
        <w:rPr>
          <w:szCs w:val="32"/>
        </w:rPr>
        <w:t>规范</w:t>
      </w:r>
      <w:r>
        <w:rPr>
          <w:rFonts w:hint="eastAsia"/>
          <w:szCs w:val="32"/>
        </w:rPr>
        <w:t>深圳</w:t>
      </w:r>
      <w:r>
        <w:rPr>
          <w:szCs w:val="32"/>
        </w:rPr>
        <w:t>市场境内上市外资股转为境外上市外资股</w:t>
      </w:r>
      <w:r>
        <w:rPr>
          <w:rFonts w:hint="eastAsia"/>
          <w:szCs w:val="32"/>
        </w:rPr>
        <w:t>，</w:t>
      </w:r>
      <w:r>
        <w:rPr>
          <w:szCs w:val="32"/>
        </w:rPr>
        <w:t>并在香港联合交易所有限公司（</w:t>
      </w:r>
      <w:r>
        <w:rPr>
          <w:rFonts w:hint="eastAsia"/>
          <w:szCs w:val="32"/>
        </w:rPr>
        <w:t>以下</w:t>
      </w:r>
      <w:r>
        <w:rPr>
          <w:szCs w:val="32"/>
        </w:rPr>
        <w:t>简称联交所）上市交易（</w:t>
      </w:r>
      <w:r>
        <w:rPr>
          <w:rFonts w:hint="eastAsia"/>
          <w:szCs w:val="32"/>
        </w:rPr>
        <w:t>以下</w:t>
      </w:r>
      <w:r>
        <w:rPr>
          <w:szCs w:val="32"/>
        </w:rPr>
        <w:t>简称</w:t>
      </w:r>
      <w:r>
        <w:rPr>
          <w:rFonts w:cs="Times New Roman"/>
          <w:szCs w:val="32"/>
        </w:rPr>
        <w:t>B</w:t>
      </w:r>
      <w:r>
        <w:rPr>
          <w:szCs w:val="32"/>
        </w:rPr>
        <w:t>转</w:t>
      </w:r>
      <w:r>
        <w:rPr>
          <w:rFonts w:cs="Times New Roman"/>
          <w:szCs w:val="32"/>
        </w:rPr>
        <w:t>H</w:t>
      </w:r>
      <w:r>
        <w:rPr>
          <w:szCs w:val="32"/>
        </w:rPr>
        <w:t>）的相关业务，根据《</w:t>
      </w:r>
      <w:r>
        <w:rPr>
          <w:rFonts w:hint="eastAsia"/>
          <w:szCs w:val="32"/>
        </w:rPr>
        <w:t>中华人民共和国</w:t>
      </w:r>
      <w:r>
        <w:rPr>
          <w:szCs w:val="32"/>
        </w:rPr>
        <w:t>证券法》《证券登记结算管理办法》等法律、行政法规、部门规章、规范性文件，以及</w:t>
      </w:r>
      <w:r>
        <w:rPr>
          <w:rFonts w:hint="eastAsia"/>
          <w:szCs w:val="32"/>
        </w:rPr>
        <w:t>深圳</w:t>
      </w:r>
      <w:r>
        <w:rPr>
          <w:szCs w:val="32"/>
        </w:rPr>
        <w:t>证券交易所（</w:t>
      </w:r>
      <w:r>
        <w:rPr>
          <w:rFonts w:hint="eastAsia"/>
          <w:szCs w:val="32"/>
        </w:rPr>
        <w:t>以下</w:t>
      </w:r>
      <w:r>
        <w:rPr>
          <w:szCs w:val="32"/>
        </w:rPr>
        <w:t>简称</w:t>
      </w:r>
      <w:r>
        <w:rPr>
          <w:rFonts w:hint="eastAsia"/>
          <w:szCs w:val="32"/>
        </w:rPr>
        <w:t>深交所</w:t>
      </w:r>
      <w:r>
        <w:rPr>
          <w:szCs w:val="32"/>
        </w:rPr>
        <w:t>）和中国证券登记结算有限责任公司（</w:t>
      </w:r>
      <w:r>
        <w:rPr>
          <w:rFonts w:hint="eastAsia"/>
          <w:szCs w:val="32"/>
        </w:rPr>
        <w:t>以下</w:t>
      </w:r>
      <w:r>
        <w:rPr>
          <w:szCs w:val="32"/>
        </w:rPr>
        <w:t>简称中国结算）相关业务规则，制定本细则。</w:t>
      </w:r>
    </w:p>
    <w:p>
      <w:pPr>
        <w:adjustRightInd w:val="0"/>
        <w:spacing w:after="0" w:line="560" w:lineRule="exact"/>
        <w:ind w:left="0" w:firstLine="643" w:firstLineChars="200"/>
        <w:jc w:val="both"/>
        <w:rPr>
          <w:szCs w:val="32"/>
        </w:rPr>
      </w:pPr>
      <w:r>
        <w:rPr>
          <w:b/>
          <w:szCs w:val="32"/>
        </w:rPr>
        <w:t>第二条</w:t>
      </w:r>
      <w:r>
        <w:rPr>
          <w:szCs w:val="32"/>
        </w:rPr>
        <w:t xml:space="preserve"> </w:t>
      </w:r>
      <w:r>
        <w:rPr>
          <w:rFonts w:cs="Times New Roman"/>
          <w:szCs w:val="32"/>
        </w:rPr>
        <w:t>B</w:t>
      </w:r>
      <w:r>
        <w:rPr>
          <w:szCs w:val="32"/>
        </w:rPr>
        <w:t>转</w:t>
      </w:r>
      <w:r>
        <w:rPr>
          <w:rFonts w:cs="Times New Roman"/>
          <w:szCs w:val="32"/>
        </w:rPr>
        <w:t>H</w:t>
      </w:r>
      <w:r>
        <w:rPr>
          <w:szCs w:val="32"/>
        </w:rPr>
        <w:t>业务涉及的跨境转登记、存管和持有明细维护、交易委托与指令传递、清算交收、</w:t>
      </w:r>
      <w:r>
        <w:rPr>
          <w:rFonts w:hint="eastAsia"/>
          <w:szCs w:val="32"/>
        </w:rPr>
        <w:t>公司行为</w:t>
      </w:r>
      <w:r>
        <w:rPr>
          <w:szCs w:val="32"/>
        </w:rPr>
        <w:t>服务、风险管理等相关业务</w:t>
      </w:r>
      <w:r>
        <w:rPr>
          <w:rFonts w:hint="eastAsia"/>
          <w:szCs w:val="32"/>
        </w:rPr>
        <w:t>，</w:t>
      </w:r>
      <w:r>
        <w:rPr>
          <w:szCs w:val="32"/>
        </w:rPr>
        <w:t>适用本细则。本细则未作规定的，参照</w:t>
      </w:r>
      <w:r>
        <w:rPr>
          <w:rFonts w:hint="eastAsia"/>
          <w:szCs w:val="32"/>
        </w:rPr>
        <w:t>深交所、</w:t>
      </w:r>
      <w:r>
        <w:rPr>
          <w:szCs w:val="32"/>
        </w:rPr>
        <w:t>中国结算相关业务规则办理。</w:t>
      </w:r>
    </w:p>
    <w:p>
      <w:pPr>
        <w:adjustRightInd w:val="0"/>
        <w:spacing w:after="0" w:line="560" w:lineRule="exact"/>
        <w:ind w:left="0" w:firstLine="643" w:firstLineChars="200"/>
        <w:jc w:val="both"/>
        <w:rPr>
          <w:szCs w:val="32"/>
        </w:rPr>
      </w:pPr>
      <w:r>
        <w:rPr>
          <w:b/>
          <w:szCs w:val="32"/>
        </w:rPr>
        <w:t>第三条</w:t>
      </w:r>
      <w:r>
        <w:rPr>
          <w:szCs w:val="32"/>
        </w:rPr>
        <w:t xml:space="preserve"> 根据股东大会决议，上市公司经中国证券监督管理委员会（</w:t>
      </w:r>
      <w:r>
        <w:rPr>
          <w:rFonts w:hint="eastAsia"/>
          <w:szCs w:val="32"/>
        </w:rPr>
        <w:t>以下</w:t>
      </w:r>
      <w:r>
        <w:rPr>
          <w:szCs w:val="32"/>
        </w:rPr>
        <w:t>简称中国证监会）</w:t>
      </w:r>
      <w:r>
        <w:rPr>
          <w:rFonts w:hint="eastAsia"/>
          <w:szCs w:val="32"/>
        </w:rPr>
        <w:t>备案</w:t>
      </w:r>
      <w:r>
        <w:rPr>
          <w:szCs w:val="32"/>
        </w:rPr>
        <w:t>开展</w:t>
      </w:r>
      <w:r>
        <w:rPr>
          <w:rFonts w:cs="Times New Roman"/>
          <w:szCs w:val="32"/>
        </w:rPr>
        <w:t>B</w:t>
      </w:r>
      <w:r>
        <w:rPr>
          <w:szCs w:val="32"/>
        </w:rPr>
        <w:t>转</w:t>
      </w:r>
      <w:r>
        <w:rPr>
          <w:rFonts w:cs="Times New Roman"/>
          <w:szCs w:val="32"/>
        </w:rPr>
        <w:t>H</w:t>
      </w:r>
      <w:r>
        <w:rPr>
          <w:szCs w:val="32"/>
        </w:rPr>
        <w:t>业务并完成相应信息披露后，可</w:t>
      </w:r>
      <w:r>
        <w:rPr>
          <w:rFonts w:hint="eastAsia"/>
          <w:szCs w:val="32"/>
        </w:rPr>
        <w:t>以</w:t>
      </w:r>
      <w:r>
        <w:rPr>
          <w:szCs w:val="32"/>
        </w:rPr>
        <w:t>申请将投资者持有的</w:t>
      </w:r>
      <w:r>
        <w:rPr>
          <w:rFonts w:cs="Times New Roman"/>
          <w:szCs w:val="32"/>
        </w:rPr>
        <w:t>B</w:t>
      </w:r>
      <w:r>
        <w:rPr>
          <w:szCs w:val="32"/>
        </w:rPr>
        <w:t>股转登记至香港股份登记机构，存管于中国结算在香港中央结算有限公司（</w:t>
      </w:r>
      <w:r>
        <w:rPr>
          <w:rFonts w:hint="eastAsia"/>
          <w:szCs w:val="32"/>
        </w:rPr>
        <w:t>以下</w:t>
      </w:r>
      <w:r>
        <w:rPr>
          <w:szCs w:val="32"/>
        </w:rPr>
        <w:t>简称香港结算）开立的证券账户，成为在联交所上市流通的</w:t>
      </w:r>
      <w:r>
        <w:rPr>
          <w:rFonts w:hint="eastAsia" w:cs="Times New Roman"/>
          <w:szCs w:val="32"/>
        </w:rPr>
        <w:t>H</w:t>
      </w:r>
      <w:r>
        <w:rPr>
          <w:szCs w:val="32"/>
        </w:rPr>
        <w:t>股。</w:t>
      </w:r>
    </w:p>
    <w:p>
      <w:pPr>
        <w:spacing w:after="0" w:line="560" w:lineRule="exact"/>
        <w:ind w:left="0" w:firstLine="643" w:firstLineChars="200"/>
        <w:jc w:val="both"/>
        <w:rPr>
          <w:szCs w:val="32"/>
        </w:rPr>
      </w:pPr>
      <w:r>
        <w:rPr>
          <w:b/>
          <w:szCs w:val="32"/>
        </w:rPr>
        <w:t>第</w:t>
      </w:r>
      <w:r>
        <w:rPr>
          <w:rFonts w:hint="eastAsia"/>
          <w:b/>
          <w:szCs w:val="32"/>
        </w:rPr>
        <w:t>四</w:t>
      </w:r>
      <w:r>
        <w:rPr>
          <w:b/>
          <w:szCs w:val="32"/>
        </w:rPr>
        <w:t>条</w:t>
      </w:r>
      <w:r>
        <w:rPr>
          <w:szCs w:val="32"/>
        </w:rPr>
        <w:t xml:space="preserve"> 投资者使用</w:t>
      </w:r>
      <w:r>
        <w:rPr>
          <w:rFonts w:hint="eastAsia"/>
          <w:szCs w:val="32"/>
        </w:rPr>
        <w:t>深市</w:t>
      </w:r>
      <w:r>
        <w:rPr>
          <w:rFonts w:cs="Times New Roman"/>
          <w:szCs w:val="32"/>
        </w:rPr>
        <w:t>B</w:t>
      </w:r>
      <w:r>
        <w:rPr>
          <w:szCs w:val="32"/>
        </w:rPr>
        <w:t>股证券账户参与</w:t>
      </w:r>
      <w:r>
        <w:rPr>
          <w:rFonts w:cs="Times New Roman"/>
          <w:szCs w:val="32"/>
        </w:rPr>
        <w:t>B</w:t>
      </w:r>
      <w:r>
        <w:rPr>
          <w:szCs w:val="32"/>
        </w:rPr>
        <w:t>转</w:t>
      </w:r>
      <w:r>
        <w:rPr>
          <w:rFonts w:cs="Times New Roman"/>
          <w:szCs w:val="32"/>
        </w:rPr>
        <w:t>H</w:t>
      </w:r>
      <w:r>
        <w:rPr>
          <w:szCs w:val="32"/>
        </w:rPr>
        <w:t>相关业务。</w:t>
      </w:r>
    </w:p>
    <w:p>
      <w:pPr>
        <w:spacing w:after="0" w:line="560" w:lineRule="exact"/>
        <w:ind w:left="0" w:firstLine="640" w:firstLineChars="200"/>
        <w:jc w:val="both"/>
        <w:rPr>
          <w:szCs w:val="32"/>
        </w:rPr>
      </w:pPr>
      <w:r>
        <w:rPr>
          <w:szCs w:val="32"/>
        </w:rPr>
        <w:t>投资者通过境内证券公司提交交易委托指令，传递至上市公司根据股东大会方案选择的一家香港证券公司。该香港证券公司依据交易委托指令，按照联交所规则在香港市场进行证券交易。投资者</w:t>
      </w:r>
      <w:r>
        <w:rPr>
          <w:rFonts w:hint="eastAsia"/>
          <w:szCs w:val="32"/>
        </w:rPr>
        <w:t>仅能</w:t>
      </w:r>
      <w:r>
        <w:rPr>
          <w:szCs w:val="32"/>
        </w:rPr>
        <w:t>进行卖出申报，不得进行买入申报。交易达成后，中国结算与香港证券公司办理清算交收。为</w:t>
      </w:r>
      <w:r>
        <w:rPr>
          <w:rFonts w:hint="eastAsia"/>
          <w:szCs w:val="32"/>
        </w:rPr>
        <w:t>了</w:t>
      </w:r>
      <w:r>
        <w:rPr>
          <w:szCs w:val="32"/>
        </w:rPr>
        <w:t>控制交收违约风险，香港证券公司应当向中国结算缴纳担保资金和结算保证金。</w:t>
      </w:r>
    </w:p>
    <w:p>
      <w:pPr>
        <w:spacing w:after="0" w:line="560" w:lineRule="exact"/>
        <w:ind w:left="0" w:firstLine="643" w:firstLineChars="200"/>
        <w:jc w:val="both"/>
        <w:rPr>
          <w:szCs w:val="32"/>
        </w:rPr>
      </w:pPr>
      <w:r>
        <w:rPr>
          <w:b/>
          <w:szCs w:val="32"/>
        </w:rPr>
        <w:t>第</w:t>
      </w:r>
      <w:r>
        <w:rPr>
          <w:rFonts w:hint="eastAsia"/>
          <w:b/>
          <w:szCs w:val="32"/>
        </w:rPr>
        <w:t>五</w:t>
      </w:r>
      <w:r>
        <w:rPr>
          <w:b/>
          <w:szCs w:val="32"/>
        </w:rPr>
        <w:t>条</w:t>
      </w:r>
      <w:r>
        <w:rPr>
          <w:szCs w:val="32"/>
        </w:rPr>
        <w:t xml:space="preserve"> 上市公司应</w:t>
      </w:r>
      <w:r>
        <w:rPr>
          <w:rFonts w:hint="eastAsia"/>
          <w:szCs w:val="32"/>
        </w:rPr>
        <w:t>当在境内指定</w:t>
      </w:r>
      <w:r>
        <w:rPr>
          <w:szCs w:val="32"/>
        </w:rPr>
        <w:t>一家证券公司，</w:t>
      </w:r>
      <w:r>
        <w:rPr>
          <w:rFonts w:hint="eastAsia"/>
          <w:szCs w:val="32"/>
        </w:rPr>
        <w:t>以</w:t>
      </w:r>
      <w:r>
        <w:rPr>
          <w:szCs w:val="32"/>
        </w:rPr>
        <w:t>该证券公司的名义在上市公司选择的香港证券公司开立证券交易账户。</w:t>
      </w:r>
    </w:p>
    <w:p>
      <w:pPr>
        <w:spacing w:after="0" w:line="560" w:lineRule="exact"/>
        <w:ind w:left="0" w:firstLine="643" w:firstLineChars="200"/>
        <w:jc w:val="both"/>
        <w:rPr>
          <w:szCs w:val="32"/>
        </w:rPr>
      </w:pPr>
      <w:r>
        <w:rPr>
          <w:b/>
          <w:szCs w:val="32"/>
        </w:rPr>
        <w:t>第六条</w:t>
      </w:r>
      <w:r>
        <w:rPr>
          <w:szCs w:val="32"/>
        </w:rPr>
        <w:t xml:space="preserve"> 深交所授权深圳证券通信有限公司（</w:t>
      </w:r>
      <w:r>
        <w:rPr>
          <w:rFonts w:hint="eastAsia"/>
          <w:szCs w:val="32"/>
        </w:rPr>
        <w:t>以下</w:t>
      </w:r>
      <w:r>
        <w:rPr>
          <w:szCs w:val="32"/>
        </w:rPr>
        <w:t>简称深证通）为</w:t>
      </w:r>
      <w:r>
        <w:rPr>
          <w:rFonts w:cs="Times New Roman"/>
          <w:szCs w:val="32"/>
        </w:rPr>
        <w:t>B</w:t>
      </w:r>
      <w:r>
        <w:rPr>
          <w:szCs w:val="32"/>
        </w:rPr>
        <w:t>转</w:t>
      </w:r>
      <w:r>
        <w:rPr>
          <w:rFonts w:cs="Times New Roman"/>
          <w:szCs w:val="32"/>
        </w:rPr>
        <w:t>H</w:t>
      </w:r>
      <w:r>
        <w:rPr>
          <w:szCs w:val="32"/>
        </w:rPr>
        <w:t>业务提供境内证券公司与对应香港证券公司之间的股份交易委托指令和成交回报传递，及相关股份实时行情转发等服务。</w:t>
      </w:r>
    </w:p>
    <w:p>
      <w:pPr>
        <w:spacing w:after="0" w:line="560" w:lineRule="exact"/>
        <w:ind w:left="0" w:firstLine="640" w:firstLineChars="200"/>
        <w:jc w:val="both"/>
        <w:rPr>
          <w:szCs w:val="32"/>
        </w:rPr>
      </w:pPr>
      <w:r>
        <w:rPr>
          <w:szCs w:val="32"/>
        </w:rPr>
        <w:t>境内证券公司、香港证券公司参与</w:t>
      </w:r>
      <w:r>
        <w:rPr>
          <w:rFonts w:cs="Times New Roman"/>
          <w:szCs w:val="32"/>
        </w:rPr>
        <w:t>B</w:t>
      </w:r>
      <w:r>
        <w:rPr>
          <w:szCs w:val="32"/>
        </w:rPr>
        <w:t>转</w:t>
      </w:r>
      <w:r>
        <w:rPr>
          <w:rFonts w:cs="Times New Roman"/>
          <w:szCs w:val="32"/>
        </w:rPr>
        <w:t>H</w:t>
      </w:r>
      <w:r>
        <w:rPr>
          <w:szCs w:val="32"/>
        </w:rPr>
        <w:t>业务，应当符合</w:t>
      </w:r>
      <w:r>
        <w:rPr>
          <w:rFonts w:hint="eastAsia"/>
          <w:szCs w:val="32"/>
        </w:rPr>
        <w:t>深证通</w:t>
      </w:r>
      <w:r>
        <w:rPr>
          <w:szCs w:val="32"/>
        </w:rPr>
        <w:t>的相关技术标准及要求。</w:t>
      </w:r>
    </w:p>
    <w:p>
      <w:pPr>
        <w:spacing w:after="0" w:line="560" w:lineRule="exact"/>
        <w:ind w:left="0" w:firstLine="640" w:firstLineChars="200"/>
        <w:jc w:val="center"/>
        <w:rPr>
          <w:rFonts w:ascii="黑体" w:hAnsi="黑体" w:eastAsia="黑体"/>
          <w:szCs w:val="32"/>
        </w:rPr>
      </w:pPr>
      <w:r>
        <w:rPr>
          <w:rFonts w:hint="eastAsia" w:ascii="黑体" w:hAnsi="黑体" w:eastAsia="黑体"/>
          <w:szCs w:val="32"/>
        </w:rPr>
        <w:t>第二章 跨境转登记</w:t>
      </w:r>
    </w:p>
    <w:p>
      <w:pPr>
        <w:spacing w:after="0" w:line="560" w:lineRule="exact"/>
        <w:ind w:left="0" w:firstLine="643" w:firstLineChars="200"/>
        <w:jc w:val="both"/>
        <w:rPr>
          <w:szCs w:val="32"/>
        </w:rPr>
      </w:pPr>
      <w:r>
        <w:rPr>
          <w:b/>
          <w:szCs w:val="32"/>
        </w:rPr>
        <w:t>第七条</w:t>
      </w:r>
      <w:r>
        <w:rPr>
          <w:szCs w:val="32"/>
        </w:rPr>
        <w:t xml:space="preserve"> 上市公司</w:t>
      </w:r>
      <w:r>
        <w:rPr>
          <w:rFonts w:hint="eastAsia"/>
          <w:szCs w:val="32"/>
        </w:rPr>
        <w:t>经</w:t>
      </w:r>
      <w:r>
        <w:rPr>
          <w:szCs w:val="32"/>
        </w:rPr>
        <w:t>中国证监会</w:t>
      </w:r>
      <w:r>
        <w:rPr>
          <w:rFonts w:hint="eastAsia"/>
          <w:szCs w:val="32"/>
        </w:rPr>
        <w:t>备案</w:t>
      </w:r>
      <w:r>
        <w:rPr>
          <w:szCs w:val="32"/>
        </w:rPr>
        <w:t>开展</w:t>
      </w:r>
      <w:r>
        <w:rPr>
          <w:rFonts w:hint="eastAsia" w:cs="Times New Roman"/>
          <w:szCs w:val="32"/>
        </w:rPr>
        <w:t>B</w:t>
      </w:r>
      <w:r>
        <w:rPr>
          <w:szCs w:val="32"/>
        </w:rPr>
        <w:t>转</w:t>
      </w:r>
      <w:r>
        <w:rPr>
          <w:rFonts w:hint="eastAsia" w:cs="Times New Roman"/>
          <w:szCs w:val="32"/>
        </w:rPr>
        <w:t>H</w:t>
      </w:r>
      <w:r>
        <w:rPr>
          <w:szCs w:val="32"/>
        </w:rPr>
        <w:t>业务后，向</w:t>
      </w:r>
      <w:r>
        <w:rPr>
          <w:rFonts w:hint="eastAsia"/>
          <w:szCs w:val="32"/>
        </w:rPr>
        <w:t>深交所</w:t>
      </w:r>
      <w:r>
        <w:rPr>
          <w:szCs w:val="32"/>
        </w:rPr>
        <w:t>申请</w:t>
      </w:r>
      <w:r>
        <w:rPr>
          <w:rFonts w:hint="eastAsia" w:cs="Times New Roman"/>
          <w:szCs w:val="32"/>
        </w:rPr>
        <w:t>B</w:t>
      </w:r>
      <w:r>
        <w:rPr>
          <w:szCs w:val="32"/>
        </w:rPr>
        <w:t>股终止上市以及向中国结算申请</w:t>
      </w:r>
      <w:r>
        <w:rPr>
          <w:rFonts w:hint="eastAsia" w:cs="Times New Roman"/>
          <w:szCs w:val="32"/>
        </w:rPr>
        <w:t>B</w:t>
      </w:r>
      <w:r>
        <w:rPr>
          <w:szCs w:val="32"/>
        </w:rPr>
        <w:t>股退出登记。</w:t>
      </w:r>
    </w:p>
    <w:p>
      <w:pPr>
        <w:spacing w:after="0" w:line="560" w:lineRule="exact"/>
        <w:ind w:left="0" w:firstLine="643" w:firstLineChars="200"/>
        <w:jc w:val="both"/>
        <w:rPr>
          <w:szCs w:val="32"/>
        </w:rPr>
      </w:pPr>
      <w:r>
        <w:rPr>
          <w:b/>
          <w:szCs w:val="32"/>
        </w:rPr>
        <w:t>第八条</w:t>
      </w:r>
      <w:r>
        <w:rPr>
          <w:szCs w:val="32"/>
        </w:rPr>
        <w:t xml:space="preserve"> 上市公司应当按照香港市场要求，在香港股份登记机构履行手续，完成相关股份在香港市场的登记。</w:t>
      </w:r>
    </w:p>
    <w:p>
      <w:pPr>
        <w:spacing w:after="0" w:line="560" w:lineRule="exact"/>
        <w:ind w:left="0" w:firstLine="643" w:firstLineChars="200"/>
        <w:jc w:val="both"/>
        <w:rPr>
          <w:szCs w:val="32"/>
        </w:rPr>
      </w:pPr>
      <w:r>
        <w:rPr>
          <w:b/>
          <w:szCs w:val="32"/>
        </w:rPr>
        <w:t>第九条</w:t>
      </w:r>
      <w:r>
        <w:rPr>
          <w:szCs w:val="32"/>
        </w:rPr>
        <w:t xml:space="preserve"> </w:t>
      </w:r>
      <w:r>
        <w:rPr>
          <w:rFonts w:cs="Times New Roman"/>
          <w:szCs w:val="32"/>
        </w:rPr>
        <w:t>B</w:t>
      </w:r>
      <w:r>
        <w:rPr>
          <w:rFonts w:hint="eastAsia"/>
          <w:szCs w:val="32"/>
        </w:rPr>
        <w:t>股退出登记</w:t>
      </w:r>
      <w:r>
        <w:rPr>
          <w:szCs w:val="32"/>
        </w:rPr>
        <w:t>前相关股份的质押、冻结业务，在</w:t>
      </w:r>
      <w:r>
        <w:rPr>
          <w:rFonts w:hint="eastAsia" w:cs="Times New Roman"/>
          <w:szCs w:val="32"/>
        </w:rPr>
        <w:t>B</w:t>
      </w:r>
      <w:r>
        <w:rPr>
          <w:szCs w:val="32"/>
        </w:rPr>
        <w:t>转</w:t>
      </w:r>
      <w:r>
        <w:rPr>
          <w:rFonts w:hint="eastAsia" w:cs="Times New Roman"/>
          <w:szCs w:val="32"/>
        </w:rPr>
        <w:t>H</w:t>
      </w:r>
      <w:r>
        <w:rPr>
          <w:szCs w:val="32"/>
        </w:rPr>
        <w:t>后仍为有效状态的，原办理主体应</w:t>
      </w:r>
      <w:r>
        <w:rPr>
          <w:rFonts w:hint="eastAsia"/>
          <w:szCs w:val="32"/>
        </w:rPr>
        <w:t>当</w:t>
      </w:r>
      <w:r>
        <w:rPr>
          <w:szCs w:val="32"/>
        </w:rPr>
        <w:t>继续做好质押、冻结数据维护，后续相关业务参照</w:t>
      </w:r>
      <w:r>
        <w:rPr>
          <w:rFonts w:hint="eastAsia"/>
          <w:szCs w:val="32"/>
        </w:rPr>
        <w:t>深圳</w:t>
      </w:r>
      <w:r>
        <w:rPr>
          <w:szCs w:val="32"/>
        </w:rPr>
        <w:t>市场质押、冻结相关业务规则办理。</w:t>
      </w:r>
    </w:p>
    <w:p>
      <w:pPr>
        <w:spacing w:after="0" w:line="560" w:lineRule="exact"/>
        <w:ind w:left="0" w:firstLine="640" w:firstLineChars="200"/>
        <w:jc w:val="center"/>
        <w:rPr>
          <w:rFonts w:ascii="黑体" w:hAnsi="黑体" w:eastAsia="黑体"/>
          <w:szCs w:val="32"/>
        </w:rPr>
      </w:pPr>
      <w:r>
        <w:rPr>
          <w:rFonts w:hint="eastAsia" w:ascii="黑体" w:hAnsi="黑体" w:eastAsia="黑体"/>
          <w:szCs w:val="32"/>
        </w:rPr>
        <w:t>第三章 存管和持有明细维护</w:t>
      </w:r>
    </w:p>
    <w:p>
      <w:pPr>
        <w:spacing w:after="0" w:line="560" w:lineRule="exact"/>
        <w:ind w:left="0" w:firstLine="643" w:firstLineChars="200"/>
        <w:jc w:val="both"/>
        <w:rPr>
          <w:szCs w:val="32"/>
        </w:rPr>
      </w:pPr>
      <w:r>
        <w:rPr>
          <w:b/>
          <w:szCs w:val="32"/>
        </w:rPr>
        <w:t>第十条</w:t>
      </w:r>
      <w:r>
        <w:rPr>
          <w:szCs w:val="32"/>
        </w:rPr>
        <w:t xml:space="preserve"> 投资者持有的</w:t>
      </w:r>
      <w:r>
        <w:rPr>
          <w:rFonts w:hint="eastAsia" w:cs="Times New Roman"/>
          <w:szCs w:val="32"/>
        </w:rPr>
        <w:t>H</w:t>
      </w:r>
      <w:r>
        <w:rPr>
          <w:szCs w:val="32"/>
        </w:rPr>
        <w:t>股</w:t>
      </w:r>
      <w:r>
        <w:rPr>
          <w:rFonts w:hint="eastAsia"/>
          <w:szCs w:val="32"/>
        </w:rPr>
        <w:t>存管于</w:t>
      </w:r>
      <w:r>
        <w:rPr>
          <w:szCs w:val="32"/>
        </w:rPr>
        <w:t>中国结算在香港结算</w:t>
      </w:r>
      <w:r>
        <w:rPr>
          <w:rFonts w:hint="eastAsia"/>
          <w:szCs w:val="32"/>
        </w:rPr>
        <w:t>开立的证券账户</w:t>
      </w:r>
      <w:r>
        <w:rPr>
          <w:szCs w:val="32"/>
        </w:rPr>
        <w:t>，中国结算通过香港结算行使对证券发行人的权利。香港中央结算（代理人）有限公司作为名义持有人列示于联交所上市公司的股东名册。</w:t>
      </w:r>
    </w:p>
    <w:p>
      <w:pPr>
        <w:spacing w:after="0" w:line="560" w:lineRule="exact"/>
        <w:ind w:left="0" w:firstLine="643" w:firstLineChars="200"/>
        <w:jc w:val="both"/>
        <w:rPr>
          <w:szCs w:val="32"/>
        </w:rPr>
      </w:pPr>
      <w:r>
        <w:rPr>
          <w:b/>
          <w:szCs w:val="32"/>
        </w:rPr>
        <w:t>第十一条</w:t>
      </w:r>
      <w:r>
        <w:rPr>
          <w:szCs w:val="32"/>
        </w:rPr>
        <w:t xml:space="preserve"> 中国结算根据上市公司提供的投资者证券账户、持有数据等信息，初始记录并维护相关投资者持有</w:t>
      </w:r>
      <w:r>
        <w:rPr>
          <w:rFonts w:hint="eastAsia" w:cs="Times New Roman"/>
          <w:szCs w:val="32"/>
        </w:rPr>
        <w:t>H</w:t>
      </w:r>
      <w:r>
        <w:rPr>
          <w:szCs w:val="32"/>
        </w:rPr>
        <w:t>股股份的持有明细。</w:t>
      </w:r>
    </w:p>
    <w:p>
      <w:pPr>
        <w:spacing w:after="0" w:line="560" w:lineRule="exact"/>
        <w:ind w:left="0" w:firstLine="643" w:firstLineChars="200"/>
        <w:jc w:val="both"/>
        <w:rPr>
          <w:szCs w:val="32"/>
        </w:rPr>
      </w:pPr>
      <w:r>
        <w:rPr>
          <w:b/>
          <w:szCs w:val="32"/>
        </w:rPr>
        <w:t>第十二条</w:t>
      </w:r>
      <w:r>
        <w:rPr>
          <w:szCs w:val="32"/>
        </w:rPr>
        <w:t xml:space="preserve"> 中国结算出具的</w:t>
      </w:r>
      <w:r>
        <w:rPr>
          <w:rFonts w:hint="eastAsia" w:cs="Times New Roman"/>
          <w:szCs w:val="32"/>
        </w:rPr>
        <w:t>H</w:t>
      </w:r>
      <w:r>
        <w:rPr>
          <w:szCs w:val="32"/>
        </w:rPr>
        <w:t>股持有记录，是投资者享有该证券权益的合法证明。</w:t>
      </w:r>
    </w:p>
    <w:p>
      <w:pPr>
        <w:spacing w:after="0" w:line="560" w:lineRule="exact"/>
        <w:ind w:left="0" w:firstLine="640" w:firstLineChars="200"/>
        <w:jc w:val="both"/>
        <w:rPr>
          <w:szCs w:val="32"/>
        </w:rPr>
      </w:pPr>
      <w:r>
        <w:rPr>
          <w:szCs w:val="32"/>
        </w:rPr>
        <w:t>投资者不能存入或</w:t>
      </w:r>
      <w:r>
        <w:rPr>
          <w:rFonts w:hint="eastAsia"/>
          <w:szCs w:val="32"/>
        </w:rPr>
        <w:t>者</w:t>
      </w:r>
      <w:r>
        <w:rPr>
          <w:szCs w:val="32"/>
        </w:rPr>
        <w:t>提取纸面股票</w:t>
      </w:r>
      <w:r>
        <w:rPr>
          <w:rFonts w:hint="eastAsia"/>
          <w:szCs w:val="32"/>
        </w:rPr>
        <w:t>，中国证监会另有规定的除外</w:t>
      </w:r>
      <w:r>
        <w:rPr>
          <w:szCs w:val="32"/>
        </w:rPr>
        <w:t>。</w:t>
      </w:r>
    </w:p>
    <w:p>
      <w:pPr>
        <w:spacing w:after="0" w:line="560" w:lineRule="exact"/>
        <w:ind w:left="0" w:firstLine="643" w:firstLineChars="200"/>
        <w:jc w:val="both"/>
        <w:rPr>
          <w:szCs w:val="32"/>
        </w:rPr>
      </w:pPr>
      <w:r>
        <w:rPr>
          <w:b/>
          <w:szCs w:val="32"/>
        </w:rPr>
        <w:t>第十三条</w:t>
      </w:r>
      <w:r>
        <w:rPr>
          <w:szCs w:val="32"/>
        </w:rPr>
        <w:t xml:space="preserve"> 中国结算根据交易交收结果和符合本细则规定的非交易过户业务办理结果办理持有明细变更。</w:t>
      </w:r>
    </w:p>
    <w:p>
      <w:pPr>
        <w:spacing w:after="0" w:line="560" w:lineRule="exact"/>
        <w:ind w:left="0" w:firstLine="643" w:firstLineChars="200"/>
        <w:jc w:val="both"/>
        <w:rPr>
          <w:szCs w:val="32"/>
        </w:rPr>
      </w:pPr>
      <w:r>
        <w:rPr>
          <w:b/>
          <w:szCs w:val="32"/>
        </w:rPr>
        <w:t>第十四条</w:t>
      </w:r>
      <w:r>
        <w:rPr>
          <w:szCs w:val="32"/>
        </w:rPr>
        <w:t xml:space="preserve"> 境外投资者可</w:t>
      </w:r>
      <w:r>
        <w:rPr>
          <w:rFonts w:hint="eastAsia"/>
          <w:szCs w:val="32"/>
        </w:rPr>
        <w:t>以</w:t>
      </w:r>
      <w:r>
        <w:rPr>
          <w:szCs w:val="32"/>
        </w:rPr>
        <w:t>通过</w:t>
      </w:r>
      <w:r>
        <w:rPr>
          <w:rFonts w:hint="eastAsia"/>
          <w:szCs w:val="32"/>
        </w:rPr>
        <w:t>托管其股份</w:t>
      </w:r>
      <w:r>
        <w:rPr>
          <w:szCs w:val="32"/>
        </w:rPr>
        <w:t>的证券公司或</w:t>
      </w:r>
      <w:r>
        <w:rPr>
          <w:rFonts w:hint="eastAsia"/>
          <w:szCs w:val="32"/>
        </w:rPr>
        <w:t>者负责其</w:t>
      </w:r>
      <w:r>
        <w:rPr>
          <w:szCs w:val="32"/>
        </w:rPr>
        <w:t>结算的托管银行向中国结算申请，将所持股份跨境转托管至香港的证券公司或</w:t>
      </w:r>
      <w:r>
        <w:rPr>
          <w:rFonts w:hint="eastAsia"/>
          <w:szCs w:val="32"/>
        </w:rPr>
        <w:t>者</w:t>
      </w:r>
      <w:r>
        <w:rPr>
          <w:szCs w:val="32"/>
        </w:rPr>
        <w:t>托管银行。境内证券公司或</w:t>
      </w:r>
      <w:r>
        <w:rPr>
          <w:rFonts w:hint="eastAsia"/>
          <w:szCs w:val="32"/>
        </w:rPr>
        <w:t>者</w:t>
      </w:r>
      <w:r>
        <w:rPr>
          <w:szCs w:val="32"/>
        </w:rPr>
        <w:t>托管银行应当保证其所提供的申请资料真实、准确、完整，且相关股份未被质押或</w:t>
      </w:r>
      <w:r>
        <w:rPr>
          <w:rFonts w:hint="eastAsia"/>
          <w:szCs w:val="32"/>
        </w:rPr>
        <w:t>者</w:t>
      </w:r>
      <w:r>
        <w:rPr>
          <w:szCs w:val="32"/>
        </w:rPr>
        <w:t>冻结。中国结算根据申请注销境外投资者相应的境内证券持有记录，并通过香港结算与香港</w:t>
      </w:r>
      <w:r>
        <w:rPr>
          <w:rFonts w:hint="eastAsia"/>
          <w:szCs w:val="32"/>
        </w:rPr>
        <w:t>的</w:t>
      </w:r>
      <w:r>
        <w:rPr>
          <w:szCs w:val="32"/>
        </w:rPr>
        <w:t>证券公司或</w:t>
      </w:r>
      <w:r>
        <w:rPr>
          <w:rFonts w:hint="eastAsia"/>
          <w:szCs w:val="32"/>
        </w:rPr>
        <w:t>者</w:t>
      </w:r>
      <w:r>
        <w:rPr>
          <w:szCs w:val="32"/>
        </w:rPr>
        <w:t>托管银行完成股份交付。</w:t>
      </w:r>
    </w:p>
    <w:p>
      <w:pPr>
        <w:spacing w:after="0" w:line="560" w:lineRule="exact"/>
        <w:ind w:left="0" w:firstLine="643" w:firstLineChars="200"/>
        <w:jc w:val="both"/>
        <w:rPr>
          <w:szCs w:val="32"/>
        </w:rPr>
      </w:pPr>
      <w:r>
        <w:rPr>
          <w:b/>
          <w:szCs w:val="32"/>
        </w:rPr>
        <w:t>第十五条</w:t>
      </w:r>
      <w:r>
        <w:rPr>
          <w:szCs w:val="32"/>
        </w:rPr>
        <w:t xml:space="preserve"> 投资者因继承、离婚、法人</w:t>
      </w:r>
      <w:r>
        <w:rPr>
          <w:rFonts w:hint="eastAsia"/>
          <w:szCs w:val="32"/>
        </w:rPr>
        <w:t>终止</w:t>
      </w:r>
      <w:r>
        <w:rPr>
          <w:szCs w:val="32"/>
        </w:rPr>
        <w:t>、捐赠等情形涉及的</w:t>
      </w:r>
      <w:r>
        <w:rPr>
          <w:rFonts w:hint="eastAsia" w:cs="Times New Roman"/>
          <w:szCs w:val="32"/>
        </w:rPr>
        <w:t>H</w:t>
      </w:r>
      <w:r>
        <w:rPr>
          <w:szCs w:val="32"/>
        </w:rPr>
        <w:t>股股份非交易过户业务、质押登记业务以及协助执法</w:t>
      </w:r>
      <w:r>
        <w:rPr>
          <w:rFonts w:hint="eastAsia"/>
          <w:szCs w:val="32"/>
        </w:rPr>
        <w:t>业务</w:t>
      </w:r>
      <w:r>
        <w:rPr>
          <w:szCs w:val="32"/>
        </w:rPr>
        <w:t>，参照中国结算</w:t>
      </w:r>
      <w:r>
        <w:rPr>
          <w:rFonts w:hint="eastAsia"/>
          <w:szCs w:val="32"/>
        </w:rPr>
        <w:t>相关</w:t>
      </w:r>
      <w:r>
        <w:rPr>
          <w:szCs w:val="32"/>
        </w:rPr>
        <w:t>业务规则办理。</w:t>
      </w:r>
    </w:p>
    <w:p>
      <w:pPr>
        <w:spacing w:after="0" w:line="560" w:lineRule="exact"/>
        <w:ind w:left="0" w:firstLine="640" w:firstLineChars="200"/>
        <w:jc w:val="center"/>
        <w:rPr>
          <w:rFonts w:ascii="黑体" w:hAnsi="黑体" w:eastAsia="黑体"/>
          <w:szCs w:val="32"/>
        </w:rPr>
      </w:pPr>
      <w:r>
        <w:rPr>
          <w:rFonts w:hint="eastAsia" w:ascii="黑体" w:hAnsi="黑体" w:eastAsia="黑体"/>
          <w:szCs w:val="32"/>
        </w:rPr>
        <w:t>第四章 交易委托与指令传递</w:t>
      </w:r>
    </w:p>
    <w:p>
      <w:pPr>
        <w:spacing w:after="0" w:line="560" w:lineRule="exact"/>
        <w:ind w:left="0" w:firstLine="643" w:firstLineChars="200"/>
        <w:jc w:val="both"/>
        <w:rPr>
          <w:szCs w:val="32"/>
        </w:rPr>
      </w:pPr>
      <w:r>
        <w:rPr>
          <w:b/>
          <w:szCs w:val="32"/>
        </w:rPr>
        <w:t>第十六条</w:t>
      </w:r>
      <w:r>
        <w:rPr>
          <w:szCs w:val="32"/>
        </w:rPr>
        <w:t xml:space="preserve"> </w:t>
      </w:r>
      <w:r>
        <w:rPr>
          <w:rFonts w:hint="eastAsia"/>
          <w:szCs w:val="32"/>
        </w:rPr>
        <w:t>深证通</w:t>
      </w:r>
      <w:r>
        <w:rPr>
          <w:szCs w:val="32"/>
        </w:rPr>
        <w:t>在</w:t>
      </w:r>
      <w:r>
        <w:rPr>
          <w:rFonts w:hint="eastAsia"/>
          <w:szCs w:val="32"/>
        </w:rPr>
        <w:t>深交所</w:t>
      </w:r>
      <w:r>
        <w:rPr>
          <w:szCs w:val="32"/>
        </w:rPr>
        <w:t>和联交所的共同交易时间提供交易委托指令传递等服务。联交所持续交易时段开始前，投资者交易委托指令由香港证券公司暂存，持续交易时段开始后由香港证券公司报送至联交所。</w:t>
      </w:r>
    </w:p>
    <w:p>
      <w:pPr>
        <w:spacing w:after="0" w:line="560" w:lineRule="exact"/>
        <w:ind w:left="0" w:firstLine="643" w:firstLineChars="200"/>
        <w:jc w:val="both"/>
        <w:rPr>
          <w:szCs w:val="32"/>
        </w:rPr>
      </w:pPr>
      <w:r>
        <w:rPr>
          <w:b/>
          <w:szCs w:val="32"/>
        </w:rPr>
        <w:t>第十七条</w:t>
      </w:r>
      <w:r>
        <w:rPr>
          <w:szCs w:val="32"/>
        </w:rPr>
        <w:t xml:space="preserve"> 联交所因风球、黑色暴雨天气等原因暂停交易时，</w:t>
      </w:r>
      <w:r>
        <w:rPr>
          <w:rFonts w:hint="eastAsia" w:cs="Times New Roman"/>
          <w:szCs w:val="32"/>
        </w:rPr>
        <w:t>H</w:t>
      </w:r>
      <w:r>
        <w:rPr>
          <w:szCs w:val="32"/>
        </w:rPr>
        <w:t>股交易申报</w:t>
      </w:r>
      <w:r>
        <w:rPr>
          <w:rFonts w:hint="eastAsia"/>
          <w:szCs w:val="32"/>
        </w:rPr>
        <w:t>同时</w:t>
      </w:r>
      <w:r>
        <w:rPr>
          <w:szCs w:val="32"/>
        </w:rPr>
        <w:t>暂停。</w:t>
      </w:r>
    </w:p>
    <w:p>
      <w:pPr>
        <w:spacing w:after="0" w:line="560" w:lineRule="exact"/>
        <w:ind w:left="0" w:firstLine="643" w:firstLineChars="200"/>
        <w:jc w:val="both"/>
        <w:rPr>
          <w:szCs w:val="32"/>
        </w:rPr>
      </w:pPr>
      <w:r>
        <w:rPr>
          <w:b/>
          <w:szCs w:val="32"/>
        </w:rPr>
        <w:t>第十八条</w:t>
      </w:r>
      <w:r>
        <w:rPr>
          <w:szCs w:val="32"/>
        </w:rPr>
        <w:t xml:space="preserve"> 投资者通过境内证券公司提交交易委托指令，</w:t>
      </w:r>
      <w:r>
        <w:rPr>
          <w:rFonts w:hint="eastAsia"/>
          <w:szCs w:val="32"/>
        </w:rPr>
        <w:t>经</w:t>
      </w:r>
      <w:r>
        <w:rPr>
          <w:szCs w:val="32"/>
        </w:rPr>
        <w:t>由深证通传递至上市公司选择的香港证券公司。香港证券公司依据</w:t>
      </w:r>
      <w:r>
        <w:rPr>
          <w:rFonts w:hint="eastAsia"/>
          <w:szCs w:val="32"/>
        </w:rPr>
        <w:t>经由</w:t>
      </w:r>
      <w:r>
        <w:rPr>
          <w:szCs w:val="32"/>
        </w:rPr>
        <w:t>深证通传递的境内证券公司发送的交易委托指令，按照联交所规则在香港市场进行证券交易。</w:t>
      </w:r>
    </w:p>
    <w:p>
      <w:pPr>
        <w:spacing w:after="0" w:line="560" w:lineRule="exact"/>
        <w:ind w:left="0" w:firstLine="643" w:firstLineChars="200"/>
        <w:jc w:val="both"/>
        <w:rPr>
          <w:szCs w:val="32"/>
        </w:rPr>
      </w:pPr>
      <w:r>
        <w:rPr>
          <w:b/>
          <w:szCs w:val="32"/>
        </w:rPr>
        <w:t>第十九条</w:t>
      </w:r>
      <w:r>
        <w:rPr>
          <w:rFonts w:hint="eastAsia"/>
          <w:szCs w:val="32"/>
        </w:rPr>
        <w:t xml:space="preserve"> 投资者交易委托前应当检查确认有足额可用的证券。境内证券公司接受投资者交易委托，应当确认投资者有足额可用的证券。</w:t>
      </w:r>
    </w:p>
    <w:p>
      <w:pPr>
        <w:spacing w:after="0" w:line="560" w:lineRule="exact"/>
        <w:ind w:firstLine="643" w:firstLineChars="200"/>
        <w:jc w:val="both"/>
        <w:rPr>
          <w:szCs w:val="32"/>
        </w:rPr>
      </w:pPr>
      <w:r>
        <w:rPr>
          <w:b/>
          <w:szCs w:val="32"/>
        </w:rPr>
        <w:t>第二十条</w:t>
      </w:r>
      <w:r>
        <w:rPr>
          <w:szCs w:val="32"/>
        </w:rPr>
        <w:t xml:space="preserve"> 境内证券公司应当采取有效措施，妥善保存客户委托及交易记录等文件资料，防止出现遗失、损毁、伪造、篡改等情况，保存期限不得少于二十年。</w:t>
      </w:r>
    </w:p>
    <w:p>
      <w:pPr>
        <w:spacing w:after="0" w:line="560" w:lineRule="exact"/>
        <w:ind w:left="0" w:firstLine="643" w:firstLineChars="200"/>
        <w:jc w:val="both"/>
        <w:rPr>
          <w:szCs w:val="32"/>
        </w:rPr>
      </w:pPr>
      <w:r>
        <w:rPr>
          <w:b/>
          <w:szCs w:val="32"/>
        </w:rPr>
        <w:t>第二十一条</w:t>
      </w:r>
      <w:r>
        <w:rPr>
          <w:szCs w:val="32"/>
        </w:rPr>
        <w:t xml:space="preserve"> 境内证券公司应当对客户信息资料保密，法律、行政法规、部门规章、规范性文件另有规定的除外。</w:t>
      </w:r>
    </w:p>
    <w:p>
      <w:pPr>
        <w:spacing w:after="0" w:line="560" w:lineRule="exact"/>
        <w:ind w:left="0" w:firstLine="640" w:firstLineChars="200"/>
        <w:jc w:val="center"/>
        <w:rPr>
          <w:rFonts w:ascii="黑体" w:hAnsi="黑体" w:eastAsia="黑体"/>
          <w:szCs w:val="32"/>
        </w:rPr>
      </w:pPr>
      <w:r>
        <w:rPr>
          <w:rFonts w:hint="eastAsia" w:ascii="黑体" w:hAnsi="黑体" w:eastAsia="黑体"/>
          <w:szCs w:val="32"/>
        </w:rPr>
        <w:t>第五章 清算交收</w:t>
      </w:r>
    </w:p>
    <w:p>
      <w:pPr>
        <w:spacing w:after="0" w:line="560" w:lineRule="exact"/>
        <w:ind w:left="0" w:firstLine="643" w:firstLineChars="200"/>
        <w:jc w:val="both"/>
        <w:rPr>
          <w:szCs w:val="32"/>
        </w:rPr>
      </w:pPr>
      <w:r>
        <w:rPr>
          <w:b/>
          <w:szCs w:val="32"/>
        </w:rPr>
        <w:t>第二十二条</w:t>
      </w:r>
      <w:r>
        <w:rPr>
          <w:szCs w:val="32"/>
        </w:rPr>
        <w:t xml:space="preserve"> 中国结算在境外完成与香港证券公司的证券和资金交收，并为卖出交易的境内结算提供集中履约保障</w:t>
      </w:r>
      <w:r>
        <w:rPr>
          <w:rFonts w:hint="eastAsia"/>
          <w:szCs w:val="32"/>
        </w:rPr>
        <w:t>。</w:t>
      </w:r>
    </w:p>
    <w:p>
      <w:pPr>
        <w:spacing w:after="0" w:line="560" w:lineRule="exact"/>
        <w:ind w:left="0" w:firstLine="643" w:firstLineChars="200"/>
        <w:jc w:val="both"/>
        <w:rPr>
          <w:szCs w:val="32"/>
        </w:rPr>
      </w:pPr>
      <w:r>
        <w:rPr>
          <w:b/>
          <w:szCs w:val="32"/>
        </w:rPr>
        <w:t>第二十</w:t>
      </w:r>
      <w:r>
        <w:rPr>
          <w:rFonts w:hint="eastAsia"/>
          <w:b/>
          <w:szCs w:val="32"/>
        </w:rPr>
        <w:t>三条</w:t>
      </w:r>
      <w:r>
        <w:rPr>
          <w:rFonts w:hint="eastAsia"/>
          <w:szCs w:val="32"/>
        </w:rPr>
        <w:t xml:space="preserve"> </w:t>
      </w:r>
      <w:r>
        <w:rPr>
          <w:rFonts w:hint="eastAsia" w:cs="Times New Roman"/>
          <w:szCs w:val="32"/>
        </w:rPr>
        <w:t>H</w:t>
      </w:r>
      <w:r>
        <w:rPr>
          <w:szCs w:val="32"/>
        </w:rPr>
        <w:t>股交易的境内结算币种为</w:t>
      </w:r>
      <w:r>
        <w:rPr>
          <w:rFonts w:hint="eastAsia"/>
          <w:szCs w:val="32"/>
        </w:rPr>
        <w:t>港币。</w:t>
      </w:r>
    </w:p>
    <w:p>
      <w:pPr>
        <w:spacing w:after="0" w:line="560" w:lineRule="exact"/>
        <w:ind w:left="0" w:firstLine="643" w:firstLineChars="200"/>
        <w:jc w:val="both"/>
        <w:rPr>
          <w:szCs w:val="32"/>
        </w:rPr>
      </w:pPr>
      <w:r>
        <w:rPr>
          <w:b/>
          <w:szCs w:val="32"/>
        </w:rPr>
        <w:t>第二十</w:t>
      </w:r>
      <w:r>
        <w:rPr>
          <w:rFonts w:hint="eastAsia"/>
          <w:b/>
          <w:szCs w:val="32"/>
        </w:rPr>
        <w:t>四</w:t>
      </w:r>
      <w:r>
        <w:rPr>
          <w:b/>
          <w:szCs w:val="32"/>
        </w:rPr>
        <w:t>条</w:t>
      </w:r>
      <w:r>
        <w:rPr>
          <w:szCs w:val="32"/>
        </w:rPr>
        <w:t xml:space="preserve"> </w:t>
      </w:r>
      <w:r>
        <w:rPr>
          <w:rFonts w:cs="Times New Roman"/>
          <w:szCs w:val="32"/>
        </w:rPr>
        <w:t>H</w:t>
      </w:r>
      <w:r>
        <w:rPr>
          <w:rFonts w:hint="eastAsia"/>
          <w:szCs w:val="32"/>
        </w:rPr>
        <w:t>股交易日</w:t>
      </w:r>
      <w:r>
        <w:rPr>
          <w:szCs w:val="32"/>
        </w:rPr>
        <w:t>日终，</w:t>
      </w:r>
      <w:r>
        <w:rPr>
          <w:rFonts w:hint="eastAsia"/>
          <w:szCs w:val="32"/>
        </w:rPr>
        <w:t>中国结算根据香港证券公司经由深证通发送的H股成交明细数据进行资金清算。</w:t>
      </w:r>
    </w:p>
    <w:p>
      <w:pPr>
        <w:spacing w:after="0" w:line="560" w:lineRule="exact"/>
        <w:ind w:left="0" w:firstLine="643" w:firstLineChars="200"/>
        <w:jc w:val="both"/>
        <w:rPr>
          <w:szCs w:val="32"/>
        </w:rPr>
      </w:pPr>
      <w:r>
        <w:rPr>
          <w:b/>
          <w:szCs w:val="32"/>
        </w:rPr>
        <w:t>第二十</w:t>
      </w:r>
      <w:r>
        <w:rPr>
          <w:rFonts w:hint="eastAsia"/>
          <w:b/>
          <w:szCs w:val="32"/>
        </w:rPr>
        <w:t>五</w:t>
      </w:r>
      <w:r>
        <w:rPr>
          <w:b/>
          <w:szCs w:val="32"/>
        </w:rPr>
        <w:t>条</w:t>
      </w:r>
      <w:r>
        <w:rPr>
          <w:szCs w:val="32"/>
        </w:rPr>
        <w:t xml:space="preserve"> </w:t>
      </w:r>
      <w:r>
        <w:rPr>
          <w:rFonts w:cs="Times New Roman"/>
          <w:szCs w:val="32"/>
        </w:rPr>
        <w:t>H</w:t>
      </w:r>
      <w:r>
        <w:rPr>
          <w:rFonts w:hint="eastAsia"/>
          <w:szCs w:val="32"/>
        </w:rPr>
        <w:t>股交易日</w:t>
      </w:r>
      <w:r>
        <w:rPr>
          <w:szCs w:val="32"/>
        </w:rPr>
        <w:t>后第一个联交所交收日</w:t>
      </w:r>
      <w:r>
        <w:rPr>
          <w:rFonts w:hint="eastAsia"/>
          <w:szCs w:val="32"/>
        </w:rPr>
        <w:t>，</w:t>
      </w:r>
      <w:r>
        <w:rPr>
          <w:szCs w:val="32"/>
        </w:rPr>
        <w:t>中国结算与香港证券公司通过香港结算系统进行预对盘。</w:t>
      </w:r>
    </w:p>
    <w:p>
      <w:pPr>
        <w:spacing w:after="0" w:line="560" w:lineRule="exact"/>
        <w:ind w:left="0" w:firstLine="643" w:firstLineChars="200"/>
        <w:jc w:val="both"/>
        <w:rPr>
          <w:szCs w:val="32"/>
        </w:rPr>
      </w:pPr>
      <w:r>
        <w:rPr>
          <w:b/>
          <w:szCs w:val="32"/>
        </w:rPr>
        <w:t>第二十</w:t>
      </w:r>
      <w:r>
        <w:rPr>
          <w:rFonts w:hint="eastAsia"/>
          <w:b/>
          <w:szCs w:val="32"/>
        </w:rPr>
        <w:t>六</w:t>
      </w:r>
      <w:r>
        <w:rPr>
          <w:b/>
          <w:szCs w:val="32"/>
        </w:rPr>
        <w:t>条</w:t>
      </w:r>
      <w:r>
        <w:rPr>
          <w:szCs w:val="32"/>
        </w:rPr>
        <w:t xml:space="preserve"> </w:t>
      </w:r>
      <w:r>
        <w:rPr>
          <w:rFonts w:cs="Times New Roman"/>
          <w:szCs w:val="32"/>
        </w:rPr>
        <w:t>H</w:t>
      </w:r>
      <w:r>
        <w:rPr>
          <w:rFonts w:hint="eastAsia"/>
          <w:szCs w:val="32"/>
        </w:rPr>
        <w:t>股交易日</w:t>
      </w:r>
      <w:r>
        <w:rPr>
          <w:szCs w:val="32"/>
        </w:rPr>
        <w:t>后第二个联交所交收日，中国结算与香港证券公司通过香港结算以实时货银对付方式完成证券和资金交收。香港证券公司未按时足额向中国结算交付资金</w:t>
      </w:r>
      <w:r>
        <w:rPr>
          <w:rFonts w:hint="eastAsia"/>
          <w:szCs w:val="32"/>
        </w:rPr>
        <w:t>的</w:t>
      </w:r>
      <w:r>
        <w:rPr>
          <w:szCs w:val="32"/>
        </w:rPr>
        <w:t>，中国结算动用其缴纳的担保资金</w:t>
      </w:r>
      <w:r>
        <w:rPr>
          <w:rFonts w:hint="eastAsia"/>
          <w:szCs w:val="32"/>
        </w:rPr>
        <w:t>，</w:t>
      </w:r>
      <w:r>
        <w:rPr>
          <w:szCs w:val="32"/>
        </w:rPr>
        <w:t>仍不足的</w:t>
      </w:r>
      <w:r>
        <w:rPr>
          <w:rFonts w:hint="eastAsia"/>
          <w:szCs w:val="32"/>
        </w:rPr>
        <w:t>则</w:t>
      </w:r>
      <w:r>
        <w:rPr>
          <w:szCs w:val="32"/>
        </w:rPr>
        <w:t>构成香港证券公司资金交收违约，中国结算有权对香港证券公司收取违约金和垫息。</w:t>
      </w:r>
    </w:p>
    <w:p>
      <w:pPr>
        <w:spacing w:after="0" w:line="560" w:lineRule="exact"/>
        <w:ind w:left="0" w:firstLine="643" w:firstLineChars="200"/>
        <w:jc w:val="both"/>
        <w:rPr>
          <w:szCs w:val="32"/>
        </w:rPr>
      </w:pPr>
      <w:r>
        <w:rPr>
          <w:b/>
          <w:szCs w:val="32"/>
        </w:rPr>
        <w:t>第二十七条</w:t>
      </w:r>
      <w:r>
        <w:rPr>
          <w:szCs w:val="32"/>
        </w:rPr>
        <w:t xml:space="preserve"> 中国结算根据清算结果于</w:t>
      </w:r>
      <w:r>
        <w:rPr>
          <w:rFonts w:hint="eastAsia" w:cs="Times New Roman"/>
          <w:szCs w:val="32"/>
        </w:rPr>
        <w:t>H</w:t>
      </w:r>
      <w:r>
        <w:rPr>
          <w:szCs w:val="32"/>
        </w:rPr>
        <w:t>股交易日后的第二个</w:t>
      </w:r>
      <w:r>
        <w:rPr>
          <w:rFonts w:hint="eastAsia"/>
          <w:szCs w:val="32"/>
        </w:rPr>
        <w:t>联交所</w:t>
      </w:r>
      <w:r>
        <w:rPr>
          <w:szCs w:val="32"/>
        </w:rPr>
        <w:t>交收日完成与境内结算参与人的证券和资金交收</w:t>
      </w:r>
      <w:r>
        <w:rPr>
          <w:rFonts w:hint="eastAsia"/>
          <w:szCs w:val="32"/>
        </w:rPr>
        <w:t>，遇境内假期则顺延至假期后首个</w:t>
      </w:r>
      <w:r>
        <w:rPr>
          <w:rFonts w:cs="Times New Roman"/>
          <w:szCs w:val="32"/>
        </w:rPr>
        <w:t>H</w:t>
      </w:r>
      <w:r>
        <w:rPr>
          <w:szCs w:val="32"/>
        </w:rPr>
        <w:t>股</w:t>
      </w:r>
      <w:r>
        <w:rPr>
          <w:rFonts w:hint="eastAsia"/>
          <w:szCs w:val="32"/>
        </w:rPr>
        <w:t>交收日</w:t>
      </w:r>
      <w:r>
        <w:rPr>
          <w:szCs w:val="32"/>
        </w:rPr>
        <w:t>。</w:t>
      </w:r>
    </w:p>
    <w:p>
      <w:pPr>
        <w:spacing w:after="0" w:line="560" w:lineRule="exact"/>
        <w:ind w:left="0" w:firstLine="643" w:firstLineChars="200"/>
        <w:jc w:val="both"/>
        <w:rPr>
          <w:szCs w:val="32"/>
        </w:rPr>
      </w:pPr>
      <w:r>
        <w:rPr>
          <w:b/>
          <w:szCs w:val="32"/>
        </w:rPr>
        <w:t>第二十八条</w:t>
      </w:r>
      <w:r>
        <w:rPr>
          <w:szCs w:val="32"/>
        </w:rPr>
        <w:t xml:space="preserve"> 香港结算因风球、黑色暴雨天气等原因，临时作出特殊交收安排的，中国结算视情况进行处理并及时通知境内结算参与人。</w:t>
      </w:r>
    </w:p>
    <w:p>
      <w:pPr>
        <w:spacing w:after="0" w:line="560" w:lineRule="exact"/>
        <w:ind w:left="0" w:firstLine="640" w:firstLineChars="200"/>
        <w:jc w:val="center"/>
        <w:rPr>
          <w:rFonts w:ascii="黑体" w:hAnsi="黑体" w:eastAsia="黑体"/>
          <w:szCs w:val="32"/>
        </w:rPr>
      </w:pPr>
      <w:r>
        <w:rPr>
          <w:rFonts w:hint="eastAsia" w:ascii="黑体" w:hAnsi="黑体" w:eastAsia="黑体"/>
          <w:szCs w:val="32"/>
        </w:rPr>
        <w:t>第六章 公司行为服务</w:t>
      </w:r>
    </w:p>
    <w:p>
      <w:pPr>
        <w:spacing w:after="0" w:line="560" w:lineRule="exact"/>
        <w:ind w:left="0" w:firstLine="643" w:firstLineChars="200"/>
        <w:jc w:val="both"/>
        <w:rPr>
          <w:szCs w:val="32"/>
        </w:rPr>
      </w:pPr>
      <w:r>
        <w:rPr>
          <w:b/>
          <w:szCs w:val="32"/>
        </w:rPr>
        <w:t>第</w:t>
      </w:r>
      <w:r>
        <w:rPr>
          <w:rFonts w:hint="eastAsia"/>
          <w:b/>
          <w:szCs w:val="32"/>
        </w:rPr>
        <w:t>二十九</w:t>
      </w:r>
      <w:r>
        <w:rPr>
          <w:b/>
          <w:szCs w:val="32"/>
        </w:rPr>
        <w:t>条</w:t>
      </w:r>
      <w:r>
        <w:rPr>
          <w:szCs w:val="32"/>
        </w:rPr>
        <w:t xml:space="preserve"> 中国结算通过境内结算参与人为投资者提供</w:t>
      </w:r>
      <w:r>
        <w:rPr>
          <w:rFonts w:hint="eastAsia"/>
          <w:szCs w:val="32"/>
        </w:rPr>
        <w:t>公司行为</w:t>
      </w:r>
      <w:r>
        <w:rPr>
          <w:szCs w:val="32"/>
        </w:rPr>
        <w:t>服务。</w:t>
      </w:r>
    </w:p>
    <w:p>
      <w:pPr>
        <w:spacing w:after="0" w:line="560" w:lineRule="exact"/>
        <w:ind w:left="0" w:firstLine="643" w:firstLineChars="200"/>
        <w:jc w:val="both"/>
        <w:rPr>
          <w:szCs w:val="32"/>
        </w:rPr>
      </w:pPr>
      <w:r>
        <w:rPr>
          <w:b/>
          <w:szCs w:val="32"/>
        </w:rPr>
        <w:t>第三十条</w:t>
      </w:r>
      <w:r>
        <w:rPr>
          <w:szCs w:val="32"/>
        </w:rPr>
        <w:t xml:space="preserve"> 中国结算提供的</w:t>
      </w:r>
      <w:r>
        <w:rPr>
          <w:rFonts w:hint="eastAsia"/>
          <w:szCs w:val="32"/>
        </w:rPr>
        <w:t>公司行为</w:t>
      </w:r>
      <w:r>
        <w:rPr>
          <w:szCs w:val="32"/>
        </w:rPr>
        <w:t>服务包括现金红利派发、送转股和投票业务。上市公司</w:t>
      </w:r>
      <w:r>
        <w:rPr>
          <w:rFonts w:hint="eastAsia"/>
          <w:szCs w:val="32"/>
        </w:rPr>
        <w:t>通过香港结算</w:t>
      </w:r>
      <w:r>
        <w:rPr>
          <w:szCs w:val="32"/>
        </w:rPr>
        <w:t>对中国结算</w:t>
      </w:r>
      <w:r>
        <w:rPr>
          <w:rFonts w:hint="eastAsia"/>
          <w:szCs w:val="32"/>
        </w:rPr>
        <w:t>证券账户内</w:t>
      </w:r>
      <w:r>
        <w:rPr>
          <w:szCs w:val="32"/>
        </w:rPr>
        <w:t>的</w:t>
      </w:r>
      <w:r>
        <w:rPr>
          <w:rFonts w:hint="eastAsia" w:cs="Times New Roman"/>
          <w:szCs w:val="32"/>
        </w:rPr>
        <w:t>H</w:t>
      </w:r>
      <w:r>
        <w:rPr>
          <w:szCs w:val="32"/>
        </w:rPr>
        <w:t>股股份派发</w:t>
      </w:r>
      <w:r>
        <w:rPr>
          <w:rFonts w:hint="eastAsia"/>
          <w:szCs w:val="32"/>
        </w:rPr>
        <w:t>港币</w:t>
      </w:r>
      <w:r>
        <w:rPr>
          <w:szCs w:val="32"/>
        </w:rPr>
        <w:t>现金红利。</w:t>
      </w:r>
    </w:p>
    <w:p>
      <w:pPr>
        <w:spacing w:after="0" w:line="560" w:lineRule="exact"/>
        <w:ind w:left="0" w:firstLine="643" w:firstLineChars="200"/>
        <w:jc w:val="both"/>
        <w:rPr>
          <w:szCs w:val="32"/>
        </w:rPr>
      </w:pPr>
      <w:r>
        <w:rPr>
          <w:b/>
          <w:szCs w:val="32"/>
        </w:rPr>
        <w:t>第三十</w:t>
      </w:r>
      <w:r>
        <w:rPr>
          <w:rFonts w:hint="eastAsia"/>
          <w:b/>
          <w:szCs w:val="32"/>
        </w:rPr>
        <w:t>一</w:t>
      </w:r>
      <w:r>
        <w:rPr>
          <w:b/>
          <w:szCs w:val="32"/>
        </w:rPr>
        <w:t>条</w:t>
      </w:r>
      <w:r>
        <w:rPr>
          <w:szCs w:val="32"/>
        </w:rPr>
        <w:t xml:space="preserve"> 中国结算收到香港结算有关上市公司的公司行为信息后，通过境内结算参与人通知投资者。</w:t>
      </w:r>
    </w:p>
    <w:p>
      <w:pPr>
        <w:spacing w:after="0" w:line="560" w:lineRule="exact"/>
        <w:ind w:left="0" w:firstLine="643" w:firstLineChars="200"/>
        <w:jc w:val="both"/>
        <w:rPr>
          <w:szCs w:val="32"/>
        </w:rPr>
      </w:pPr>
      <w:r>
        <w:rPr>
          <w:b/>
          <w:szCs w:val="32"/>
        </w:rPr>
        <w:t>第三十</w:t>
      </w:r>
      <w:r>
        <w:rPr>
          <w:rFonts w:hint="eastAsia"/>
          <w:b/>
          <w:szCs w:val="32"/>
        </w:rPr>
        <w:t>二</w:t>
      </w:r>
      <w:r>
        <w:rPr>
          <w:b/>
          <w:szCs w:val="32"/>
        </w:rPr>
        <w:t>条</w:t>
      </w:r>
      <w:r>
        <w:rPr>
          <w:szCs w:val="32"/>
        </w:rPr>
        <w:t xml:space="preserve"> 中国结算从香港结算收到相关权益后，按照股权登记日投资者所持有的股份进行权益派发。相应权益证券直接派发至相关证券账户。相应权益资金派发至</w:t>
      </w:r>
      <w:r>
        <w:rPr>
          <w:rFonts w:hint="eastAsia"/>
          <w:szCs w:val="32"/>
        </w:rPr>
        <w:t>境内</w:t>
      </w:r>
      <w:r>
        <w:rPr>
          <w:szCs w:val="32"/>
        </w:rPr>
        <w:t>结算参与人结算备付金账户，由</w:t>
      </w:r>
      <w:r>
        <w:rPr>
          <w:rFonts w:hint="eastAsia"/>
          <w:szCs w:val="32"/>
        </w:rPr>
        <w:t>境内</w:t>
      </w:r>
      <w:r>
        <w:rPr>
          <w:szCs w:val="32"/>
        </w:rPr>
        <w:t>结算参与人派发给投资者。</w:t>
      </w:r>
    </w:p>
    <w:p>
      <w:pPr>
        <w:spacing w:after="0" w:line="560" w:lineRule="exact"/>
        <w:ind w:left="0" w:firstLine="643" w:firstLineChars="200"/>
        <w:jc w:val="both"/>
        <w:rPr>
          <w:szCs w:val="32"/>
        </w:rPr>
      </w:pPr>
      <w:r>
        <w:rPr>
          <w:b/>
          <w:szCs w:val="32"/>
        </w:rPr>
        <w:t>第三十</w:t>
      </w:r>
      <w:r>
        <w:rPr>
          <w:rFonts w:hint="eastAsia"/>
          <w:b/>
          <w:szCs w:val="32"/>
        </w:rPr>
        <w:t>三</w:t>
      </w:r>
      <w:r>
        <w:rPr>
          <w:b/>
          <w:szCs w:val="32"/>
        </w:rPr>
        <w:t>条</w:t>
      </w:r>
      <w:r>
        <w:rPr>
          <w:szCs w:val="32"/>
        </w:rPr>
        <w:t xml:space="preserve"> 中国结算办理权益证券派发业务，根据香港结算派发权益证券到账时间，在收到权益证券当日或</w:t>
      </w:r>
      <w:r>
        <w:rPr>
          <w:rFonts w:hint="eastAsia"/>
          <w:szCs w:val="32"/>
        </w:rPr>
        <w:t>者下一</w:t>
      </w:r>
      <w:r>
        <w:rPr>
          <w:rFonts w:cs="Times New Roman"/>
          <w:szCs w:val="32"/>
        </w:rPr>
        <w:t>H</w:t>
      </w:r>
      <w:r>
        <w:rPr>
          <w:rFonts w:hint="eastAsia"/>
          <w:szCs w:val="32"/>
        </w:rPr>
        <w:t>股交易日</w:t>
      </w:r>
      <w:r>
        <w:rPr>
          <w:szCs w:val="32"/>
        </w:rPr>
        <w:t>进行业务处理，相应权益证券于处理日下一</w:t>
      </w:r>
      <w:r>
        <w:rPr>
          <w:rFonts w:hint="eastAsia" w:cs="Times New Roman"/>
          <w:szCs w:val="32"/>
        </w:rPr>
        <w:t>H</w:t>
      </w:r>
      <w:r>
        <w:rPr>
          <w:rFonts w:hint="eastAsia"/>
          <w:szCs w:val="32"/>
        </w:rPr>
        <w:t>股</w:t>
      </w:r>
      <w:r>
        <w:rPr>
          <w:szCs w:val="32"/>
        </w:rPr>
        <w:t>交易日上市交易。</w:t>
      </w:r>
    </w:p>
    <w:p>
      <w:pPr>
        <w:spacing w:after="0" w:line="560" w:lineRule="exact"/>
        <w:ind w:left="0" w:firstLine="643" w:firstLineChars="200"/>
        <w:jc w:val="both"/>
        <w:rPr>
          <w:szCs w:val="32"/>
        </w:rPr>
      </w:pPr>
      <w:r>
        <w:rPr>
          <w:b/>
          <w:szCs w:val="32"/>
        </w:rPr>
        <w:t>第三十</w:t>
      </w:r>
      <w:r>
        <w:rPr>
          <w:rFonts w:hint="eastAsia"/>
          <w:b/>
          <w:szCs w:val="32"/>
        </w:rPr>
        <w:t>四</w:t>
      </w:r>
      <w:r>
        <w:rPr>
          <w:b/>
          <w:szCs w:val="32"/>
        </w:rPr>
        <w:t>条</w:t>
      </w:r>
      <w:r>
        <w:rPr>
          <w:szCs w:val="32"/>
        </w:rPr>
        <w:t xml:space="preserve"> 中国结算办理投票业务，汇总申报期内投资者投票意愿后，向香港结算提交。投资者可</w:t>
      </w:r>
      <w:r>
        <w:rPr>
          <w:rFonts w:hint="eastAsia"/>
          <w:szCs w:val="32"/>
        </w:rPr>
        <w:t>以</w:t>
      </w:r>
      <w:r>
        <w:rPr>
          <w:szCs w:val="32"/>
        </w:rPr>
        <w:t>根据联交所上市公司的安排对同一项议案投赞成票、反对票或</w:t>
      </w:r>
      <w:r>
        <w:rPr>
          <w:rFonts w:hint="eastAsia"/>
          <w:szCs w:val="32"/>
        </w:rPr>
        <w:t>者</w:t>
      </w:r>
      <w:r>
        <w:rPr>
          <w:szCs w:val="32"/>
        </w:rPr>
        <w:t>弃权票，投资者也可以选择现场投票。</w:t>
      </w:r>
    </w:p>
    <w:p>
      <w:pPr>
        <w:spacing w:after="0" w:line="560" w:lineRule="exact"/>
        <w:ind w:left="0" w:firstLine="640" w:firstLineChars="200"/>
        <w:jc w:val="center"/>
        <w:rPr>
          <w:rFonts w:ascii="黑体" w:hAnsi="黑体" w:eastAsia="黑体"/>
          <w:szCs w:val="32"/>
        </w:rPr>
      </w:pPr>
      <w:r>
        <w:rPr>
          <w:rFonts w:hint="eastAsia" w:ascii="黑体" w:hAnsi="黑体" w:eastAsia="黑体"/>
          <w:szCs w:val="32"/>
        </w:rPr>
        <w:t>第七章 风险管理</w:t>
      </w:r>
    </w:p>
    <w:p>
      <w:pPr>
        <w:spacing w:after="0" w:line="560" w:lineRule="exact"/>
        <w:ind w:left="0" w:firstLine="643" w:firstLineChars="200"/>
        <w:jc w:val="both"/>
        <w:rPr>
          <w:szCs w:val="32"/>
        </w:rPr>
      </w:pPr>
      <w:r>
        <w:rPr>
          <w:b/>
          <w:szCs w:val="32"/>
        </w:rPr>
        <w:t>第三十</w:t>
      </w:r>
      <w:r>
        <w:rPr>
          <w:rFonts w:hint="eastAsia"/>
          <w:b/>
          <w:szCs w:val="32"/>
        </w:rPr>
        <w:t>五</w:t>
      </w:r>
      <w:r>
        <w:rPr>
          <w:b/>
          <w:szCs w:val="32"/>
        </w:rPr>
        <w:t>条</w:t>
      </w:r>
      <w:r>
        <w:rPr>
          <w:rFonts w:hint="eastAsia"/>
          <w:szCs w:val="32"/>
        </w:rPr>
        <w:t xml:space="preserve"> </w:t>
      </w:r>
      <w:r>
        <w:rPr>
          <w:szCs w:val="32"/>
        </w:rPr>
        <w:t>在境内交易的投资者不可卖空。境内证券公司应当确认投资者有足额可用的证券，香港证券公司对投资者在境内持有的所有H股进行总额控制，共同避免投资者发生卖空。</w:t>
      </w:r>
    </w:p>
    <w:p>
      <w:pPr>
        <w:spacing w:after="0" w:line="560" w:lineRule="exact"/>
        <w:ind w:left="0" w:firstLine="640" w:firstLineChars="200"/>
        <w:jc w:val="both"/>
        <w:rPr>
          <w:szCs w:val="32"/>
        </w:rPr>
      </w:pPr>
      <w:r>
        <w:rPr>
          <w:szCs w:val="32"/>
        </w:rPr>
        <w:t>因境内证券公司</w:t>
      </w:r>
      <w:r>
        <w:rPr>
          <w:rFonts w:hint="eastAsia"/>
          <w:szCs w:val="32"/>
        </w:rPr>
        <w:t>或者香港证券公司</w:t>
      </w:r>
      <w:r>
        <w:rPr>
          <w:szCs w:val="32"/>
        </w:rPr>
        <w:t>持仓前端检查监控失败出现投资者卖空的，由香港证券公司按</w:t>
      </w:r>
      <w:r>
        <w:rPr>
          <w:rFonts w:hint="eastAsia"/>
          <w:szCs w:val="32"/>
        </w:rPr>
        <w:t>照</w:t>
      </w:r>
      <w:r>
        <w:rPr>
          <w:szCs w:val="32"/>
        </w:rPr>
        <w:t>香港市场程序进行补购等业务处理，价差与罚息等由</w:t>
      </w:r>
      <w:r>
        <w:rPr>
          <w:rFonts w:hint="eastAsia"/>
          <w:szCs w:val="32"/>
        </w:rPr>
        <w:t>责任方</w:t>
      </w:r>
      <w:r>
        <w:rPr>
          <w:szCs w:val="32"/>
        </w:rPr>
        <w:t>承担。</w:t>
      </w:r>
    </w:p>
    <w:p>
      <w:pPr>
        <w:spacing w:after="0" w:line="560" w:lineRule="exact"/>
        <w:ind w:left="0" w:firstLine="643" w:firstLineChars="200"/>
        <w:jc w:val="both"/>
        <w:rPr>
          <w:szCs w:val="32"/>
        </w:rPr>
      </w:pPr>
      <w:r>
        <w:rPr>
          <w:b/>
          <w:szCs w:val="32"/>
        </w:rPr>
        <w:t>第三十</w:t>
      </w:r>
      <w:r>
        <w:rPr>
          <w:rFonts w:hint="eastAsia"/>
          <w:b/>
          <w:szCs w:val="32"/>
        </w:rPr>
        <w:t>六</w:t>
      </w:r>
      <w:r>
        <w:rPr>
          <w:b/>
          <w:szCs w:val="32"/>
        </w:rPr>
        <w:t>条</w:t>
      </w:r>
      <w:r>
        <w:rPr>
          <w:szCs w:val="32"/>
        </w:rPr>
        <w:t xml:space="preserve"> 香港证券公司应当</w:t>
      </w:r>
      <w:r>
        <w:rPr>
          <w:rFonts w:hint="eastAsia"/>
          <w:szCs w:val="32"/>
        </w:rPr>
        <w:t>按照约定</w:t>
      </w:r>
      <w:r>
        <w:rPr>
          <w:szCs w:val="32"/>
        </w:rPr>
        <w:t>向中国结算缴纳担保资金。中国结算按</w:t>
      </w:r>
      <w:r>
        <w:rPr>
          <w:rFonts w:hint="eastAsia"/>
          <w:szCs w:val="32"/>
        </w:rPr>
        <w:t>照</w:t>
      </w:r>
      <w:r>
        <w:rPr>
          <w:szCs w:val="32"/>
        </w:rPr>
        <w:t>上月日均卖出金额的一定比例收取担保资金，并有权</w:t>
      </w:r>
      <w:r>
        <w:rPr>
          <w:rFonts w:hint="eastAsia"/>
          <w:szCs w:val="32"/>
        </w:rPr>
        <w:t>按照约定</w:t>
      </w:r>
      <w:r>
        <w:rPr>
          <w:szCs w:val="32"/>
        </w:rPr>
        <w:t>在香港证券公司发生交收违约后提高担保资金比例。</w:t>
      </w:r>
    </w:p>
    <w:p>
      <w:pPr>
        <w:spacing w:after="0" w:line="560" w:lineRule="exact"/>
        <w:ind w:left="0" w:firstLine="643" w:firstLineChars="200"/>
        <w:jc w:val="both"/>
        <w:rPr>
          <w:szCs w:val="32"/>
        </w:rPr>
      </w:pPr>
      <w:r>
        <w:rPr>
          <w:b/>
          <w:szCs w:val="32"/>
        </w:rPr>
        <w:t>第三十</w:t>
      </w:r>
      <w:r>
        <w:rPr>
          <w:rFonts w:hint="eastAsia"/>
          <w:b/>
          <w:szCs w:val="32"/>
        </w:rPr>
        <w:t>七</w:t>
      </w:r>
      <w:r>
        <w:rPr>
          <w:b/>
          <w:szCs w:val="32"/>
        </w:rPr>
        <w:t>条</w:t>
      </w:r>
      <w:r>
        <w:rPr>
          <w:szCs w:val="32"/>
        </w:rPr>
        <w:t xml:space="preserve"> 香港证券公司应当</w:t>
      </w:r>
      <w:r>
        <w:rPr>
          <w:rFonts w:hint="eastAsia"/>
          <w:szCs w:val="32"/>
        </w:rPr>
        <w:t>按照约定</w:t>
      </w:r>
      <w:r>
        <w:rPr>
          <w:szCs w:val="32"/>
        </w:rPr>
        <w:t>向中国结算缴纳结算保证金。中国结算根据香港证券公司上一季度交易量每季度计算和调整一次。</w:t>
      </w:r>
    </w:p>
    <w:p>
      <w:pPr>
        <w:spacing w:after="0" w:line="560" w:lineRule="exact"/>
        <w:ind w:left="0" w:firstLine="643" w:firstLineChars="200"/>
        <w:jc w:val="both"/>
        <w:rPr>
          <w:szCs w:val="32"/>
        </w:rPr>
      </w:pPr>
      <w:r>
        <w:rPr>
          <w:b/>
          <w:szCs w:val="32"/>
        </w:rPr>
        <w:t>第三十</w:t>
      </w:r>
      <w:r>
        <w:rPr>
          <w:rFonts w:hint="eastAsia"/>
          <w:b/>
          <w:szCs w:val="32"/>
        </w:rPr>
        <w:t>八</w:t>
      </w:r>
      <w:r>
        <w:rPr>
          <w:b/>
          <w:szCs w:val="32"/>
        </w:rPr>
        <w:t>条</w:t>
      </w:r>
      <w:r>
        <w:rPr>
          <w:szCs w:val="32"/>
        </w:rPr>
        <w:t xml:space="preserve"> 香港证券公司发生交收违约</w:t>
      </w:r>
      <w:r>
        <w:rPr>
          <w:rFonts w:hint="eastAsia"/>
          <w:szCs w:val="32"/>
        </w:rPr>
        <w:t>的</w:t>
      </w:r>
      <w:r>
        <w:rPr>
          <w:szCs w:val="32"/>
        </w:rPr>
        <w:t>，中国结算有权按</w:t>
      </w:r>
      <w:r>
        <w:rPr>
          <w:rFonts w:hint="eastAsia"/>
          <w:szCs w:val="32"/>
        </w:rPr>
        <w:t>照约定依下列</w:t>
      </w:r>
      <w:r>
        <w:rPr>
          <w:szCs w:val="32"/>
        </w:rPr>
        <w:t>顺序动用相关资金，用于弥补交收违约对中国结算造成的损失：</w:t>
      </w:r>
    </w:p>
    <w:p>
      <w:pPr>
        <w:spacing w:after="0" w:line="560" w:lineRule="exact"/>
        <w:ind w:left="0" w:firstLine="640" w:firstLineChars="200"/>
        <w:jc w:val="both"/>
        <w:rPr>
          <w:szCs w:val="32"/>
        </w:rPr>
      </w:pPr>
      <w:r>
        <w:rPr>
          <w:rFonts w:hint="eastAsia"/>
          <w:szCs w:val="32"/>
        </w:rPr>
        <w:t>（一）</w:t>
      </w:r>
      <w:r>
        <w:rPr>
          <w:szCs w:val="32"/>
        </w:rPr>
        <w:t>香港证券公司缴纳的结算保证金</w:t>
      </w:r>
      <w:r>
        <w:rPr>
          <w:rFonts w:hint="eastAsia"/>
          <w:szCs w:val="32"/>
        </w:rPr>
        <w:t>；</w:t>
      </w:r>
    </w:p>
    <w:p>
      <w:pPr>
        <w:spacing w:after="0" w:line="560" w:lineRule="exact"/>
        <w:ind w:left="0" w:firstLine="640" w:firstLineChars="200"/>
        <w:jc w:val="both"/>
        <w:rPr>
          <w:szCs w:val="32"/>
        </w:rPr>
      </w:pPr>
      <w:r>
        <w:rPr>
          <w:rFonts w:hint="eastAsia"/>
          <w:szCs w:val="32"/>
        </w:rPr>
        <w:t>（二）</w:t>
      </w:r>
      <w:r>
        <w:rPr>
          <w:szCs w:val="32"/>
        </w:rPr>
        <w:t>中国结算有权向香港证券公司境内总部继续追偿。</w:t>
      </w:r>
    </w:p>
    <w:p>
      <w:pPr>
        <w:spacing w:after="0" w:line="560" w:lineRule="exact"/>
        <w:ind w:left="0" w:firstLine="640" w:firstLineChars="200"/>
        <w:jc w:val="center"/>
        <w:rPr>
          <w:rFonts w:ascii="黑体" w:hAnsi="黑体" w:eastAsia="黑体"/>
          <w:szCs w:val="32"/>
        </w:rPr>
      </w:pPr>
      <w:r>
        <w:rPr>
          <w:rFonts w:hint="eastAsia" w:ascii="黑体" w:hAnsi="黑体" w:eastAsia="黑体"/>
          <w:szCs w:val="32"/>
        </w:rPr>
        <w:t>第八章 结算参与机构和结算银行管理</w:t>
      </w:r>
    </w:p>
    <w:p>
      <w:pPr>
        <w:spacing w:after="0" w:line="560" w:lineRule="exact"/>
        <w:ind w:left="0" w:firstLine="643" w:firstLineChars="200"/>
        <w:jc w:val="both"/>
        <w:rPr>
          <w:szCs w:val="32"/>
        </w:rPr>
      </w:pPr>
      <w:r>
        <w:rPr>
          <w:b/>
          <w:szCs w:val="32"/>
        </w:rPr>
        <w:t>第</w:t>
      </w:r>
      <w:r>
        <w:rPr>
          <w:rFonts w:hint="eastAsia"/>
          <w:b/>
          <w:szCs w:val="32"/>
        </w:rPr>
        <w:t>三十九</w:t>
      </w:r>
      <w:r>
        <w:rPr>
          <w:b/>
          <w:szCs w:val="32"/>
        </w:rPr>
        <w:t>条</w:t>
      </w:r>
      <w:r>
        <w:rPr>
          <w:szCs w:val="32"/>
        </w:rPr>
        <w:t xml:space="preserve"> 结算参与人在办理证券和资金清算交收等业务过程中违反本细则的</w:t>
      </w:r>
      <w:r>
        <w:rPr>
          <w:rFonts w:hint="eastAsia" w:cs="Times New Roman"/>
          <w:szCs w:val="32"/>
        </w:rPr>
        <w:t>，</w:t>
      </w:r>
      <w:r>
        <w:rPr>
          <w:szCs w:val="32"/>
        </w:rPr>
        <w:t>中国结算可</w:t>
      </w:r>
      <w:r>
        <w:rPr>
          <w:rFonts w:hint="eastAsia"/>
          <w:szCs w:val="32"/>
        </w:rPr>
        <w:t>以</w:t>
      </w:r>
      <w:r>
        <w:rPr>
          <w:szCs w:val="32"/>
        </w:rPr>
        <w:t>参照结算参与人管理相关规定，对其采取相应措施。</w:t>
      </w:r>
    </w:p>
    <w:p>
      <w:pPr>
        <w:spacing w:after="0" w:line="560" w:lineRule="exact"/>
        <w:ind w:left="0" w:firstLine="643" w:firstLineChars="200"/>
        <w:jc w:val="both"/>
        <w:rPr>
          <w:szCs w:val="32"/>
        </w:rPr>
      </w:pPr>
      <w:r>
        <w:rPr>
          <w:b/>
          <w:szCs w:val="32"/>
        </w:rPr>
        <w:t>第四十条</w:t>
      </w:r>
      <w:r>
        <w:rPr>
          <w:szCs w:val="32"/>
        </w:rPr>
        <w:t xml:space="preserve"> </w:t>
      </w:r>
      <w:r>
        <w:rPr>
          <w:rFonts w:hint="eastAsia" w:cs="Times New Roman"/>
          <w:szCs w:val="32"/>
        </w:rPr>
        <w:t>B</w:t>
      </w:r>
      <w:r>
        <w:rPr>
          <w:szCs w:val="32"/>
        </w:rPr>
        <w:t>转</w:t>
      </w:r>
      <w:r>
        <w:rPr>
          <w:rFonts w:hint="eastAsia" w:cs="Times New Roman"/>
          <w:szCs w:val="32"/>
        </w:rPr>
        <w:t>H</w:t>
      </w:r>
      <w:r>
        <w:rPr>
          <w:szCs w:val="32"/>
        </w:rPr>
        <w:t>业务的结算银行应当是</w:t>
      </w:r>
      <w:r>
        <w:rPr>
          <w:rFonts w:hint="eastAsia"/>
          <w:szCs w:val="32"/>
        </w:rPr>
        <w:t>已</w:t>
      </w:r>
      <w:r>
        <w:rPr>
          <w:szCs w:val="32"/>
        </w:rPr>
        <w:t>为中国结算提供外币结算服务的结算银行。结算银行应</w:t>
      </w:r>
      <w:r>
        <w:rPr>
          <w:rFonts w:hint="eastAsia"/>
          <w:szCs w:val="32"/>
        </w:rPr>
        <w:t>当</w:t>
      </w:r>
      <w:r>
        <w:rPr>
          <w:szCs w:val="32"/>
        </w:rPr>
        <w:t>做好日常业务流程、技术系统对接、外汇申报等安排，制定完善的风控制度和应急处理预案。</w:t>
      </w:r>
    </w:p>
    <w:p>
      <w:pPr>
        <w:spacing w:after="0" w:line="560" w:lineRule="exact"/>
        <w:ind w:left="0" w:firstLine="643" w:firstLineChars="200"/>
        <w:jc w:val="both"/>
        <w:rPr>
          <w:szCs w:val="32"/>
        </w:rPr>
      </w:pPr>
      <w:r>
        <w:rPr>
          <w:b/>
          <w:szCs w:val="32"/>
        </w:rPr>
        <w:t>第四十</w:t>
      </w:r>
      <w:r>
        <w:rPr>
          <w:rFonts w:hint="eastAsia"/>
          <w:b/>
          <w:szCs w:val="32"/>
        </w:rPr>
        <w:t>一</w:t>
      </w:r>
      <w:r>
        <w:rPr>
          <w:b/>
          <w:szCs w:val="32"/>
        </w:rPr>
        <w:t>条</w:t>
      </w:r>
      <w:r>
        <w:rPr>
          <w:szCs w:val="32"/>
        </w:rPr>
        <w:t xml:space="preserve"> 本细则对结算银行</w:t>
      </w:r>
      <w:r>
        <w:rPr>
          <w:rFonts w:hint="eastAsia" w:cs="Times New Roman"/>
          <w:szCs w:val="32"/>
        </w:rPr>
        <w:t>B</w:t>
      </w:r>
      <w:r>
        <w:rPr>
          <w:szCs w:val="32"/>
        </w:rPr>
        <w:t>转</w:t>
      </w:r>
      <w:r>
        <w:rPr>
          <w:rFonts w:hint="eastAsia" w:cs="Times New Roman"/>
          <w:szCs w:val="32"/>
        </w:rPr>
        <w:t>H</w:t>
      </w:r>
      <w:r>
        <w:rPr>
          <w:szCs w:val="32"/>
        </w:rPr>
        <w:t>业务资金结算业务未作规定的，按照中国结算结算银行管理相关规定执行。</w:t>
      </w:r>
    </w:p>
    <w:p>
      <w:pPr>
        <w:spacing w:after="0" w:line="560" w:lineRule="exact"/>
        <w:ind w:left="0" w:firstLine="640" w:firstLineChars="200"/>
        <w:jc w:val="center"/>
        <w:rPr>
          <w:rFonts w:ascii="黑体" w:hAnsi="黑体" w:eastAsia="黑体"/>
          <w:szCs w:val="32"/>
        </w:rPr>
      </w:pPr>
      <w:r>
        <w:rPr>
          <w:rFonts w:hint="eastAsia" w:ascii="黑体" w:hAnsi="黑体" w:eastAsia="黑体"/>
          <w:szCs w:val="32"/>
        </w:rPr>
        <w:t>第九章 附则</w:t>
      </w:r>
    </w:p>
    <w:p>
      <w:pPr>
        <w:spacing w:after="0" w:line="560" w:lineRule="exact"/>
        <w:ind w:left="0" w:firstLine="643" w:firstLineChars="200"/>
        <w:jc w:val="both"/>
        <w:rPr>
          <w:szCs w:val="32"/>
        </w:rPr>
      </w:pPr>
      <w:r>
        <w:rPr>
          <w:b/>
          <w:szCs w:val="32"/>
        </w:rPr>
        <w:t>第四十</w:t>
      </w:r>
      <w:r>
        <w:rPr>
          <w:rFonts w:hint="eastAsia"/>
          <w:b/>
          <w:szCs w:val="32"/>
        </w:rPr>
        <w:t>二</w:t>
      </w:r>
      <w:r>
        <w:rPr>
          <w:b/>
          <w:szCs w:val="32"/>
        </w:rPr>
        <w:t>条</w:t>
      </w:r>
      <w:r>
        <w:rPr>
          <w:szCs w:val="32"/>
        </w:rPr>
        <w:t xml:space="preserve"> 因不可抗力、意外事件、</w:t>
      </w:r>
      <w:r>
        <w:rPr>
          <w:rFonts w:hint="eastAsia"/>
          <w:szCs w:val="32"/>
        </w:rPr>
        <w:t>重大</w:t>
      </w:r>
      <w:r>
        <w:rPr>
          <w:szCs w:val="32"/>
        </w:rPr>
        <w:t>技术故障</w:t>
      </w:r>
      <w:r>
        <w:rPr>
          <w:rFonts w:hint="eastAsia"/>
          <w:szCs w:val="32"/>
        </w:rPr>
        <w:t>、重大人为差错</w:t>
      </w:r>
      <w:r>
        <w:rPr>
          <w:szCs w:val="32"/>
        </w:rPr>
        <w:t>等突发性事件导致或</w:t>
      </w:r>
      <w:r>
        <w:rPr>
          <w:rFonts w:hint="eastAsia"/>
          <w:szCs w:val="32"/>
        </w:rPr>
        <w:t>者</w:t>
      </w:r>
      <w:r>
        <w:rPr>
          <w:szCs w:val="32"/>
        </w:rPr>
        <w:t>可能导致部分或者全部交易不能正常进行的，</w:t>
      </w:r>
      <w:r>
        <w:rPr>
          <w:rFonts w:hint="eastAsia"/>
          <w:szCs w:val="32"/>
        </w:rPr>
        <w:t>深交所</w:t>
      </w:r>
      <w:r>
        <w:rPr>
          <w:szCs w:val="32"/>
        </w:rPr>
        <w:t>可以决定暂停部分或者全部交易</w:t>
      </w:r>
      <w:r>
        <w:rPr>
          <w:rFonts w:hint="eastAsia"/>
          <w:szCs w:val="32"/>
        </w:rPr>
        <w:t>，并</w:t>
      </w:r>
      <w:r>
        <w:rPr>
          <w:szCs w:val="32"/>
        </w:rPr>
        <w:t>通知中国结算暂缓相应交收业务，向市场公告并向中国证监会报告。</w:t>
      </w:r>
    </w:p>
    <w:p>
      <w:pPr>
        <w:spacing w:after="0" w:line="560" w:lineRule="exact"/>
        <w:ind w:left="0" w:firstLine="643" w:firstLineChars="200"/>
        <w:jc w:val="both"/>
        <w:rPr>
          <w:szCs w:val="32"/>
        </w:rPr>
      </w:pPr>
      <w:r>
        <w:rPr>
          <w:b/>
          <w:szCs w:val="32"/>
        </w:rPr>
        <w:t>第四十</w:t>
      </w:r>
      <w:r>
        <w:rPr>
          <w:rFonts w:hint="eastAsia"/>
          <w:b/>
          <w:szCs w:val="32"/>
        </w:rPr>
        <w:t>三</w:t>
      </w:r>
      <w:r>
        <w:rPr>
          <w:b/>
          <w:szCs w:val="32"/>
        </w:rPr>
        <w:t>条</w:t>
      </w:r>
      <w:r>
        <w:rPr>
          <w:szCs w:val="32"/>
        </w:rPr>
        <w:t xml:space="preserve"> 因</w:t>
      </w:r>
      <w:r>
        <w:rPr>
          <w:rFonts w:hint="eastAsia"/>
          <w:szCs w:val="32"/>
        </w:rPr>
        <w:t>本细则第四十二条规定的</w:t>
      </w:r>
      <w:r>
        <w:rPr>
          <w:szCs w:val="32"/>
        </w:rPr>
        <w:t>突发性事件，以及</w:t>
      </w:r>
      <w:r>
        <w:rPr>
          <w:rFonts w:hint="eastAsia"/>
          <w:szCs w:val="32"/>
        </w:rPr>
        <w:t>深交所</w:t>
      </w:r>
      <w:r>
        <w:rPr>
          <w:szCs w:val="32"/>
        </w:rPr>
        <w:t>、中国结算采取相关应对措施给有关当事人造成的损失，中国结算、</w:t>
      </w:r>
      <w:r>
        <w:rPr>
          <w:rFonts w:hint="eastAsia"/>
          <w:szCs w:val="32"/>
        </w:rPr>
        <w:t>深交所</w:t>
      </w:r>
      <w:r>
        <w:rPr>
          <w:szCs w:val="32"/>
        </w:rPr>
        <w:t>不承担责任</w:t>
      </w:r>
      <w:r>
        <w:rPr>
          <w:rFonts w:hint="eastAsia"/>
          <w:szCs w:val="32"/>
        </w:rPr>
        <w:t>，但存在重大过错的除外</w:t>
      </w:r>
      <w:r>
        <w:rPr>
          <w:szCs w:val="32"/>
        </w:rPr>
        <w:t>。</w:t>
      </w:r>
    </w:p>
    <w:p>
      <w:pPr>
        <w:spacing w:after="0" w:line="560" w:lineRule="exact"/>
        <w:ind w:left="0" w:firstLine="643" w:firstLineChars="200"/>
        <w:jc w:val="both"/>
        <w:rPr>
          <w:szCs w:val="32"/>
        </w:rPr>
      </w:pPr>
      <w:r>
        <w:rPr>
          <w:b/>
          <w:szCs w:val="32"/>
        </w:rPr>
        <w:t>第四十</w:t>
      </w:r>
      <w:r>
        <w:rPr>
          <w:rFonts w:hint="eastAsia"/>
          <w:b/>
          <w:szCs w:val="32"/>
        </w:rPr>
        <w:t>四</w:t>
      </w:r>
      <w:r>
        <w:rPr>
          <w:b/>
          <w:szCs w:val="32"/>
        </w:rPr>
        <w:t>条</w:t>
      </w:r>
      <w:r>
        <w:rPr>
          <w:rFonts w:hint="eastAsia"/>
          <w:szCs w:val="32"/>
        </w:rPr>
        <w:t xml:space="preserve"> </w:t>
      </w:r>
      <w:r>
        <w:rPr>
          <w:rFonts w:hint="eastAsia"/>
        </w:rPr>
        <w:t>境内证券公司在发送股份委托指令和接收成交回报过程中，以及对投资者持仓前端检查监控过程中违反本细则的，深交所可以参照会员管理相关规定，对其采取相应自律监管措施。</w:t>
      </w:r>
    </w:p>
    <w:p>
      <w:pPr>
        <w:spacing w:after="0" w:line="560" w:lineRule="exact"/>
        <w:ind w:left="0" w:firstLine="643" w:firstLineChars="200"/>
        <w:jc w:val="both"/>
        <w:rPr>
          <w:szCs w:val="32"/>
        </w:rPr>
      </w:pPr>
      <w:r>
        <w:rPr>
          <w:b/>
          <w:szCs w:val="32"/>
        </w:rPr>
        <w:t>第四十</w:t>
      </w:r>
      <w:r>
        <w:rPr>
          <w:rFonts w:hint="eastAsia"/>
          <w:b/>
          <w:szCs w:val="32"/>
        </w:rPr>
        <w:t>五</w:t>
      </w:r>
      <w:r>
        <w:rPr>
          <w:b/>
          <w:szCs w:val="32"/>
        </w:rPr>
        <w:t>条</w:t>
      </w:r>
      <w:r>
        <w:rPr>
          <w:szCs w:val="32"/>
        </w:rPr>
        <w:t xml:space="preserve"> 本细则下列用语的含义是</w:t>
      </w:r>
      <w:r>
        <w:rPr>
          <w:rFonts w:cs="Times New Roman"/>
          <w:szCs w:val="32"/>
        </w:rPr>
        <w:t>:</w:t>
      </w:r>
    </w:p>
    <w:p>
      <w:pPr>
        <w:spacing w:after="0" w:line="560" w:lineRule="exact"/>
        <w:ind w:left="0" w:firstLine="640" w:firstLineChars="200"/>
        <w:jc w:val="both"/>
        <w:rPr>
          <w:szCs w:val="32"/>
        </w:rPr>
      </w:pPr>
      <w:r>
        <w:rPr>
          <w:rFonts w:hint="eastAsia" w:cs="Times New Roman"/>
          <w:szCs w:val="32"/>
        </w:rPr>
        <w:t>（一）</w:t>
      </w:r>
      <w:r>
        <w:rPr>
          <w:rFonts w:cs="Times New Roman"/>
          <w:szCs w:val="32"/>
        </w:rPr>
        <w:t>H</w:t>
      </w:r>
      <w:r>
        <w:rPr>
          <w:szCs w:val="32"/>
        </w:rPr>
        <w:t>股，是指</w:t>
      </w:r>
      <w:r>
        <w:rPr>
          <w:rFonts w:hint="eastAsia"/>
          <w:szCs w:val="32"/>
        </w:rPr>
        <w:t>经</w:t>
      </w:r>
      <w:r>
        <w:rPr>
          <w:szCs w:val="32"/>
        </w:rPr>
        <w:t>中国证监会</w:t>
      </w:r>
      <w:r>
        <w:rPr>
          <w:rFonts w:hint="eastAsia"/>
          <w:szCs w:val="32"/>
        </w:rPr>
        <w:t>备案</w:t>
      </w:r>
      <w:r>
        <w:rPr>
          <w:szCs w:val="32"/>
        </w:rPr>
        <w:t>的上市公司</w:t>
      </w:r>
      <w:r>
        <w:rPr>
          <w:rFonts w:cs="Times New Roman"/>
          <w:szCs w:val="32"/>
        </w:rPr>
        <w:t>B</w:t>
      </w:r>
      <w:r>
        <w:rPr>
          <w:szCs w:val="32"/>
        </w:rPr>
        <w:t>转</w:t>
      </w:r>
      <w:r>
        <w:rPr>
          <w:rFonts w:cs="Times New Roman"/>
          <w:szCs w:val="32"/>
        </w:rPr>
        <w:t>H</w:t>
      </w:r>
      <w:r>
        <w:rPr>
          <w:szCs w:val="32"/>
        </w:rPr>
        <w:t>股份</w:t>
      </w:r>
      <w:r>
        <w:rPr>
          <w:rFonts w:hint="eastAsia"/>
          <w:szCs w:val="32"/>
        </w:rPr>
        <w:t>；</w:t>
      </w:r>
    </w:p>
    <w:p>
      <w:pPr>
        <w:spacing w:after="0" w:line="560" w:lineRule="exact"/>
        <w:ind w:left="0" w:firstLine="640" w:firstLineChars="200"/>
        <w:jc w:val="both"/>
        <w:rPr>
          <w:szCs w:val="32"/>
        </w:rPr>
      </w:pPr>
      <w:r>
        <w:rPr>
          <w:rFonts w:hint="eastAsia" w:cs="Times New Roman"/>
          <w:szCs w:val="32"/>
        </w:rPr>
        <w:t>（二）</w:t>
      </w:r>
      <w:r>
        <w:rPr>
          <w:rFonts w:cs="Times New Roman"/>
          <w:szCs w:val="32"/>
        </w:rPr>
        <w:t>H</w:t>
      </w:r>
      <w:r>
        <w:rPr>
          <w:rFonts w:hint="eastAsia"/>
          <w:szCs w:val="32"/>
        </w:rPr>
        <w:t>股交易日</w:t>
      </w:r>
      <w:r>
        <w:rPr>
          <w:szCs w:val="32"/>
        </w:rPr>
        <w:t>，是指</w:t>
      </w:r>
      <w:r>
        <w:rPr>
          <w:rFonts w:hint="eastAsia"/>
          <w:szCs w:val="32"/>
        </w:rPr>
        <w:t>深交所</w:t>
      </w:r>
      <w:r>
        <w:rPr>
          <w:rFonts w:cs="Times New Roman"/>
          <w:szCs w:val="32"/>
        </w:rPr>
        <w:t>B</w:t>
      </w:r>
      <w:r>
        <w:rPr>
          <w:szCs w:val="32"/>
        </w:rPr>
        <w:t>股</w:t>
      </w:r>
      <w:r>
        <w:rPr>
          <w:rFonts w:hint="eastAsia"/>
          <w:szCs w:val="32"/>
        </w:rPr>
        <w:t>市场</w:t>
      </w:r>
      <w:r>
        <w:rPr>
          <w:szCs w:val="32"/>
        </w:rPr>
        <w:t>和联交所</w:t>
      </w:r>
      <w:r>
        <w:rPr>
          <w:rFonts w:hint="eastAsia"/>
          <w:szCs w:val="32"/>
        </w:rPr>
        <w:t>股票市场</w:t>
      </w:r>
      <w:r>
        <w:rPr>
          <w:szCs w:val="32"/>
        </w:rPr>
        <w:t>的共同交易日</w:t>
      </w:r>
      <w:r>
        <w:rPr>
          <w:rFonts w:hint="eastAsia"/>
          <w:szCs w:val="32"/>
        </w:rPr>
        <w:t>；</w:t>
      </w:r>
    </w:p>
    <w:p>
      <w:pPr>
        <w:spacing w:after="0" w:line="560" w:lineRule="exact"/>
        <w:ind w:left="0" w:firstLine="640" w:firstLineChars="200"/>
        <w:jc w:val="both"/>
        <w:rPr>
          <w:szCs w:val="32"/>
        </w:rPr>
      </w:pPr>
      <w:r>
        <w:rPr>
          <w:rFonts w:hint="eastAsia" w:cs="Times New Roman"/>
          <w:szCs w:val="32"/>
        </w:rPr>
        <w:t>（三）</w:t>
      </w:r>
      <w:r>
        <w:rPr>
          <w:rFonts w:cs="Times New Roman"/>
          <w:szCs w:val="32"/>
        </w:rPr>
        <w:t>H</w:t>
      </w:r>
      <w:r>
        <w:rPr>
          <w:rFonts w:hint="eastAsia"/>
          <w:szCs w:val="32"/>
        </w:rPr>
        <w:t>股交收日</w:t>
      </w:r>
      <w:r>
        <w:rPr>
          <w:szCs w:val="32"/>
        </w:rPr>
        <w:t>，是指</w:t>
      </w:r>
      <w:r>
        <w:rPr>
          <w:rFonts w:hint="eastAsia"/>
          <w:szCs w:val="32"/>
        </w:rPr>
        <w:t>深交所</w:t>
      </w:r>
      <w:r>
        <w:rPr>
          <w:rFonts w:cs="Times New Roman"/>
          <w:szCs w:val="32"/>
        </w:rPr>
        <w:t>B</w:t>
      </w:r>
      <w:r>
        <w:rPr>
          <w:szCs w:val="32"/>
        </w:rPr>
        <w:t>股</w:t>
      </w:r>
      <w:r>
        <w:rPr>
          <w:rFonts w:hint="eastAsia"/>
          <w:szCs w:val="32"/>
        </w:rPr>
        <w:t>市场</w:t>
      </w:r>
      <w:r>
        <w:rPr>
          <w:szCs w:val="32"/>
        </w:rPr>
        <w:t>和联交所</w:t>
      </w:r>
      <w:r>
        <w:rPr>
          <w:rFonts w:hint="eastAsia"/>
          <w:szCs w:val="32"/>
        </w:rPr>
        <w:t>股票市场</w:t>
      </w:r>
      <w:r>
        <w:rPr>
          <w:szCs w:val="32"/>
        </w:rPr>
        <w:t>的共同</w:t>
      </w:r>
      <w:r>
        <w:rPr>
          <w:rFonts w:hint="eastAsia"/>
          <w:szCs w:val="32"/>
        </w:rPr>
        <w:t>交收</w:t>
      </w:r>
      <w:r>
        <w:rPr>
          <w:szCs w:val="32"/>
        </w:rPr>
        <w:t>日。</w:t>
      </w:r>
    </w:p>
    <w:p>
      <w:pPr>
        <w:spacing w:after="0" w:line="560" w:lineRule="exact"/>
        <w:ind w:left="0" w:firstLine="643" w:firstLineChars="200"/>
        <w:jc w:val="both"/>
        <w:rPr>
          <w:szCs w:val="32"/>
        </w:rPr>
      </w:pPr>
      <w:r>
        <w:rPr>
          <w:b/>
          <w:szCs w:val="32"/>
        </w:rPr>
        <w:t>第四十</w:t>
      </w:r>
      <w:r>
        <w:rPr>
          <w:rFonts w:hint="eastAsia"/>
          <w:b/>
          <w:szCs w:val="32"/>
        </w:rPr>
        <w:t>六</w:t>
      </w:r>
      <w:r>
        <w:rPr>
          <w:b/>
          <w:szCs w:val="32"/>
        </w:rPr>
        <w:t>条</w:t>
      </w:r>
      <w:r>
        <w:rPr>
          <w:szCs w:val="32"/>
        </w:rPr>
        <w:t xml:space="preserve"> 税收相关安排按照税务部门规定执行，业务收费按</w:t>
      </w:r>
      <w:r>
        <w:rPr>
          <w:rFonts w:hint="eastAsia"/>
          <w:szCs w:val="32"/>
        </w:rPr>
        <w:t>照</w:t>
      </w:r>
      <w:r>
        <w:rPr>
          <w:szCs w:val="32"/>
        </w:rPr>
        <w:t>中国结算、</w:t>
      </w:r>
      <w:r>
        <w:rPr>
          <w:rFonts w:hint="eastAsia"/>
          <w:szCs w:val="32"/>
        </w:rPr>
        <w:t>深证通</w:t>
      </w:r>
      <w:r>
        <w:rPr>
          <w:szCs w:val="32"/>
        </w:rPr>
        <w:t>相关规定收取。</w:t>
      </w:r>
    </w:p>
    <w:p>
      <w:pPr>
        <w:spacing w:after="0" w:line="560" w:lineRule="exact"/>
        <w:ind w:left="0" w:firstLine="643" w:firstLineChars="200"/>
        <w:jc w:val="both"/>
        <w:rPr>
          <w:szCs w:val="32"/>
        </w:rPr>
      </w:pPr>
      <w:r>
        <w:rPr>
          <w:b/>
          <w:szCs w:val="32"/>
        </w:rPr>
        <w:t>第四十</w:t>
      </w:r>
      <w:r>
        <w:rPr>
          <w:rFonts w:hint="eastAsia"/>
          <w:b/>
          <w:szCs w:val="32"/>
        </w:rPr>
        <w:t>七</w:t>
      </w:r>
      <w:r>
        <w:rPr>
          <w:b/>
          <w:szCs w:val="32"/>
        </w:rPr>
        <w:t>条</w:t>
      </w:r>
      <w:r>
        <w:rPr>
          <w:szCs w:val="32"/>
        </w:rPr>
        <w:t xml:space="preserve"> 涉及境内投资者信息跨境提供的，应</w:t>
      </w:r>
      <w:r>
        <w:rPr>
          <w:rFonts w:hint="eastAsia"/>
          <w:szCs w:val="32"/>
        </w:rPr>
        <w:t>当</w:t>
      </w:r>
      <w:r>
        <w:rPr>
          <w:szCs w:val="32"/>
        </w:rPr>
        <w:t>符合境内数据出境有关</w:t>
      </w:r>
      <w:r>
        <w:rPr>
          <w:rFonts w:hint="eastAsia"/>
          <w:szCs w:val="32"/>
        </w:rPr>
        <w:t>法律法规</w:t>
      </w:r>
      <w:r>
        <w:rPr>
          <w:szCs w:val="32"/>
        </w:rPr>
        <w:t>的规定和境内监管部门的要求。</w:t>
      </w:r>
    </w:p>
    <w:p>
      <w:pPr>
        <w:spacing w:after="0" w:line="560" w:lineRule="exact"/>
        <w:ind w:left="0" w:firstLine="643" w:firstLineChars="200"/>
        <w:jc w:val="both"/>
        <w:rPr>
          <w:szCs w:val="32"/>
        </w:rPr>
      </w:pPr>
      <w:r>
        <w:rPr>
          <w:b/>
          <w:szCs w:val="32"/>
        </w:rPr>
        <w:t>第</w:t>
      </w:r>
      <w:r>
        <w:rPr>
          <w:rFonts w:hint="eastAsia"/>
          <w:b/>
          <w:szCs w:val="32"/>
        </w:rPr>
        <w:t>四十八</w:t>
      </w:r>
      <w:r>
        <w:rPr>
          <w:b/>
          <w:szCs w:val="32"/>
        </w:rPr>
        <w:t>条</w:t>
      </w:r>
      <w:r>
        <w:rPr>
          <w:szCs w:val="32"/>
        </w:rPr>
        <w:t xml:space="preserve"> 本细则由中国结算和</w:t>
      </w:r>
      <w:r>
        <w:rPr>
          <w:rFonts w:hint="eastAsia"/>
          <w:szCs w:val="32"/>
        </w:rPr>
        <w:t>深交所</w:t>
      </w:r>
      <w:r>
        <w:rPr>
          <w:szCs w:val="32"/>
        </w:rPr>
        <w:t>负责解释。</w:t>
      </w:r>
    </w:p>
    <w:p>
      <w:pPr>
        <w:spacing w:after="0" w:line="560" w:lineRule="exact"/>
        <w:ind w:left="0" w:firstLine="643" w:firstLineChars="200"/>
        <w:jc w:val="both"/>
        <w:rPr>
          <w:szCs w:val="32"/>
        </w:rPr>
      </w:pPr>
      <w:r>
        <w:rPr>
          <w:b/>
          <w:szCs w:val="32"/>
        </w:rPr>
        <w:t>第</w:t>
      </w:r>
      <w:r>
        <w:rPr>
          <w:rFonts w:hint="eastAsia"/>
          <w:b/>
          <w:szCs w:val="32"/>
        </w:rPr>
        <w:t>四十九</w:t>
      </w:r>
      <w:r>
        <w:rPr>
          <w:b/>
          <w:szCs w:val="32"/>
        </w:rPr>
        <w:t>条</w:t>
      </w:r>
      <w:r>
        <w:rPr>
          <w:szCs w:val="32"/>
        </w:rPr>
        <w:t xml:space="preserve"> 本细则自</w:t>
      </w:r>
      <w:r>
        <w:rPr>
          <w:rFonts w:hint="eastAsia"/>
          <w:szCs w:val="32"/>
        </w:rPr>
        <w:t>2024</w:t>
      </w:r>
      <w:r>
        <w:rPr>
          <w:szCs w:val="32"/>
        </w:rPr>
        <w:t>年</w:t>
      </w:r>
      <w:r>
        <w:rPr>
          <w:rFonts w:hint="eastAsia"/>
          <w:szCs w:val="32"/>
        </w:rPr>
        <w:t>1</w:t>
      </w:r>
      <w:r>
        <w:rPr>
          <w:szCs w:val="32"/>
        </w:rPr>
        <w:t>月</w:t>
      </w:r>
      <w:r>
        <w:rPr>
          <w:rFonts w:hint="eastAsia"/>
          <w:szCs w:val="32"/>
        </w:rPr>
        <w:t>8</w:t>
      </w:r>
      <w:r>
        <w:rPr>
          <w:szCs w:val="32"/>
        </w:rPr>
        <w:t>日起施行。</w:t>
      </w:r>
    </w:p>
    <w:sectPr>
      <w:footerReference r:id="rId7" w:type="first"/>
      <w:footerReference r:id="rId5" w:type="default"/>
      <w:footerReference r:id="rId6" w:type="even"/>
      <w:pgSz w:w="11904" w:h="16840"/>
      <w:pgMar w:top="1574" w:right="1627" w:bottom="1463" w:left="1796" w:header="72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70" w:firstLine="0"/>
      <w:jc w:val="right"/>
      <w:rPr>
        <w:rFonts w:ascii="宋体" w:hAnsi="宋体" w:eastAsia="宋体" w:cs="宋体"/>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ascii="宋体" w:hAnsi="宋体" w:eastAsia="宋体" w:cs="宋体"/>
        <w:sz w:val="28"/>
      </w:rPr>
      <w:t>5</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firstLine="0"/>
      <w:rPr>
        <w:rFonts w:ascii="宋体" w:hAnsi="宋体" w:eastAsia="宋体" w:cs="宋体"/>
      </w:rPr>
    </w:pPr>
    <w:r>
      <w:rPr>
        <w:rFonts w:hint="eastAsia" w:ascii="宋体" w:hAnsi="宋体" w:eastAsia="宋体" w:cs="宋体"/>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ascii="宋体" w:hAnsi="宋体" w:eastAsia="宋体" w:cs="宋体"/>
        <w:sz w:val="28"/>
      </w:rPr>
      <w:t>6</w:t>
    </w:r>
    <w:r>
      <w:rPr>
        <w:rFonts w:hint="eastAsia" w:ascii="宋体" w:hAnsi="宋体" w:eastAsia="宋体" w:cs="宋体"/>
        <w:sz w:val="28"/>
      </w:rPr>
      <w:fldChar w:fldCharType="end"/>
    </w:r>
    <w:r>
      <w:rPr>
        <w:rFonts w:hint="eastAsia" w:ascii="宋体" w:hAnsi="宋体" w:eastAsia="宋体" w:cs="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firstLine="0"/>
    </w:pPr>
    <w:r>
      <w:rPr>
        <w:rFonts w:ascii="宋体" w:hAnsi="宋体" w:eastAsia="宋体" w:cs="宋体"/>
        <w:sz w:val="28"/>
      </w:rPr>
      <w:t xml:space="preserve">— </w:t>
    </w:r>
    <w:r>
      <w:rPr>
        <w:rFonts w:ascii="Times New Roman" w:hAnsi="Times New Roman" w:eastAsia="Times New Roman" w:cs="Times New Roman"/>
        <w:sz w:val="28"/>
      </w:rPr>
      <w:fldChar w:fldCharType="begin"/>
    </w:r>
    <w:r>
      <w:rPr>
        <w:rFonts w:ascii="Times New Roman" w:hAnsi="Times New Roman" w:eastAsia="Times New Roman" w:cs="Times New Roman"/>
        <w:sz w:val="28"/>
      </w:rPr>
      <w:instrText xml:space="preserve"> PAGE   \* MERGEFORMAT </w:instrText>
    </w:r>
    <w:r>
      <w:rPr>
        <w:rFonts w:ascii="Times New Roman" w:hAnsi="Times New Roman" w:eastAsia="Times New Roman" w:cs="Times New Roman"/>
        <w:sz w:val="28"/>
      </w:rPr>
      <w:fldChar w:fldCharType="separate"/>
    </w:r>
    <w:r>
      <w:rPr>
        <w:rFonts w:ascii="Times New Roman" w:hAnsi="Times New Roman" w:eastAsia="Times New Roman" w:cs="Times New Roman"/>
        <w:sz w:val="28"/>
      </w:rPr>
      <w:t>10</w:t>
    </w:r>
    <w:r>
      <w:rPr>
        <w:rFonts w:ascii="Times New Roman" w:hAnsi="Times New Roman" w:eastAsia="Times New Roman" w:cs="Times New Roman"/>
        <w:sz w:val="28"/>
      </w:rPr>
      <w:fldChar w:fldCharType="end"/>
    </w:r>
    <w:r>
      <w:rPr>
        <w:rFonts w:ascii="Times New Roman" w:hAnsi="Times New Roman" w:eastAsia="Times New Roman" w:cs="Times New Roman"/>
        <w:sz w:val="28"/>
      </w:rPr>
      <w:t xml:space="preserve"> </w:t>
    </w:r>
    <w:r>
      <w:rPr>
        <w:rFonts w:ascii="宋体" w:hAnsi="宋体" w:eastAsia="宋体" w:cs="宋体"/>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72" w:lineRule="auto"/>
      </w:pPr>
      <w:r>
        <w:separator/>
      </w:r>
    </w:p>
  </w:footnote>
  <w:footnote w:type="continuationSeparator" w:id="1">
    <w:p>
      <w:pPr>
        <w:spacing w:before="0" w:after="0" w:line="37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06131"/>
    <w:multiLevelType w:val="multilevel"/>
    <w:tmpl w:val="1B206131"/>
    <w:lvl w:ilvl="0" w:tentative="0">
      <w:start w:val="3"/>
      <w:numFmt w:val="decimal"/>
      <w:pStyle w:val="2"/>
      <w:lvlText w:val="%1."/>
      <w:lvlJc w:val="left"/>
      <w:pPr>
        <w:ind w:left="0"/>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2658"/>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3378"/>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4098"/>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4818"/>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5538"/>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6258"/>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978"/>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7698"/>
      </w:pPr>
      <w:rPr>
        <w:rFonts w:ascii="仿宋" w:hAnsi="仿宋" w:eastAsia="仿宋" w:cs="仿宋"/>
        <w:b w:val="0"/>
        <w:i w:val="0"/>
        <w:strike w:val="0"/>
        <w:dstrike w:val="0"/>
        <w:color w:val="000000"/>
        <w:sz w:val="32"/>
        <w:szCs w:val="32"/>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noPunctuationKerning w:val="1"/>
  <w:characterSpacingControl w:val="doNotCompress"/>
  <w:footnotePr>
    <w:footnote w:id="0"/>
    <w:footnote w:id="1"/>
  </w:footnotePr>
  <w:endnotePr>
    <w:endnote w:id="0"/>
    <w:endnote w:id="1"/>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1E4"/>
    <w:rsid w:val="00026815"/>
    <w:rsid w:val="00040F92"/>
    <w:rsid w:val="0005122F"/>
    <w:rsid w:val="00066096"/>
    <w:rsid w:val="00070F07"/>
    <w:rsid w:val="00080AFE"/>
    <w:rsid w:val="000B5AE8"/>
    <w:rsid w:val="000B6301"/>
    <w:rsid w:val="000C1FA4"/>
    <w:rsid w:val="000C7590"/>
    <w:rsid w:val="000E6D0A"/>
    <w:rsid w:val="00106216"/>
    <w:rsid w:val="00130ACD"/>
    <w:rsid w:val="0015045C"/>
    <w:rsid w:val="00154064"/>
    <w:rsid w:val="0017608A"/>
    <w:rsid w:val="00184686"/>
    <w:rsid w:val="0019311A"/>
    <w:rsid w:val="001A2227"/>
    <w:rsid w:val="001A6293"/>
    <w:rsid w:val="001B4E87"/>
    <w:rsid w:val="001B77B2"/>
    <w:rsid w:val="001C48EC"/>
    <w:rsid w:val="001F4583"/>
    <w:rsid w:val="0022095B"/>
    <w:rsid w:val="00221744"/>
    <w:rsid w:val="00224907"/>
    <w:rsid w:val="00240DB9"/>
    <w:rsid w:val="00256646"/>
    <w:rsid w:val="00282CEA"/>
    <w:rsid w:val="002A417D"/>
    <w:rsid w:val="002C01E4"/>
    <w:rsid w:val="002C7652"/>
    <w:rsid w:val="002D196B"/>
    <w:rsid w:val="0031568E"/>
    <w:rsid w:val="00335D89"/>
    <w:rsid w:val="00341104"/>
    <w:rsid w:val="00341A4E"/>
    <w:rsid w:val="00362A53"/>
    <w:rsid w:val="00382772"/>
    <w:rsid w:val="0038366B"/>
    <w:rsid w:val="003E4380"/>
    <w:rsid w:val="003E6081"/>
    <w:rsid w:val="00417C9D"/>
    <w:rsid w:val="00422EB6"/>
    <w:rsid w:val="00450721"/>
    <w:rsid w:val="00454BC2"/>
    <w:rsid w:val="00480BB6"/>
    <w:rsid w:val="004B5C56"/>
    <w:rsid w:val="004E0267"/>
    <w:rsid w:val="005032B1"/>
    <w:rsid w:val="00504E55"/>
    <w:rsid w:val="00536790"/>
    <w:rsid w:val="005406F2"/>
    <w:rsid w:val="00546B10"/>
    <w:rsid w:val="005628AC"/>
    <w:rsid w:val="005A48D1"/>
    <w:rsid w:val="005B0CE8"/>
    <w:rsid w:val="005B262F"/>
    <w:rsid w:val="005C2333"/>
    <w:rsid w:val="005F0857"/>
    <w:rsid w:val="005F1ADD"/>
    <w:rsid w:val="005F627F"/>
    <w:rsid w:val="00622973"/>
    <w:rsid w:val="00652845"/>
    <w:rsid w:val="00654FD2"/>
    <w:rsid w:val="00657456"/>
    <w:rsid w:val="006675AE"/>
    <w:rsid w:val="00674602"/>
    <w:rsid w:val="006A4AEE"/>
    <w:rsid w:val="00703B61"/>
    <w:rsid w:val="0070610E"/>
    <w:rsid w:val="0070695F"/>
    <w:rsid w:val="00716AC8"/>
    <w:rsid w:val="0074384D"/>
    <w:rsid w:val="0075297E"/>
    <w:rsid w:val="00760D8B"/>
    <w:rsid w:val="007B2A00"/>
    <w:rsid w:val="007B6B61"/>
    <w:rsid w:val="007B70EA"/>
    <w:rsid w:val="007C5B66"/>
    <w:rsid w:val="007C678E"/>
    <w:rsid w:val="007D4B2C"/>
    <w:rsid w:val="007E5383"/>
    <w:rsid w:val="007E7364"/>
    <w:rsid w:val="007F2E76"/>
    <w:rsid w:val="008078E9"/>
    <w:rsid w:val="00831E0F"/>
    <w:rsid w:val="008333BB"/>
    <w:rsid w:val="008401E8"/>
    <w:rsid w:val="0085292F"/>
    <w:rsid w:val="00877466"/>
    <w:rsid w:val="00884C89"/>
    <w:rsid w:val="00896FAA"/>
    <w:rsid w:val="008A05F1"/>
    <w:rsid w:val="008B3C6B"/>
    <w:rsid w:val="008C657A"/>
    <w:rsid w:val="008F7C47"/>
    <w:rsid w:val="009215BC"/>
    <w:rsid w:val="00943D63"/>
    <w:rsid w:val="009627C6"/>
    <w:rsid w:val="009D5735"/>
    <w:rsid w:val="009E09C7"/>
    <w:rsid w:val="009E7944"/>
    <w:rsid w:val="009F341C"/>
    <w:rsid w:val="009F7168"/>
    <w:rsid w:val="00A27DD9"/>
    <w:rsid w:val="00A31B5C"/>
    <w:rsid w:val="00A42606"/>
    <w:rsid w:val="00A46169"/>
    <w:rsid w:val="00A52080"/>
    <w:rsid w:val="00AC3731"/>
    <w:rsid w:val="00AF4703"/>
    <w:rsid w:val="00B11764"/>
    <w:rsid w:val="00B341C2"/>
    <w:rsid w:val="00B555EA"/>
    <w:rsid w:val="00B94DBF"/>
    <w:rsid w:val="00BE0919"/>
    <w:rsid w:val="00C4492A"/>
    <w:rsid w:val="00C615D3"/>
    <w:rsid w:val="00C9521B"/>
    <w:rsid w:val="00CA7133"/>
    <w:rsid w:val="00CB39EA"/>
    <w:rsid w:val="00CC3760"/>
    <w:rsid w:val="00CF4E7C"/>
    <w:rsid w:val="00D06519"/>
    <w:rsid w:val="00D40878"/>
    <w:rsid w:val="00D63563"/>
    <w:rsid w:val="00D64712"/>
    <w:rsid w:val="00D71699"/>
    <w:rsid w:val="00D83073"/>
    <w:rsid w:val="00DA7809"/>
    <w:rsid w:val="00DB4ABC"/>
    <w:rsid w:val="00DB66DB"/>
    <w:rsid w:val="00DD140C"/>
    <w:rsid w:val="00DE2C3D"/>
    <w:rsid w:val="00DE7FFD"/>
    <w:rsid w:val="00E22249"/>
    <w:rsid w:val="00E30F3E"/>
    <w:rsid w:val="00E35292"/>
    <w:rsid w:val="00E36AF9"/>
    <w:rsid w:val="00E5379C"/>
    <w:rsid w:val="00E93163"/>
    <w:rsid w:val="00EA3D2B"/>
    <w:rsid w:val="00EA4E2C"/>
    <w:rsid w:val="00EB0023"/>
    <w:rsid w:val="00ED0698"/>
    <w:rsid w:val="00EF5940"/>
    <w:rsid w:val="00F13702"/>
    <w:rsid w:val="00F16F8F"/>
    <w:rsid w:val="00F20C39"/>
    <w:rsid w:val="00F32D6B"/>
    <w:rsid w:val="00F66A91"/>
    <w:rsid w:val="00F718D3"/>
    <w:rsid w:val="00F8452E"/>
    <w:rsid w:val="00F8505C"/>
    <w:rsid w:val="00FC3480"/>
    <w:rsid w:val="00FC6F51"/>
    <w:rsid w:val="00FE0C33"/>
    <w:rsid w:val="00FE18A0"/>
    <w:rsid w:val="00FF0AA7"/>
    <w:rsid w:val="00FF6E8E"/>
    <w:rsid w:val="00FF7CF4"/>
    <w:rsid w:val="011035BA"/>
    <w:rsid w:val="01813D87"/>
    <w:rsid w:val="04290EDB"/>
    <w:rsid w:val="044C4ED4"/>
    <w:rsid w:val="048D231C"/>
    <w:rsid w:val="0571588F"/>
    <w:rsid w:val="05913F83"/>
    <w:rsid w:val="0774503C"/>
    <w:rsid w:val="086377F3"/>
    <w:rsid w:val="0B327B88"/>
    <w:rsid w:val="0E205EAB"/>
    <w:rsid w:val="0E633D11"/>
    <w:rsid w:val="0E9D1FDD"/>
    <w:rsid w:val="111A4CDB"/>
    <w:rsid w:val="115F7210"/>
    <w:rsid w:val="11793F2E"/>
    <w:rsid w:val="11B47D41"/>
    <w:rsid w:val="11C17AF6"/>
    <w:rsid w:val="11C444E1"/>
    <w:rsid w:val="1217190B"/>
    <w:rsid w:val="1259024D"/>
    <w:rsid w:val="129957C1"/>
    <w:rsid w:val="142F1085"/>
    <w:rsid w:val="156E3C96"/>
    <w:rsid w:val="16D000E8"/>
    <w:rsid w:val="17FC7DE1"/>
    <w:rsid w:val="1831173C"/>
    <w:rsid w:val="18A03075"/>
    <w:rsid w:val="19D54954"/>
    <w:rsid w:val="1A596412"/>
    <w:rsid w:val="1C027194"/>
    <w:rsid w:val="1D913D46"/>
    <w:rsid w:val="1EA3554D"/>
    <w:rsid w:val="22150C94"/>
    <w:rsid w:val="224C2263"/>
    <w:rsid w:val="227B13DA"/>
    <w:rsid w:val="242E1354"/>
    <w:rsid w:val="24C044DA"/>
    <w:rsid w:val="25B12AC3"/>
    <w:rsid w:val="26316AEA"/>
    <w:rsid w:val="26865668"/>
    <w:rsid w:val="26C56441"/>
    <w:rsid w:val="277562F6"/>
    <w:rsid w:val="281A24BE"/>
    <w:rsid w:val="28305B1E"/>
    <w:rsid w:val="28945328"/>
    <w:rsid w:val="291A0CE5"/>
    <w:rsid w:val="29A84BCE"/>
    <w:rsid w:val="29CB72D1"/>
    <w:rsid w:val="2BD74922"/>
    <w:rsid w:val="2CC86BF4"/>
    <w:rsid w:val="2DF51A73"/>
    <w:rsid w:val="2F9A004C"/>
    <w:rsid w:val="2FB25FAA"/>
    <w:rsid w:val="302724C4"/>
    <w:rsid w:val="33577699"/>
    <w:rsid w:val="373B602E"/>
    <w:rsid w:val="37C31A8E"/>
    <w:rsid w:val="37EEE3B9"/>
    <w:rsid w:val="3A3E6287"/>
    <w:rsid w:val="3A793D5E"/>
    <w:rsid w:val="3AD53316"/>
    <w:rsid w:val="3AEA1A43"/>
    <w:rsid w:val="3EE779CE"/>
    <w:rsid w:val="3F0C6B72"/>
    <w:rsid w:val="414B22CA"/>
    <w:rsid w:val="4180395D"/>
    <w:rsid w:val="41905C1D"/>
    <w:rsid w:val="43891239"/>
    <w:rsid w:val="44FE41A0"/>
    <w:rsid w:val="45444AD5"/>
    <w:rsid w:val="46621D09"/>
    <w:rsid w:val="4A57109E"/>
    <w:rsid w:val="4B7C57D7"/>
    <w:rsid w:val="4C731D1E"/>
    <w:rsid w:val="4DBB4489"/>
    <w:rsid w:val="4DF772DC"/>
    <w:rsid w:val="4E7319AB"/>
    <w:rsid w:val="4FC20B08"/>
    <w:rsid w:val="4FDE03EF"/>
    <w:rsid w:val="508C272A"/>
    <w:rsid w:val="50D5692A"/>
    <w:rsid w:val="51D36A0B"/>
    <w:rsid w:val="5306777F"/>
    <w:rsid w:val="534A6093"/>
    <w:rsid w:val="53AD2F4F"/>
    <w:rsid w:val="5507090D"/>
    <w:rsid w:val="56800892"/>
    <w:rsid w:val="56B4751F"/>
    <w:rsid w:val="57A75499"/>
    <w:rsid w:val="582E6E6D"/>
    <w:rsid w:val="584D13B3"/>
    <w:rsid w:val="586C5CD5"/>
    <w:rsid w:val="5A9B2ED2"/>
    <w:rsid w:val="5AD234B2"/>
    <w:rsid w:val="5AFC7FD4"/>
    <w:rsid w:val="5C4F0EF0"/>
    <w:rsid w:val="5C680297"/>
    <w:rsid w:val="5C861E07"/>
    <w:rsid w:val="5CD22158"/>
    <w:rsid w:val="5D25709C"/>
    <w:rsid w:val="5D5F77CA"/>
    <w:rsid w:val="5EDE4A81"/>
    <w:rsid w:val="5F4D2A43"/>
    <w:rsid w:val="62022D5A"/>
    <w:rsid w:val="6214242A"/>
    <w:rsid w:val="62E436D6"/>
    <w:rsid w:val="630F7122"/>
    <w:rsid w:val="634D0F45"/>
    <w:rsid w:val="660A63A7"/>
    <w:rsid w:val="673A245E"/>
    <w:rsid w:val="68BC5979"/>
    <w:rsid w:val="69FB0F40"/>
    <w:rsid w:val="6CED70EB"/>
    <w:rsid w:val="6CFB3234"/>
    <w:rsid w:val="6CFF6A81"/>
    <w:rsid w:val="6D2414D1"/>
    <w:rsid w:val="6D340C1E"/>
    <w:rsid w:val="6DAA2F9F"/>
    <w:rsid w:val="6DD7620D"/>
    <w:rsid w:val="6F065AB6"/>
    <w:rsid w:val="6FEA4E70"/>
    <w:rsid w:val="6FFA0097"/>
    <w:rsid w:val="712A77AC"/>
    <w:rsid w:val="72EA1AFE"/>
    <w:rsid w:val="74015985"/>
    <w:rsid w:val="741D61B8"/>
    <w:rsid w:val="74E064F6"/>
    <w:rsid w:val="753F32E7"/>
    <w:rsid w:val="75496E7C"/>
    <w:rsid w:val="77734A66"/>
    <w:rsid w:val="77FF2884"/>
    <w:rsid w:val="794F4E49"/>
    <w:rsid w:val="798652C1"/>
    <w:rsid w:val="79FF32C0"/>
    <w:rsid w:val="7C2C1B97"/>
    <w:rsid w:val="7D9C48D2"/>
    <w:rsid w:val="7FD61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72" w:lineRule="auto"/>
      <w:ind w:left="36" w:firstLine="606"/>
    </w:pPr>
    <w:rPr>
      <w:rFonts w:ascii="仿宋" w:hAnsi="仿宋" w:eastAsia="仿宋" w:cs="仿宋"/>
      <w:color w:val="000000"/>
      <w:kern w:val="2"/>
      <w:sz w:val="32"/>
      <w:szCs w:val="22"/>
      <w:lang w:val="en-US" w:eastAsia="zh-CN" w:bidi="ar-SA"/>
    </w:rPr>
  </w:style>
  <w:style w:type="paragraph" w:styleId="2">
    <w:name w:val="heading 1"/>
    <w:next w:val="1"/>
    <w:link w:val="13"/>
    <w:qFormat/>
    <w:uiPriority w:val="9"/>
    <w:pPr>
      <w:keepNext/>
      <w:keepLines/>
      <w:numPr>
        <w:ilvl w:val="0"/>
        <w:numId w:val="1"/>
      </w:numPr>
      <w:spacing w:after="508" w:line="259" w:lineRule="auto"/>
      <w:ind w:left="50" w:hanging="10"/>
      <w:jc w:val="center"/>
      <w:outlineLvl w:val="0"/>
    </w:pPr>
    <w:rPr>
      <w:rFonts w:ascii="宋体" w:hAnsi="宋体" w:eastAsia="宋体" w:cs="宋体"/>
      <w:color w:val="000000"/>
      <w:kern w:val="2"/>
      <w:sz w:val="44"/>
      <w:szCs w:val="22"/>
      <w:lang w:val="en-US" w:eastAsia="zh-CN" w:bidi="ar-SA"/>
    </w:rPr>
  </w:style>
  <w:style w:type="paragraph" w:styleId="3">
    <w:name w:val="heading 2"/>
    <w:next w:val="1"/>
    <w:link w:val="14"/>
    <w:qFormat/>
    <w:uiPriority w:val="9"/>
    <w:pPr>
      <w:keepNext/>
      <w:keepLines/>
      <w:spacing w:after="646" w:line="265" w:lineRule="auto"/>
      <w:ind w:left="46" w:hanging="10"/>
      <w:jc w:val="center"/>
      <w:outlineLvl w:val="1"/>
    </w:pPr>
    <w:rPr>
      <w:rFonts w:ascii="仿宋" w:hAnsi="仿宋" w:eastAsia="仿宋" w:cs="仿宋"/>
      <w:color w:val="000000"/>
      <w:kern w:val="2"/>
      <w:sz w:val="32"/>
      <w:szCs w:val="22"/>
      <w:lang w:val="en-US" w:eastAsia="zh-CN" w:bidi="ar-SA"/>
    </w:rPr>
  </w:style>
  <w:style w:type="paragraph" w:styleId="4">
    <w:name w:val="heading 3"/>
    <w:next w:val="1"/>
    <w:link w:val="15"/>
    <w:qFormat/>
    <w:uiPriority w:val="9"/>
    <w:pPr>
      <w:keepNext/>
      <w:keepLines/>
      <w:spacing w:after="179" w:line="259" w:lineRule="auto"/>
      <w:ind w:left="686" w:hanging="10"/>
      <w:outlineLvl w:val="2"/>
    </w:pPr>
    <w:rPr>
      <w:rFonts w:ascii="楷体" w:hAnsi="楷体" w:eastAsia="楷体" w:cs="楷体"/>
      <w:color w:val="000000"/>
      <w:kern w:val="2"/>
      <w:sz w:val="32"/>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6"/>
    <w:unhideWhenUsed/>
    <w:qFormat/>
    <w:uiPriority w:val="99"/>
  </w:style>
  <w:style w:type="paragraph" w:styleId="6">
    <w:name w:val="Balloon Text"/>
    <w:basedOn w:val="1"/>
    <w:link w:val="17"/>
    <w:unhideWhenUsed/>
    <w:qFormat/>
    <w:uiPriority w:val="99"/>
    <w:pPr>
      <w:spacing w:after="0" w:line="240" w:lineRule="auto"/>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szCs w:val="24"/>
    </w:rPr>
  </w:style>
  <w:style w:type="paragraph" w:styleId="9">
    <w:name w:val="annotation subject"/>
    <w:basedOn w:val="5"/>
    <w:next w:val="5"/>
    <w:link w:val="18"/>
    <w:unhideWhenUsed/>
    <w:qFormat/>
    <w:uiPriority w:val="99"/>
    <w:rPr>
      <w:b/>
      <w:bCs/>
    </w:rPr>
  </w:style>
  <w:style w:type="character" w:styleId="12">
    <w:name w:val="annotation reference"/>
    <w:unhideWhenUsed/>
    <w:qFormat/>
    <w:uiPriority w:val="99"/>
    <w:rPr>
      <w:sz w:val="21"/>
      <w:szCs w:val="21"/>
    </w:rPr>
  </w:style>
  <w:style w:type="character" w:customStyle="1" w:styleId="13">
    <w:name w:val="标题 1 Char"/>
    <w:link w:val="2"/>
    <w:qFormat/>
    <w:uiPriority w:val="0"/>
    <w:rPr>
      <w:rFonts w:ascii="宋体" w:hAnsi="宋体" w:eastAsia="宋体" w:cs="宋体"/>
      <w:color w:val="000000"/>
      <w:sz w:val="44"/>
    </w:rPr>
  </w:style>
  <w:style w:type="character" w:customStyle="1" w:styleId="14">
    <w:name w:val="标题 2 Char"/>
    <w:link w:val="3"/>
    <w:qFormat/>
    <w:uiPriority w:val="0"/>
    <w:rPr>
      <w:rFonts w:ascii="仿宋" w:hAnsi="仿宋" w:eastAsia="仿宋" w:cs="仿宋"/>
      <w:color w:val="000000"/>
      <w:sz w:val="32"/>
    </w:rPr>
  </w:style>
  <w:style w:type="character" w:customStyle="1" w:styleId="15">
    <w:name w:val="标题 3 Char"/>
    <w:link w:val="4"/>
    <w:qFormat/>
    <w:uiPriority w:val="0"/>
    <w:rPr>
      <w:rFonts w:ascii="楷体" w:hAnsi="楷体" w:eastAsia="楷体" w:cs="楷体"/>
      <w:color w:val="000000"/>
      <w:sz w:val="32"/>
    </w:rPr>
  </w:style>
  <w:style w:type="character" w:customStyle="1" w:styleId="16">
    <w:name w:val="批注文字 Char"/>
    <w:link w:val="5"/>
    <w:qFormat/>
    <w:uiPriority w:val="99"/>
    <w:rPr>
      <w:rFonts w:ascii="仿宋" w:hAnsi="仿宋" w:eastAsia="仿宋" w:cs="仿宋"/>
      <w:color w:val="000000"/>
      <w:kern w:val="2"/>
      <w:sz w:val="32"/>
      <w:szCs w:val="22"/>
    </w:rPr>
  </w:style>
  <w:style w:type="character" w:customStyle="1" w:styleId="17">
    <w:name w:val="批注框文本 Char"/>
    <w:link w:val="6"/>
    <w:semiHidden/>
    <w:qFormat/>
    <w:uiPriority w:val="99"/>
    <w:rPr>
      <w:rFonts w:ascii="仿宋" w:hAnsi="仿宋" w:eastAsia="仿宋" w:cs="仿宋"/>
      <w:color w:val="000000"/>
      <w:kern w:val="2"/>
      <w:sz w:val="18"/>
      <w:szCs w:val="18"/>
    </w:rPr>
  </w:style>
  <w:style w:type="character" w:customStyle="1" w:styleId="18">
    <w:name w:val="批注主题 Char"/>
    <w:link w:val="9"/>
    <w:semiHidden/>
    <w:qFormat/>
    <w:uiPriority w:val="99"/>
    <w:rPr>
      <w:rFonts w:ascii="仿宋" w:hAnsi="仿宋" w:eastAsia="仿宋" w:cs="仿宋"/>
      <w:b/>
      <w:bCs/>
      <w:color w:val="000000"/>
      <w:kern w:val="2"/>
      <w:sz w:val="32"/>
      <w:szCs w:val="22"/>
    </w:rPr>
  </w:style>
  <w:style w:type="character" w:customStyle="1" w:styleId="19">
    <w:name w:val="footnote mark"/>
    <w:qFormat/>
    <w:uiPriority w:val="0"/>
    <w:rPr>
      <w:rFonts w:ascii="Calibri" w:hAnsi="Calibri" w:eastAsia="Calibri" w:cs="Calibri"/>
      <w:color w:val="000000"/>
      <w:sz w:val="18"/>
      <w:vertAlign w:val="superscript"/>
    </w:rPr>
  </w:style>
  <w:style w:type="character" w:customStyle="1" w:styleId="20">
    <w:name w:val="footnote description Char"/>
    <w:link w:val="21"/>
    <w:qFormat/>
    <w:uiPriority w:val="0"/>
    <w:rPr>
      <w:rFonts w:ascii="宋体" w:hAnsi="宋体" w:eastAsia="宋体" w:cs="宋体"/>
      <w:color w:val="000000"/>
      <w:sz w:val="18"/>
    </w:rPr>
  </w:style>
  <w:style w:type="paragraph" w:customStyle="1" w:styleId="21">
    <w:name w:val="footnote description"/>
    <w:next w:val="1"/>
    <w:link w:val="20"/>
    <w:qFormat/>
    <w:uiPriority w:val="0"/>
    <w:pPr>
      <w:spacing w:line="267" w:lineRule="auto"/>
    </w:pPr>
    <w:rPr>
      <w:rFonts w:ascii="宋体" w:hAnsi="宋体" w:eastAsia="宋体" w:cs="宋体"/>
      <w:color w:val="000000"/>
      <w:kern w:val="2"/>
      <w:sz w:val="18"/>
      <w:szCs w:val="22"/>
      <w:lang w:val="en-US" w:eastAsia="zh-CN" w:bidi="ar-SA"/>
    </w:rPr>
  </w:style>
  <w:style w:type="table" w:customStyle="1" w:styleId="22">
    <w:name w:val="TableGrid"/>
    <w:qFormat/>
    <w:uiPriority w:val="0"/>
    <w:tblPr>
      <w:tblCellMar>
        <w:top w:w="0" w:type="dxa"/>
        <w:left w:w="0" w:type="dxa"/>
        <w:bottom w:w="0" w:type="dxa"/>
        <w:right w:w="0" w:type="dxa"/>
      </w:tblCellMar>
    </w:tblPr>
  </w:style>
  <w:style w:type="paragraph" w:customStyle="1" w:styleId="23">
    <w:name w:val="修订1"/>
    <w:hidden/>
    <w:unhideWhenUsed/>
    <w:qFormat/>
    <w:uiPriority w:val="99"/>
    <w:rPr>
      <w:rFonts w:ascii="仿宋" w:hAnsi="仿宋" w:eastAsia="仿宋" w:cs="仿宋"/>
      <w:color w:val="000000"/>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7412-ABCA-4984-9D86-CE4F2C5B7CBE}">
  <ds:schemaRefs/>
</ds:datastoreItem>
</file>

<file path=docProps/app.xml><?xml version="1.0" encoding="utf-8"?>
<Properties xmlns="http://schemas.openxmlformats.org/officeDocument/2006/extended-properties" xmlns:vt="http://schemas.openxmlformats.org/officeDocument/2006/docPropsVTypes">
  <Template>Normal</Template>
  <Pages>1</Pages>
  <Words>605</Words>
  <Characters>3454</Characters>
  <Lines>28</Lines>
  <Paragraphs>8</Paragraphs>
  <TotalTime>22</TotalTime>
  <ScaleCrop>false</ScaleCrop>
  <LinksUpToDate>false</LinksUpToDate>
  <CharactersWithSpaces>4051</CharactersWithSpaces>
  <Application>WPS Office_11.8.2.12080_F1E327BC-269C-435d-A152-05C5408002CA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2023-12-26T06:12:00Z</dcterms:created>
  <dc:creator>user</dc:creator>
  <cp:lastModifiedBy>辛雅婷</cp:lastModifiedBy>
  <cp:lastPrinted>2022-09-27T03:21:00Z</cp:lastPrinted>
  <dcterms:modified xsi:type="dcterms:W3CDTF">2023-12-29T05:58:12Z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7CDCDAF3E4914E4CA2BED3C633B58CD0</vt:lpwstr>
  </property>
</Properties>
</file>