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000000"/>
          <w:sz w:val="32"/>
          <w:szCs w:val="30"/>
        </w:rPr>
      </w:pPr>
      <w:bookmarkStart w:id="0" w:name="_GoBack"/>
      <w:bookmarkEnd w:id="0"/>
      <w:r>
        <w:rPr>
          <w:rFonts w:hint="eastAsia" w:ascii="黑体" w:hAnsi="黑体" w:eastAsia="黑体"/>
          <w:color w:val="000000"/>
          <w:sz w:val="32"/>
          <w:szCs w:val="30"/>
        </w:rPr>
        <w:t>附件2</w:t>
      </w:r>
    </w:p>
    <w:p>
      <w:pPr>
        <w:spacing w:line="560" w:lineRule="exact"/>
        <w:rPr>
          <w:rFonts w:ascii="黑体" w:hAnsi="黑体" w:eastAsia="黑体"/>
          <w:color w:val="000000"/>
          <w:sz w:val="32"/>
          <w:szCs w:val="30"/>
        </w:rPr>
      </w:pPr>
    </w:p>
    <w:p>
      <w:pPr>
        <w:adjustRightInd w:val="0"/>
        <w:snapToGrid w:val="0"/>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《深圳证券交易所上市公司自律监管指引</w:t>
      </w:r>
    </w:p>
    <w:p>
      <w:pPr>
        <w:adjustRightInd w:val="0"/>
        <w:snapToGrid w:val="0"/>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第17号——可持续发展报告（试行）》</w:t>
      </w:r>
    </w:p>
    <w:p>
      <w:pPr>
        <w:adjustRightInd w:val="0"/>
        <w:snapToGrid w:val="0"/>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起草说明</w:t>
      </w:r>
    </w:p>
    <w:p>
      <w:pPr>
        <w:spacing w:line="560" w:lineRule="exact"/>
      </w:pP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为深入贯彻新发展理念，</w:t>
      </w:r>
      <w:r>
        <w:rPr>
          <w:rFonts w:hint="eastAsia" w:ascii="仿宋" w:hAnsi="仿宋" w:eastAsia="仿宋"/>
          <w:sz w:val="32"/>
          <w:szCs w:val="32"/>
        </w:rPr>
        <w:t>规范上市公司可持续发展相关信息披露，引导上市公司践行可持续发展理念，</w:t>
      </w:r>
      <w:r>
        <w:rPr>
          <w:rFonts w:hint="eastAsia" w:ascii="仿宋" w:hAnsi="仿宋" w:eastAsia="仿宋" w:cs="仿宋_GB2312"/>
          <w:sz w:val="32"/>
          <w:szCs w:val="32"/>
        </w:rPr>
        <w:t>推动上市公司高质量发展，本所制定了《深圳证券交易所上市公司自律监管指引第17号</w:t>
      </w:r>
      <w:r>
        <w:rPr>
          <w:rFonts w:ascii="仿宋" w:hAnsi="仿宋" w:eastAsia="仿宋" w:cs="仿宋_GB2312"/>
          <w:sz w:val="32"/>
          <w:szCs w:val="32"/>
        </w:rPr>
        <w:t>——可持续发展报告</w:t>
      </w:r>
      <w:r>
        <w:rPr>
          <w:rFonts w:hint="eastAsia" w:ascii="仿宋" w:hAnsi="仿宋" w:eastAsia="仿宋" w:cs="仿宋_GB2312"/>
          <w:sz w:val="32"/>
          <w:szCs w:val="32"/>
        </w:rPr>
        <w:t>（试行）</w:t>
      </w:r>
      <w:r>
        <w:rPr>
          <w:rFonts w:ascii="仿宋" w:hAnsi="仿宋" w:eastAsia="仿宋" w:cs="仿宋_GB2312"/>
          <w:sz w:val="32"/>
          <w:szCs w:val="32"/>
        </w:rPr>
        <w:t>》（以下简称《指引》</w:t>
      </w:r>
      <w:r>
        <w:rPr>
          <w:rFonts w:hint="eastAsia" w:ascii="仿宋" w:hAnsi="仿宋" w:eastAsia="仿宋" w:cs="仿宋_GB2312"/>
          <w:sz w:val="32"/>
          <w:szCs w:val="32"/>
        </w:rPr>
        <w:t>），</w:t>
      </w:r>
      <w:r>
        <w:rPr>
          <w:rFonts w:hint="eastAsia" w:ascii="仿宋" w:hAnsi="仿宋" w:eastAsia="仿宋"/>
          <w:sz w:val="32"/>
          <w:szCs w:val="32"/>
        </w:rPr>
        <w:t>适用于本所主板和创业板上市公司</w:t>
      </w:r>
      <w:r>
        <w:rPr>
          <w:rFonts w:hint="eastAsia" w:ascii="仿宋" w:hAnsi="仿宋" w:eastAsia="仿宋" w:cs="仿宋_GB2312"/>
          <w:sz w:val="32"/>
          <w:szCs w:val="32"/>
        </w:rPr>
        <w:t>。现将主要制定情况说明如下：</w:t>
      </w:r>
    </w:p>
    <w:p>
      <w:pPr>
        <w:snapToGri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一、制定背景和总体思路</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党的二十大报告提出要“坚持可持续发展”“积极稳妥推进碳达峰碳中和”“加快发展方式绿色转型”等。近年来，本所深入贯彻新发展理念，先后发布《深市上市公司环境信息披露白皮书》《深市上市公司可持续发展信息披露白皮书》，分享深市上市公司可持续发展信息披露实践及优秀案例，</w:t>
      </w:r>
      <w:r>
        <w:rPr>
          <w:rFonts w:ascii="仿宋" w:hAnsi="仿宋" w:eastAsia="仿宋" w:cs="仿宋_GB2312"/>
          <w:sz w:val="32"/>
          <w:szCs w:val="32"/>
        </w:rPr>
        <w:t>引导上市公司</w:t>
      </w:r>
      <w:r>
        <w:rPr>
          <w:rFonts w:hint="eastAsia" w:ascii="仿宋" w:hAnsi="仿宋" w:eastAsia="仿宋" w:cs="仿宋_GB2312"/>
          <w:sz w:val="32"/>
          <w:szCs w:val="32"/>
        </w:rPr>
        <w:t>强化可持续发展信息披露意识，积极践行可持续发展理念，共建可持续发展良好生态。</w:t>
      </w:r>
      <w:r>
        <w:rPr>
          <w:rFonts w:ascii="仿宋" w:hAnsi="仿宋" w:eastAsia="仿宋" w:cs="仿宋_GB2312"/>
          <w:sz w:val="32"/>
          <w:szCs w:val="32"/>
        </w:rPr>
        <w:t>2022年度，</w:t>
      </w:r>
      <w:r>
        <w:rPr>
          <w:rFonts w:hint="eastAsia" w:ascii="仿宋" w:hAnsi="仿宋" w:eastAsia="仿宋" w:cs="仿宋_GB2312"/>
          <w:sz w:val="32"/>
          <w:szCs w:val="32"/>
        </w:rPr>
        <w:t>本</w:t>
      </w:r>
      <w:r>
        <w:rPr>
          <w:rFonts w:ascii="仿宋" w:hAnsi="仿宋" w:eastAsia="仿宋" w:cs="仿宋_GB2312"/>
          <w:sz w:val="32"/>
          <w:szCs w:val="32"/>
        </w:rPr>
        <w:t>所共</w:t>
      </w:r>
      <w:r>
        <w:rPr>
          <w:rFonts w:hint="eastAsia" w:ascii="仿宋" w:hAnsi="仿宋" w:eastAsia="仿宋" w:cs="仿宋_GB2312"/>
          <w:sz w:val="32"/>
          <w:szCs w:val="32"/>
        </w:rPr>
        <w:t>800余</w:t>
      </w:r>
      <w:r>
        <w:rPr>
          <w:rFonts w:ascii="仿宋" w:hAnsi="仿宋" w:eastAsia="仿宋" w:cs="仿宋_GB2312"/>
          <w:sz w:val="32"/>
          <w:szCs w:val="32"/>
        </w:rPr>
        <w:t>家上市公司披露了</w:t>
      </w:r>
      <w:r>
        <w:rPr>
          <w:rFonts w:hint="eastAsia" w:ascii="仿宋" w:hAnsi="仿宋" w:eastAsia="仿宋" w:cs="仿宋_GB2312"/>
          <w:sz w:val="32"/>
          <w:szCs w:val="32"/>
        </w:rPr>
        <w:t>社会责任报告、</w:t>
      </w:r>
      <w:r>
        <w:rPr>
          <w:rFonts w:ascii="仿宋" w:hAnsi="仿宋" w:eastAsia="仿宋" w:cs="仿宋_GB2312"/>
          <w:sz w:val="32"/>
          <w:szCs w:val="32"/>
        </w:rPr>
        <w:t>ESG</w:t>
      </w:r>
      <w:r>
        <w:rPr>
          <w:rFonts w:hint="eastAsia" w:ascii="仿宋" w:hAnsi="仿宋" w:eastAsia="仿宋" w:cs="仿宋_GB2312"/>
          <w:sz w:val="32"/>
          <w:szCs w:val="32"/>
        </w:rPr>
        <w:t>报告或可持续发展报告，披露的主动性不断提高，可持续发展信息披露质量不断提升。</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为助力构建符合中国国情、规范统一的上市公司可持续发展信息披露规则体系，《指引》在制定过程中坚持以下总体思路：</w:t>
      </w:r>
      <w:r>
        <w:rPr>
          <w:rFonts w:hint="eastAsia" w:ascii="仿宋" w:hAnsi="仿宋" w:eastAsia="仿宋" w:cs="仿宋_GB2312"/>
          <w:b/>
          <w:sz w:val="32"/>
          <w:szCs w:val="32"/>
        </w:rPr>
        <w:t>一是坚持实事求是。</w:t>
      </w:r>
      <w:r>
        <w:rPr>
          <w:rFonts w:hint="eastAsia" w:ascii="仿宋" w:hAnsi="仿宋" w:eastAsia="仿宋" w:cs="仿宋_GB2312"/>
          <w:sz w:val="32"/>
          <w:szCs w:val="32"/>
        </w:rPr>
        <w:t>充分考虑上市公司发展阶段和披露能力，通过强制与自愿披露相结合、定性与定量披露相结合、设置过渡期和缓释措施等，兼顾成本的可负担性。</w:t>
      </w:r>
      <w:r>
        <w:rPr>
          <w:rFonts w:hint="eastAsia" w:ascii="仿宋" w:hAnsi="仿宋" w:eastAsia="仿宋" w:cs="仿宋_GB2312"/>
          <w:b/>
          <w:bCs/>
          <w:sz w:val="32"/>
          <w:szCs w:val="32"/>
        </w:rPr>
        <w:t>二是坚持系统思维。</w:t>
      </w:r>
      <w:r>
        <w:rPr>
          <w:rFonts w:hint="eastAsia" w:ascii="仿宋" w:hAnsi="仿宋" w:eastAsia="仿宋" w:cs="仿宋_GB2312"/>
          <w:sz w:val="32"/>
          <w:szCs w:val="32"/>
        </w:rPr>
        <w:t>助力上市公司构建完善的可持续发展相关治理机制，明确以“治理—战略—影响、风险和机遇管理—指标与目标”为核心要素的披露框架，以更好的内部治理、具体行动带动高质量的信息披露。</w:t>
      </w:r>
      <w:r>
        <w:rPr>
          <w:rFonts w:hint="eastAsia" w:ascii="仿宋" w:hAnsi="仿宋" w:eastAsia="仿宋" w:cs="仿宋_GB2312"/>
          <w:b/>
          <w:sz w:val="32"/>
          <w:szCs w:val="32"/>
        </w:rPr>
        <w:t>三是立足中国国情。</w:t>
      </w:r>
      <w:r>
        <w:rPr>
          <w:rFonts w:hint="eastAsia" w:ascii="仿宋" w:hAnsi="仿宋" w:eastAsia="仿宋" w:cs="仿宋_GB2312"/>
          <w:sz w:val="32"/>
          <w:szCs w:val="32"/>
        </w:rPr>
        <w:t>总结现行境内外披露制度和优秀实践，参考国家标准、行业规范，积极吸收国际有益经验。立足我国资本市场实际情况，设置乡村振兴、创新驱动等具体议题，充分体现我国在可持续发展领域的优先关注。</w:t>
      </w:r>
    </w:p>
    <w:p>
      <w:pPr>
        <w:snapToGrid w:val="0"/>
        <w:spacing w:line="560" w:lineRule="exact"/>
        <w:ind w:firstLine="640" w:firstLineChars="200"/>
        <w:outlineLvl w:val="0"/>
        <w:rPr>
          <w:rFonts w:ascii="黑体" w:hAnsi="黑体" w:eastAsia="黑体" w:cs="仿宋_GB2312"/>
          <w:sz w:val="32"/>
          <w:szCs w:val="32"/>
        </w:rPr>
      </w:pPr>
      <w:r>
        <w:rPr>
          <w:rFonts w:hint="eastAsia" w:ascii="黑体" w:hAnsi="黑体" w:eastAsia="黑体"/>
          <w:sz w:val="32"/>
          <w:szCs w:val="32"/>
        </w:rPr>
        <w:t>二、主要内容</w:t>
      </w:r>
    </w:p>
    <w:p>
      <w:pPr>
        <w:widowControl/>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指引》共6章63条，在《深圳证券交易所上市公司自律监管指引第1号——主板上市公司规范运作》《深圳证券交易所上市公司自律监管指引第2号——创业板上市公司规范运作》相关规定的基础上，进一步丰富完善可持续发展信息披露要求。其中，第一章（总则）和第二章（可持续发展信息披露框架）为一般要求，第三章、第四章、第五章分别为环境、社会、可持续发展相关治理三个维度的具体披露要求，第六章为附则和释义。主要内容如下：</w:t>
      </w:r>
    </w:p>
    <w:p>
      <w:pPr>
        <w:snapToGrid w:val="0"/>
        <w:spacing w:line="560" w:lineRule="exact"/>
        <w:ind w:firstLine="643"/>
        <w:rPr>
          <w:rFonts w:ascii="仿宋" w:hAnsi="仿宋" w:eastAsia="仿宋"/>
          <w:kern w:val="0"/>
          <w:sz w:val="32"/>
          <w:szCs w:val="32"/>
        </w:rPr>
      </w:pPr>
      <w:r>
        <w:rPr>
          <w:rFonts w:ascii="仿宋" w:hAnsi="仿宋" w:eastAsia="仿宋"/>
          <w:b/>
          <w:sz w:val="32"/>
          <w:szCs w:val="32"/>
        </w:rPr>
        <w:t>1.</w:t>
      </w:r>
      <w:r>
        <w:rPr>
          <w:rFonts w:hint="eastAsia" w:ascii="仿宋" w:hAnsi="仿宋" w:eastAsia="仿宋"/>
          <w:b/>
          <w:sz w:val="32"/>
          <w:szCs w:val="32"/>
        </w:rPr>
        <w:t>报告主体及披露时间。</w:t>
      </w:r>
      <w:r>
        <w:rPr>
          <w:rFonts w:hint="eastAsia" w:ascii="仿宋" w:hAnsi="仿宋" w:eastAsia="仿宋"/>
          <w:kern w:val="0"/>
          <w:sz w:val="32"/>
          <w:szCs w:val="32"/>
        </w:rPr>
        <w:t>报告期内持续被纳入深证100、创业板指数样本公司，以及境内外同时上市的公司应当按照《指引》要求披露《可持续发展报告》，本所鼓励其他上市公司自愿披露。《可持续发展报告》应当在每个会计年度结束后4个月内按照《指引》规定编制并经董事会审议通过后披露，且披露时间应当不早于年度报告，报告主体和报告期间应当与年度报告保持一致。</w:t>
      </w:r>
    </w:p>
    <w:p>
      <w:pPr>
        <w:snapToGrid w:val="0"/>
        <w:spacing w:line="560" w:lineRule="exact"/>
        <w:ind w:firstLine="643"/>
        <w:rPr>
          <w:rFonts w:ascii="仿宋" w:hAnsi="仿宋" w:eastAsia="仿宋"/>
          <w:kern w:val="0"/>
          <w:sz w:val="32"/>
          <w:szCs w:val="32"/>
        </w:rPr>
      </w:pPr>
      <w:r>
        <w:rPr>
          <w:rFonts w:ascii="仿宋" w:hAnsi="仿宋" w:eastAsia="仿宋"/>
          <w:b/>
          <w:kern w:val="0"/>
          <w:sz w:val="32"/>
          <w:szCs w:val="32"/>
        </w:rPr>
        <w:t>2.</w:t>
      </w:r>
      <w:r>
        <w:rPr>
          <w:rFonts w:hint="eastAsia" w:ascii="仿宋" w:hAnsi="仿宋" w:eastAsia="仿宋"/>
          <w:b/>
          <w:kern w:val="0"/>
          <w:sz w:val="32"/>
          <w:szCs w:val="32"/>
        </w:rPr>
        <w:t>双重重要性原则。</w:t>
      </w:r>
      <w:r>
        <w:rPr>
          <w:rFonts w:hint="eastAsia" w:ascii="仿宋" w:hAnsi="仿宋" w:eastAsia="仿宋"/>
          <w:kern w:val="0"/>
          <w:sz w:val="32"/>
          <w:szCs w:val="32"/>
        </w:rPr>
        <w:t>上市公司应当结合自身所处行业和经营业务的特点</w:t>
      </w:r>
      <w:r>
        <w:rPr>
          <w:rFonts w:hint="eastAsia" w:ascii="仿宋" w:hAnsi="仿宋" w:eastAsia="仿宋"/>
          <w:kern w:val="0"/>
          <w:sz w:val="32"/>
          <w:szCs w:val="32"/>
          <w:lang w:eastAsia="zh-CN"/>
        </w:rPr>
        <w:t>等情况</w:t>
      </w:r>
      <w:r>
        <w:rPr>
          <w:rFonts w:hint="eastAsia" w:ascii="仿宋" w:hAnsi="仿宋" w:eastAsia="仿宋"/>
          <w:kern w:val="0"/>
          <w:sz w:val="32"/>
          <w:szCs w:val="32"/>
        </w:rPr>
        <w:t>，在《指引》设置的议题中识别每个议题是否预期在短期、中期和长期内对公司商业模式、业务运营、发展战略、财务状况、经营成果、现金流、融资方式及成本等产生重大影响（财务重要性），以及企业在相应议题的表现是否会对经济、社会和环境产生重大影响（影响重要性），并说明对议题重要性进行分析的过程。</w:t>
      </w:r>
    </w:p>
    <w:p>
      <w:pPr>
        <w:snapToGrid w:val="0"/>
        <w:spacing w:line="560" w:lineRule="exact"/>
        <w:ind w:firstLine="643"/>
        <w:rPr>
          <w:rFonts w:ascii="仿宋" w:hAnsi="仿宋" w:eastAsia="仿宋"/>
          <w:b/>
          <w:sz w:val="32"/>
          <w:szCs w:val="32"/>
        </w:rPr>
      </w:pPr>
      <w:r>
        <w:rPr>
          <w:rFonts w:ascii="仿宋" w:hAnsi="仿宋" w:eastAsia="仿宋"/>
          <w:b/>
          <w:kern w:val="0"/>
          <w:sz w:val="32"/>
          <w:szCs w:val="32"/>
        </w:rPr>
        <w:t>3.</w:t>
      </w:r>
      <w:r>
        <w:rPr>
          <w:rFonts w:hint="eastAsia" w:ascii="仿宋" w:hAnsi="仿宋" w:eastAsia="仿宋"/>
          <w:b/>
          <w:kern w:val="0"/>
          <w:sz w:val="32"/>
          <w:szCs w:val="32"/>
        </w:rPr>
        <w:t>重要议题披露框架。</w:t>
      </w:r>
      <w:r>
        <w:rPr>
          <w:rFonts w:hint="eastAsia" w:ascii="仿宋" w:hAnsi="仿宋" w:eastAsia="仿宋"/>
          <w:kern w:val="0"/>
          <w:sz w:val="32"/>
          <w:szCs w:val="32"/>
        </w:rPr>
        <w:t>拟披露的可持续发展议题具有财务重要性</w:t>
      </w:r>
      <w:r>
        <w:rPr>
          <w:rFonts w:hint="eastAsia" w:ascii="仿宋" w:hAnsi="仿宋" w:eastAsia="仿宋"/>
          <w:kern w:val="0"/>
          <w:sz w:val="32"/>
          <w:szCs w:val="32"/>
          <w:lang w:eastAsia="zh-CN"/>
        </w:rPr>
        <w:t>的</w:t>
      </w:r>
      <w:r>
        <w:rPr>
          <w:rFonts w:hint="eastAsia" w:ascii="仿宋" w:hAnsi="仿宋" w:eastAsia="仿宋"/>
          <w:kern w:val="0"/>
          <w:sz w:val="32"/>
          <w:szCs w:val="32"/>
        </w:rPr>
        <w:t>，公司应当</w:t>
      </w:r>
      <w:r>
        <w:rPr>
          <w:rFonts w:hint="eastAsia" w:ascii="仿宋" w:hAnsi="仿宋" w:eastAsia="仿宋"/>
          <w:kern w:val="0"/>
          <w:sz w:val="32"/>
          <w:szCs w:val="32"/>
          <w:lang w:eastAsia="zh-CN"/>
        </w:rPr>
        <w:t>结合</w:t>
      </w:r>
      <w:r>
        <w:rPr>
          <w:rFonts w:hint="eastAsia" w:ascii="仿宋" w:hAnsi="仿宋" w:eastAsia="仿宋"/>
          <w:kern w:val="0"/>
          <w:sz w:val="32"/>
          <w:szCs w:val="32"/>
        </w:rPr>
        <w:t>“</w:t>
      </w:r>
      <w:r>
        <w:rPr>
          <w:rFonts w:hint="eastAsia" w:ascii="仿宋" w:hAnsi="仿宋" w:eastAsia="仿宋"/>
          <w:sz w:val="32"/>
          <w:szCs w:val="32"/>
        </w:rPr>
        <w:t>治理—战略—影响、风险和机遇管理—指标与目标”四个核心内容进行分析和披露，</w:t>
      </w:r>
      <w:r>
        <w:rPr>
          <w:rFonts w:hint="eastAsia" w:ascii="仿宋" w:hAnsi="仿宋" w:eastAsia="仿宋"/>
          <w:bCs/>
          <w:sz w:val="32"/>
          <w:szCs w:val="32"/>
        </w:rPr>
        <w:t>对</w:t>
      </w:r>
      <w:r>
        <w:rPr>
          <w:rFonts w:hint="eastAsia" w:ascii="仿宋" w:hAnsi="仿宋" w:eastAsia="仿宋"/>
          <w:bCs/>
          <w:sz w:val="32"/>
          <w:szCs w:val="32"/>
          <w:lang w:eastAsia="zh-CN"/>
        </w:rPr>
        <w:t>公司</w:t>
      </w:r>
      <w:r>
        <w:rPr>
          <w:rFonts w:hint="eastAsia" w:ascii="仿宋" w:hAnsi="仿宋" w:eastAsia="仿宋"/>
          <w:bCs/>
          <w:sz w:val="32"/>
          <w:szCs w:val="32"/>
        </w:rPr>
        <w:t>仅具有影响重要性的，应当按照</w:t>
      </w:r>
      <w:r>
        <w:rPr>
          <w:rFonts w:hint="eastAsia" w:ascii="仿宋" w:hAnsi="仿宋" w:eastAsia="仿宋"/>
          <w:bCs/>
          <w:sz w:val="32"/>
          <w:szCs w:val="32"/>
          <w:lang w:eastAsia="zh-CN"/>
        </w:rPr>
        <w:t>《</w:t>
      </w:r>
      <w:r>
        <w:rPr>
          <w:rFonts w:hint="eastAsia" w:ascii="仿宋" w:hAnsi="仿宋" w:eastAsia="仿宋"/>
          <w:bCs/>
          <w:sz w:val="32"/>
          <w:szCs w:val="32"/>
        </w:rPr>
        <w:t>指引</w:t>
      </w:r>
      <w:r>
        <w:rPr>
          <w:rFonts w:hint="eastAsia" w:ascii="仿宋" w:hAnsi="仿宋" w:eastAsia="仿宋"/>
          <w:bCs/>
          <w:sz w:val="32"/>
          <w:szCs w:val="32"/>
          <w:lang w:eastAsia="zh-CN"/>
        </w:rPr>
        <w:t>》</w:t>
      </w:r>
      <w:r>
        <w:rPr>
          <w:rFonts w:hint="eastAsia" w:ascii="仿宋" w:hAnsi="仿宋" w:eastAsia="仿宋"/>
          <w:bCs/>
          <w:sz w:val="32"/>
          <w:szCs w:val="32"/>
        </w:rPr>
        <w:t>对具体议题的相关规定进行披露，</w:t>
      </w:r>
      <w:r>
        <w:rPr>
          <w:rFonts w:hint="eastAsia" w:ascii="仿宋" w:hAnsi="仿宋" w:eastAsia="仿宋"/>
          <w:sz w:val="32"/>
          <w:szCs w:val="32"/>
        </w:rPr>
        <w:t>以便于投资者、利益相关者全面了解上市公司为应对和管理可持续发展相关影响、风险和机遇所采取的行动。</w:t>
      </w:r>
    </w:p>
    <w:p>
      <w:pPr>
        <w:snapToGrid w:val="0"/>
        <w:spacing w:line="560" w:lineRule="exact"/>
        <w:ind w:firstLine="641"/>
        <w:rPr>
          <w:rFonts w:ascii="仿宋" w:hAnsi="仿宋" w:eastAsia="仿宋"/>
          <w:sz w:val="32"/>
          <w:szCs w:val="32"/>
        </w:rPr>
      </w:pPr>
      <w:r>
        <w:rPr>
          <w:rFonts w:ascii="仿宋" w:hAnsi="仿宋" w:eastAsia="仿宋"/>
          <w:b/>
          <w:sz w:val="32"/>
          <w:szCs w:val="32"/>
        </w:rPr>
        <w:t>4.</w:t>
      </w:r>
      <w:r>
        <w:rPr>
          <w:rFonts w:hint="eastAsia" w:ascii="仿宋" w:hAnsi="仿宋" w:eastAsia="仿宋"/>
          <w:b/>
          <w:sz w:val="32"/>
          <w:szCs w:val="32"/>
        </w:rPr>
        <w:t>应对气候变化披露要求。</w:t>
      </w:r>
      <w:r>
        <w:rPr>
          <w:rFonts w:hint="eastAsia" w:ascii="仿宋" w:hAnsi="仿宋" w:eastAsia="仿宋"/>
          <w:sz w:val="32"/>
          <w:szCs w:val="32"/>
        </w:rPr>
        <w:t>上市公司除按照《指引》第二章的规定披露应对气候变化相关治理，战略，影响、风险和机遇管理，指标与目标等内容外，还应当进一步披露气候适应性、转型计划、温室气体排放总量、减排措施、碳排放相关机遇等事项。本所鼓励有条件的公司披露温室气体范围</w:t>
      </w:r>
      <w:r>
        <w:rPr>
          <w:rFonts w:ascii="仿宋" w:hAnsi="仿宋" w:eastAsia="仿宋"/>
          <w:sz w:val="32"/>
          <w:szCs w:val="32"/>
        </w:rPr>
        <w:t>3</w:t>
      </w:r>
      <w:r>
        <w:rPr>
          <w:rFonts w:hint="eastAsia" w:ascii="仿宋" w:hAnsi="仿宋" w:eastAsia="仿宋"/>
          <w:sz w:val="32"/>
          <w:szCs w:val="32"/>
        </w:rPr>
        <w:t>排放量、采用情景分析等方式进行气候适应性评估、</w:t>
      </w:r>
      <w:r>
        <w:rPr>
          <w:rFonts w:hint="eastAsia" w:ascii="仿宋" w:hAnsi="仿宋" w:eastAsia="仿宋" w:cs="Times New Roman"/>
          <w:sz w:val="32"/>
          <w:szCs w:val="32"/>
        </w:rPr>
        <w:t>聘请第三方机构</w:t>
      </w:r>
      <w:r>
        <w:rPr>
          <w:rFonts w:hint="eastAsia" w:ascii="仿宋" w:hAnsi="仿宋" w:eastAsia="仿宋" w:cs="Times New Roman"/>
          <w:sz w:val="32"/>
          <w:szCs w:val="32"/>
          <w:lang w:eastAsia="zh-CN"/>
        </w:rPr>
        <w:t>对温室气体排放等数据进行</w:t>
      </w:r>
      <w:r>
        <w:rPr>
          <w:rFonts w:hint="eastAsia" w:ascii="仿宋" w:hAnsi="仿宋" w:eastAsia="仿宋" w:cs="Times New Roman"/>
          <w:sz w:val="32"/>
          <w:szCs w:val="32"/>
        </w:rPr>
        <w:t>核查或鉴证等</w:t>
      </w:r>
      <w:r>
        <w:rPr>
          <w:rFonts w:hint="eastAsia" w:ascii="仿宋" w:hAnsi="仿宋" w:eastAsia="仿宋"/>
          <w:sz w:val="32"/>
          <w:szCs w:val="32"/>
        </w:rPr>
        <w:t>。</w:t>
      </w:r>
    </w:p>
    <w:p>
      <w:pPr>
        <w:snapToGrid w:val="0"/>
        <w:spacing w:line="560" w:lineRule="exact"/>
        <w:ind w:firstLine="600"/>
        <w:rPr>
          <w:rFonts w:ascii="仿宋" w:hAnsi="仿宋" w:eastAsia="仿宋"/>
          <w:bCs/>
          <w:sz w:val="32"/>
          <w:szCs w:val="32"/>
        </w:rPr>
      </w:pPr>
      <w:r>
        <w:rPr>
          <w:rFonts w:ascii="仿宋" w:hAnsi="仿宋" w:eastAsia="仿宋"/>
          <w:b/>
          <w:bCs/>
          <w:sz w:val="32"/>
          <w:szCs w:val="32"/>
        </w:rPr>
        <w:t>5.</w:t>
      </w:r>
      <w:r>
        <w:rPr>
          <w:rFonts w:hint="eastAsia" w:ascii="仿宋" w:hAnsi="仿宋" w:eastAsia="仿宋"/>
          <w:b/>
          <w:bCs/>
          <w:sz w:val="32"/>
          <w:szCs w:val="32"/>
        </w:rPr>
        <w:t>环境信息披露要求。</w:t>
      </w:r>
      <w:r>
        <w:rPr>
          <w:rFonts w:hint="eastAsia" w:ascii="仿宋" w:hAnsi="仿宋" w:eastAsia="仿宋"/>
          <w:bCs/>
          <w:sz w:val="32"/>
          <w:szCs w:val="32"/>
        </w:rPr>
        <w:t>除应对气候变化议题外，环境信息披露一章还设置了污染物排放、废弃物处理、生态系统和生物多样性、环境合规管理、能源利用、水资源利用、循环经济等重要议题，上市公司应当根据其是否属于</w:t>
      </w:r>
      <w:r>
        <w:rPr>
          <w:rFonts w:hint="eastAsia" w:ascii="仿宋" w:hAnsi="仿宋" w:eastAsia="仿宋"/>
          <w:sz w:val="32"/>
          <w:szCs w:val="32"/>
        </w:rPr>
        <w:t>环境信息依法披露企业或者其生产经营对环境的重大影响情况，按照《指引》规定披露相关信息。</w:t>
      </w:r>
    </w:p>
    <w:p>
      <w:pPr>
        <w:snapToGrid w:val="0"/>
        <w:spacing w:line="560" w:lineRule="exact"/>
        <w:ind w:firstLine="600"/>
        <w:rPr>
          <w:rFonts w:ascii="仿宋" w:hAnsi="仿宋" w:eastAsia="仿宋"/>
          <w:bCs/>
          <w:sz w:val="32"/>
          <w:szCs w:val="32"/>
        </w:rPr>
      </w:pPr>
      <w:r>
        <w:rPr>
          <w:rFonts w:ascii="仿宋" w:hAnsi="仿宋" w:eastAsia="仿宋"/>
          <w:b/>
          <w:sz w:val="32"/>
          <w:szCs w:val="32"/>
        </w:rPr>
        <w:t>6.</w:t>
      </w:r>
      <w:r>
        <w:rPr>
          <w:rFonts w:hint="eastAsia" w:ascii="仿宋" w:hAnsi="仿宋" w:eastAsia="仿宋"/>
          <w:b/>
          <w:bCs/>
          <w:sz w:val="32"/>
          <w:szCs w:val="32"/>
        </w:rPr>
        <w:t>社会信息披露要求。</w:t>
      </w:r>
      <w:r>
        <w:rPr>
          <w:rFonts w:hint="eastAsia" w:ascii="仿宋" w:hAnsi="仿宋" w:eastAsia="仿宋"/>
          <w:bCs/>
          <w:sz w:val="32"/>
          <w:szCs w:val="32"/>
        </w:rPr>
        <w:t>《指引》第四章设置了乡村振兴、社会贡献、创新驱动、科技伦理、供应链安全、平等对待中小企业、产品和服务安全与质量、数据安全与客户隐私保护、员工等重要议题。上市公司应当根据《指引》规定，披露相关议题所涉及的影响、风险和机遇、公司采取的具体措施、取得的具体成效等内容。</w:t>
      </w:r>
    </w:p>
    <w:p>
      <w:pPr>
        <w:pStyle w:val="17"/>
        <w:snapToGrid w:val="0"/>
        <w:spacing w:line="560" w:lineRule="exact"/>
        <w:ind w:firstLine="643"/>
        <w:rPr>
          <w:rFonts w:ascii="仿宋" w:hAnsi="仿宋" w:eastAsia="仿宋"/>
          <w:bCs/>
          <w:sz w:val="32"/>
          <w:szCs w:val="32"/>
        </w:rPr>
      </w:pPr>
      <w:r>
        <w:rPr>
          <w:rFonts w:ascii="仿宋" w:hAnsi="仿宋" w:eastAsia="仿宋"/>
          <w:b/>
          <w:bCs/>
          <w:sz w:val="32"/>
          <w:szCs w:val="32"/>
        </w:rPr>
        <w:t>7.</w:t>
      </w:r>
      <w:r>
        <w:rPr>
          <w:rFonts w:hint="eastAsia" w:ascii="仿宋" w:hAnsi="仿宋" w:eastAsia="仿宋"/>
          <w:b/>
          <w:bCs/>
          <w:sz w:val="32"/>
          <w:szCs w:val="32"/>
        </w:rPr>
        <w:t>可持续发展相关治理信息披露要求。</w:t>
      </w:r>
      <w:r>
        <w:rPr>
          <w:rFonts w:hint="eastAsia" w:ascii="仿宋" w:hAnsi="仿宋" w:eastAsia="仿宋"/>
          <w:bCs/>
          <w:sz w:val="32"/>
          <w:szCs w:val="32"/>
        </w:rPr>
        <w:t>上市公司应当积极将可持续发展理念融入公司治理的各项制度和流程，进一步健全和完善公司治理机制</w:t>
      </w:r>
      <w:r>
        <w:rPr>
          <w:rFonts w:hint="eastAsia" w:ascii="仿宋" w:hAnsi="仿宋" w:eastAsia="仿宋"/>
          <w:bCs/>
          <w:sz w:val="32"/>
          <w:szCs w:val="32"/>
          <w:lang w:eastAsia="zh-CN"/>
        </w:rPr>
        <w:t>，</w:t>
      </w:r>
      <w:r>
        <w:rPr>
          <w:rFonts w:hint="eastAsia" w:ascii="仿宋" w:hAnsi="仿宋" w:eastAsia="仿宋"/>
          <w:bCs/>
          <w:sz w:val="32"/>
          <w:szCs w:val="32"/>
        </w:rPr>
        <w:t>鼓励披露识别和应对可持续发展相关负面影响和风险的尽职调查情况。此外，</w:t>
      </w:r>
      <w:r>
        <w:rPr>
          <w:rFonts w:hint="eastAsia" w:ascii="仿宋" w:hAnsi="仿宋" w:eastAsia="仿宋"/>
          <w:bCs/>
          <w:sz w:val="32"/>
          <w:szCs w:val="32"/>
          <w:lang w:eastAsia="zh-CN"/>
        </w:rPr>
        <w:t>公司</w:t>
      </w:r>
      <w:r>
        <w:rPr>
          <w:rFonts w:hint="eastAsia" w:ascii="仿宋" w:hAnsi="仿宋" w:eastAsia="仿宋"/>
          <w:bCs/>
          <w:sz w:val="32"/>
          <w:szCs w:val="32"/>
        </w:rPr>
        <w:t>应当披露与利益相关方的沟通情况、反商业贿赂及反贪污、反不正当竞争相关情况。</w:t>
      </w:r>
    </w:p>
    <w:p>
      <w:pPr>
        <w:pStyle w:val="18"/>
        <w:snapToGrid w:val="0"/>
        <w:spacing w:line="560" w:lineRule="exact"/>
        <w:ind w:firstLine="643"/>
        <w:rPr>
          <w:rFonts w:ascii="仿宋" w:hAnsi="仿宋" w:eastAsia="仿宋"/>
          <w:sz w:val="32"/>
          <w:szCs w:val="32"/>
        </w:rPr>
      </w:pPr>
      <w:r>
        <w:rPr>
          <w:rFonts w:ascii="仿宋" w:hAnsi="仿宋" w:eastAsia="仿宋" w:cs="Times New Roman"/>
          <w:b/>
          <w:sz w:val="32"/>
          <w:szCs w:val="32"/>
        </w:rPr>
        <w:t>8.</w:t>
      </w:r>
      <w:r>
        <w:rPr>
          <w:rFonts w:hint="eastAsia" w:ascii="仿宋" w:hAnsi="仿宋" w:eastAsia="仿宋" w:cs="Times New Roman"/>
          <w:b/>
          <w:sz w:val="32"/>
          <w:szCs w:val="32"/>
        </w:rPr>
        <w:t>过渡期安排。</w:t>
      </w:r>
      <w:r>
        <w:rPr>
          <w:rFonts w:hint="eastAsia" w:ascii="仿宋" w:hAnsi="仿宋" w:eastAsia="仿宋" w:cs="Times New Roman"/>
          <w:sz w:val="32"/>
          <w:szCs w:val="32"/>
        </w:rPr>
        <w:t>按照《指引》规定应当披露《可持续发展报告》的上市公司应当在2026年4月30日前发布按照《指引》规定编制的2025年度《可持续发展报告》。上市公司应当提前做好相关技术、数据和内部治理等工作安排，本所鼓励其他上市公司自愿披露。</w:t>
      </w:r>
    </w:p>
    <w:p>
      <w:pPr>
        <w:pStyle w:val="17"/>
        <w:adjustRightInd w:val="0"/>
        <w:snapToGrid w:val="0"/>
        <w:spacing w:line="560" w:lineRule="exact"/>
        <w:ind w:firstLine="643"/>
        <w:rPr>
          <w:rFonts w:ascii="仿宋" w:hAnsi="仿宋" w:eastAsia="仿宋"/>
          <w:sz w:val="32"/>
          <w:szCs w:val="32"/>
        </w:rPr>
      </w:pPr>
      <w:r>
        <w:rPr>
          <w:rFonts w:hint="eastAsia" w:ascii="仿宋" w:hAnsi="仿宋" w:eastAsia="仿宋"/>
          <w:b/>
          <w:sz w:val="32"/>
          <w:szCs w:val="32"/>
        </w:rPr>
        <w:t>9.缓释措施。</w:t>
      </w:r>
      <w:r>
        <w:rPr>
          <w:rFonts w:hint="eastAsia" w:ascii="仿宋" w:hAnsi="仿宋" w:eastAsia="仿宋"/>
          <w:sz w:val="32"/>
          <w:szCs w:val="32"/>
        </w:rPr>
        <w:t>首个报告期上市公司无需披露相关指标的同比变化情况；对于定量披露难度较大的指标，可进行定性披露并解释无法量化披露的原因，前期已定量披露相关指标的除外。</w:t>
      </w:r>
    </w:p>
    <w:p>
      <w:pPr>
        <w:pStyle w:val="18"/>
        <w:adjustRightInd w:val="0"/>
        <w:snapToGrid w:val="0"/>
        <w:spacing w:line="560" w:lineRule="exact"/>
        <w:ind w:firstLine="640"/>
        <w:outlineLvl w:val="0"/>
        <w:rPr>
          <w:rFonts w:ascii="黑体" w:hAnsi="黑体" w:eastAsia="黑体" w:cs="黑体"/>
          <w:sz w:val="32"/>
          <w:szCs w:val="32"/>
        </w:rPr>
      </w:pPr>
      <w:r>
        <w:rPr>
          <w:rFonts w:hint="eastAsia" w:ascii="黑体" w:hAnsi="黑体" w:eastAsia="黑体" w:cs="黑体"/>
          <w:sz w:val="32"/>
          <w:szCs w:val="32"/>
        </w:rPr>
        <w:t>三、征求意见及采纳情况</w:t>
      </w:r>
    </w:p>
    <w:p>
      <w:pPr>
        <w:adjustRightInd w:val="0"/>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2024年2月8日，秉承“开门立规”原则，本所就《指引》向社会公开征求了意见。截至2月29日征求意见期结束，本所通过电子邮件等方式共收到反馈意见80余份，意见内容主要涉及报告披露时间、议题索引、强制披露主体范围等方面。本所对反馈意见进行逐条分析、充分讨论，采纳了优化章节结构及体例、增加议题索引表、放宽可持续发展报告披露时间等意见。同时，对于部分暂未采纳的意见，后续将视市场发展情况进一步研究考虑。</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15"/>
    <w:rsid w:val="000056DA"/>
    <w:rsid w:val="00011368"/>
    <w:rsid w:val="000120CE"/>
    <w:rsid w:val="00014CC3"/>
    <w:rsid w:val="00016F6E"/>
    <w:rsid w:val="00017478"/>
    <w:rsid w:val="00030A76"/>
    <w:rsid w:val="00031033"/>
    <w:rsid w:val="00034210"/>
    <w:rsid w:val="000539BF"/>
    <w:rsid w:val="00054CC2"/>
    <w:rsid w:val="00062E88"/>
    <w:rsid w:val="00063E68"/>
    <w:rsid w:val="000700F3"/>
    <w:rsid w:val="000769E5"/>
    <w:rsid w:val="00076D1B"/>
    <w:rsid w:val="00080271"/>
    <w:rsid w:val="000912D1"/>
    <w:rsid w:val="000B25BF"/>
    <w:rsid w:val="000D1D44"/>
    <w:rsid w:val="000E59D6"/>
    <w:rsid w:val="000F1D2B"/>
    <w:rsid w:val="000F2F75"/>
    <w:rsid w:val="00100655"/>
    <w:rsid w:val="00102E8D"/>
    <w:rsid w:val="00107AF9"/>
    <w:rsid w:val="00130A14"/>
    <w:rsid w:val="00136B68"/>
    <w:rsid w:val="00136F6B"/>
    <w:rsid w:val="00140E8B"/>
    <w:rsid w:val="00164679"/>
    <w:rsid w:val="00165DAE"/>
    <w:rsid w:val="001931D3"/>
    <w:rsid w:val="001B478D"/>
    <w:rsid w:val="001E4E45"/>
    <w:rsid w:val="001E757C"/>
    <w:rsid w:val="001F066E"/>
    <w:rsid w:val="001F5649"/>
    <w:rsid w:val="0020148C"/>
    <w:rsid w:val="002171DF"/>
    <w:rsid w:val="00224CF1"/>
    <w:rsid w:val="002250DA"/>
    <w:rsid w:val="00235259"/>
    <w:rsid w:val="00250574"/>
    <w:rsid w:val="00261D58"/>
    <w:rsid w:val="002742AF"/>
    <w:rsid w:val="0027755D"/>
    <w:rsid w:val="00282972"/>
    <w:rsid w:val="002A5ADA"/>
    <w:rsid w:val="002C0716"/>
    <w:rsid w:val="0030337B"/>
    <w:rsid w:val="00305CF5"/>
    <w:rsid w:val="00306890"/>
    <w:rsid w:val="0032697F"/>
    <w:rsid w:val="00327677"/>
    <w:rsid w:val="003306A2"/>
    <w:rsid w:val="003308D9"/>
    <w:rsid w:val="00334431"/>
    <w:rsid w:val="00335DF1"/>
    <w:rsid w:val="00337A66"/>
    <w:rsid w:val="0034188E"/>
    <w:rsid w:val="00354139"/>
    <w:rsid w:val="003572E5"/>
    <w:rsid w:val="003756DE"/>
    <w:rsid w:val="003850B0"/>
    <w:rsid w:val="003A148B"/>
    <w:rsid w:val="003A46B2"/>
    <w:rsid w:val="003B1415"/>
    <w:rsid w:val="003B5DD1"/>
    <w:rsid w:val="003C1DE4"/>
    <w:rsid w:val="003C6946"/>
    <w:rsid w:val="003F0844"/>
    <w:rsid w:val="003F5E4A"/>
    <w:rsid w:val="003F6B2D"/>
    <w:rsid w:val="00400392"/>
    <w:rsid w:val="0045081A"/>
    <w:rsid w:val="00454AFD"/>
    <w:rsid w:val="0045691B"/>
    <w:rsid w:val="00461A30"/>
    <w:rsid w:val="004625E5"/>
    <w:rsid w:val="00471532"/>
    <w:rsid w:val="004766BA"/>
    <w:rsid w:val="00485E08"/>
    <w:rsid w:val="004A5185"/>
    <w:rsid w:val="004B69C9"/>
    <w:rsid w:val="004C3377"/>
    <w:rsid w:val="004D6989"/>
    <w:rsid w:val="004E42E1"/>
    <w:rsid w:val="004E6DF7"/>
    <w:rsid w:val="005030E0"/>
    <w:rsid w:val="005161C9"/>
    <w:rsid w:val="00535699"/>
    <w:rsid w:val="005427AB"/>
    <w:rsid w:val="00571511"/>
    <w:rsid w:val="005716ED"/>
    <w:rsid w:val="00572AC5"/>
    <w:rsid w:val="005761B8"/>
    <w:rsid w:val="00581311"/>
    <w:rsid w:val="005979E2"/>
    <w:rsid w:val="005C5915"/>
    <w:rsid w:val="005D04AC"/>
    <w:rsid w:val="005E4F40"/>
    <w:rsid w:val="005F5FA0"/>
    <w:rsid w:val="006013E9"/>
    <w:rsid w:val="0060217C"/>
    <w:rsid w:val="0061013A"/>
    <w:rsid w:val="00611B31"/>
    <w:rsid w:val="0064098E"/>
    <w:rsid w:val="0064231B"/>
    <w:rsid w:val="00647761"/>
    <w:rsid w:val="00651946"/>
    <w:rsid w:val="006575A8"/>
    <w:rsid w:val="006617A9"/>
    <w:rsid w:val="00662829"/>
    <w:rsid w:val="006723B2"/>
    <w:rsid w:val="00682F41"/>
    <w:rsid w:val="00683756"/>
    <w:rsid w:val="006846A1"/>
    <w:rsid w:val="00692423"/>
    <w:rsid w:val="006A56B0"/>
    <w:rsid w:val="006A79C9"/>
    <w:rsid w:val="006B0F1B"/>
    <w:rsid w:val="006B790E"/>
    <w:rsid w:val="006C7D85"/>
    <w:rsid w:val="006D036B"/>
    <w:rsid w:val="006D03B9"/>
    <w:rsid w:val="006D2AEB"/>
    <w:rsid w:val="006E1E07"/>
    <w:rsid w:val="006E35F6"/>
    <w:rsid w:val="006F7A15"/>
    <w:rsid w:val="00701AEA"/>
    <w:rsid w:val="00706AF1"/>
    <w:rsid w:val="00711B93"/>
    <w:rsid w:val="00727379"/>
    <w:rsid w:val="00733C43"/>
    <w:rsid w:val="00734166"/>
    <w:rsid w:val="00781DF6"/>
    <w:rsid w:val="00783578"/>
    <w:rsid w:val="007A3409"/>
    <w:rsid w:val="007A3A3F"/>
    <w:rsid w:val="007A4EE1"/>
    <w:rsid w:val="007A5169"/>
    <w:rsid w:val="007B36E2"/>
    <w:rsid w:val="007B69DB"/>
    <w:rsid w:val="007B6B93"/>
    <w:rsid w:val="007D1DFD"/>
    <w:rsid w:val="007F637F"/>
    <w:rsid w:val="008030A2"/>
    <w:rsid w:val="00820BB5"/>
    <w:rsid w:val="008216D4"/>
    <w:rsid w:val="00825EB4"/>
    <w:rsid w:val="00847432"/>
    <w:rsid w:val="008639C1"/>
    <w:rsid w:val="008B2D0F"/>
    <w:rsid w:val="008C4379"/>
    <w:rsid w:val="008C4F6D"/>
    <w:rsid w:val="008C5556"/>
    <w:rsid w:val="008C6082"/>
    <w:rsid w:val="008D3834"/>
    <w:rsid w:val="008D4DEE"/>
    <w:rsid w:val="008F01F0"/>
    <w:rsid w:val="008F7A4E"/>
    <w:rsid w:val="00900650"/>
    <w:rsid w:val="009142FA"/>
    <w:rsid w:val="00920ED4"/>
    <w:rsid w:val="00931E4F"/>
    <w:rsid w:val="0093674A"/>
    <w:rsid w:val="0094462C"/>
    <w:rsid w:val="00950D56"/>
    <w:rsid w:val="009632C4"/>
    <w:rsid w:val="00982F03"/>
    <w:rsid w:val="00985DB6"/>
    <w:rsid w:val="009A2453"/>
    <w:rsid w:val="009A719F"/>
    <w:rsid w:val="009C4001"/>
    <w:rsid w:val="009C4240"/>
    <w:rsid w:val="009C6CC8"/>
    <w:rsid w:val="009D038B"/>
    <w:rsid w:val="009D38CE"/>
    <w:rsid w:val="009E5CD1"/>
    <w:rsid w:val="00A0016E"/>
    <w:rsid w:val="00A0534F"/>
    <w:rsid w:val="00A14D8B"/>
    <w:rsid w:val="00A160FD"/>
    <w:rsid w:val="00A222B0"/>
    <w:rsid w:val="00A30CCA"/>
    <w:rsid w:val="00A44039"/>
    <w:rsid w:val="00A461AF"/>
    <w:rsid w:val="00A534BA"/>
    <w:rsid w:val="00A613F3"/>
    <w:rsid w:val="00A63B5A"/>
    <w:rsid w:val="00A64AF6"/>
    <w:rsid w:val="00A923E3"/>
    <w:rsid w:val="00A97810"/>
    <w:rsid w:val="00AA59C1"/>
    <w:rsid w:val="00AC3017"/>
    <w:rsid w:val="00AC5491"/>
    <w:rsid w:val="00AE4143"/>
    <w:rsid w:val="00AF2359"/>
    <w:rsid w:val="00B003FB"/>
    <w:rsid w:val="00B07D4C"/>
    <w:rsid w:val="00B15F89"/>
    <w:rsid w:val="00B17B0B"/>
    <w:rsid w:val="00B306D1"/>
    <w:rsid w:val="00B418EA"/>
    <w:rsid w:val="00B513BB"/>
    <w:rsid w:val="00B62CD3"/>
    <w:rsid w:val="00B733A4"/>
    <w:rsid w:val="00B7615A"/>
    <w:rsid w:val="00B96A6F"/>
    <w:rsid w:val="00BA3B65"/>
    <w:rsid w:val="00BA465E"/>
    <w:rsid w:val="00BA62A7"/>
    <w:rsid w:val="00BB2343"/>
    <w:rsid w:val="00BC1AAA"/>
    <w:rsid w:val="00BC3807"/>
    <w:rsid w:val="00BE1E6F"/>
    <w:rsid w:val="00BE5AED"/>
    <w:rsid w:val="00BF6EAF"/>
    <w:rsid w:val="00C0274B"/>
    <w:rsid w:val="00C07488"/>
    <w:rsid w:val="00C2501E"/>
    <w:rsid w:val="00C25619"/>
    <w:rsid w:val="00C36A24"/>
    <w:rsid w:val="00C45AE3"/>
    <w:rsid w:val="00C45ECC"/>
    <w:rsid w:val="00C51A13"/>
    <w:rsid w:val="00C81E19"/>
    <w:rsid w:val="00C90186"/>
    <w:rsid w:val="00C9041F"/>
    <w:rsid w:val="00C918AF"/>
    <w:rsid w:val="00C93D0A"/>
    <w:rsid w:val="00CA1BED"/>
    <w:rsid w:val="00CA4FFD"/>
    <w:rsid w:val="00CA5303"/>
    <w:rsid w:val="00CA6061"/>
    <w:rsid w:val="00CA7175"/>
    <w:rsid w:val="00CD0C4F"/>
    <w:rsid w:val="00CF3AB0"/>
    <w:rsid w:val="00CF5F12"/>
    <w:rsid w:val="00D135B8"/>
    <w:rsid w:val="00D14115"/>
    <w:rsid w:val="00D14494"/>
    <w:rsid w:val="00D20057"/>
    <w:rsid w:val="00D2657D"/>
    <w:rsid w:val="00D27A53"/>
    <w:rsid w:val="00D31D36"/>
    <w:rsid w:val="00D63B42"/>
    <w:rsid w:val="00D770F2"/>
    <w:rsid w:val="00D908CA"/>
    <w:rsid w:val="00DA51DC"/>
    <w:rsid w:val="00DE09E2"/>
    <w:rsid w:val="00DF75B9"/>
    <w:rsid w:val="00E006CA"/>
    <w:rsid w:val="00E01E45"/>
    <w:rsid w:val="00E05C00"/>
    <w:rsid w:val="00E22794"/>
    <w:rsid w:val="00E24E22"/>
    <w:rsid w:val="00E31DF4"/>
    <w:rsid w:val="00E333D7"/>
    <w:rsid w:val="00E3638B"/>
    <w:rsid w:val="00E47B45"/>
    <w:rsid w:val="00E511E0"/>
    <w:rsid w:val="00E70236"/>
    <w:rsid w:val="00E90427"/>
    <w:rsid w:val="00E9611C"/>
    <w:rsid w:val="00ED3D1F"/>
    <w:rsid w:val="00EE493C"/>
    <w:rsid w:val="00EF49D0"/>
    <w:rsid w:val="00F06476"/>
    <w:rsid w:val="00F12C8C"/>
    <w:rsid w:val="00F1537F"/>
    <w:rsid w:val="00F3469A"/>
    <w:rsid w:val="00F40D27"/>
    <w:rsid w:val="00F430E6"/>
    <w:rsid w:val="00F45A2C"/>
    <w:rsid w:val="00F55F2B"/>
    <w:rsid w:val="00F567EA"/>
    <w:rsid w:val="00F7484F"/>
    <w:rsid w:val="00F752E6"/>
    <w:rsid w:val="00F86CCE"/>
    <w:rsid w:val="00F93C66"/>
    <w:rsid w:val="00F94B5E"/>
    <w:rsid w:val="00FA22BE"/>
    <w:rsid w:val="00FA6CD6"/>
    <w:rsid w:val="00FB3051"/>
    <w:rsid w:val="00FD2AF4"/>
    <w:rsid w:val="00FE1043"/>
    <w:rsid w:val="00FE218B"/>
    <w:rsid w:val="00FF64D6"/>
    <w:rsid w:val="01C20073"/>
    <w:rsid w:val="022B4B26"/>
    <w:rsid w:val="042652DF"/>
    <w:rsid w:val="05B46C88"/>
    <w:rsid w:val="0F216961"/>
    <w:rsid w:val="143321B1"/>
    <w:rsid w:val="15207325"/>
    <w:rsid w:val="16E208EF"/>
    <w:rsid w:val="189B0A87"/>
    <w:rsid w:val="19710666"/>
    <w:rsid w:val="1AF20F2C"/>
    <w:rsid w:val="1EDF18B6"/>
    <w:rsid w:val="23081905"/>
    <w:rsid w:val="24DC6349"/>
    <w:rsid w:val="24FF44FF"/>
    <w:rsid w:val="26C46BDD"/>
    <w:rsid w:val="27CE415D"/>
    <w:rsid w:val="28886E0E"/>
    <w:rsid w:val="28BE407E"/>
    <w:rsid w:val="293A60E2"/>
    <w:rsid w:val="2A2953B9"/>
    <w:rsid w:val="2B6E73FE"/>
    <w:rsid w:val="2C1F0008"/>
    <w:rsid w:val="340077B0"/>
    <w:rsid w:val="361455CA"/>
    <w:rsid w:val="3B2D2126"/>
    <w:rsid w:val="3CFF16A1"/>
    <w:rsid w:val="3DB44FAF"/>
    <w:rsid w:val="3E9A1FA2"/>
    <w:rsid w:val="42B61283"/>
    <w:rsid w:val="46580079"/>
    <w:rsid w:val="46866427"/>
    <w:rsid w:val="4803593F"/>
    <w:rsid w:val="4A4970F0"/>
    <w:rsid w:val="58F670FB"/>
    <w:rsid w:val="5A524B76"/>
    <w:rsid w:val="5D63661B"/>
    <w:rsid w:val="5FAD0307"/>
    <w:rsid w:val="63577C93"/>
    <w:rsid w:val="635F2C96"/>
    <w:rsid w:val="655B17D7"/>
    <w:rsid w:val="687B4BB8"/>
    <w:rsid w:val="6C88760B"/>
    <w:rsid w:val="6D644BDC"/>
    <w:rsid w:val="6E3531DF"/>
    <w:rsid w:val="6E35672B"/>
    <w:rsid w:val="6EDA5C91"/>
    <w:rsid w:val="712F51C5"/>
    <w:rsid w:val="71711CEA"/>
    <w:rsid w:val="71CF04C8"/>
    <w:rsid w:val="71EA4728"/>
    <w:rsid w:val="75B043E9"/>
    <w:rsid w:val="7A2E12D4"/>
    <w:rsid w:val="7B22669F"/>
    <w:rsid w:val="7CD9654D"/>
    <w:rsid w:val="7E9E469A"/>
    <w:rsid w:val="7FED3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semiHidden/>
    <w:unhideWhenUsed/>
    <w:qFormat/>
    <w:uiPriority w:val="99"/>
    <w:rPr>
      <w:rFonts w:ascii="宋体" w:eastAsia="宋体"/>
      <w:sz w:val="18"/>
      <w:szCs w:val="18"/>
    </w:rPr>
  </w:style>
  <w:style w:type="paragraph" w:styleId="3">
    <w:name w:val="annotation text"/>
    <w:basedOn w:val="1"/>
    <w:link w:val="22"/>
    <w:semiHidden/>
    <w:unhideWhenUsed/>
    <w:qFormat/>
    <w:uiPriority w:val="99"/>
    <w:pPr>
      <w:jc w:val="left"/>
    </w:pPr>
  </w:style>
  <w:style w:type="paragraph" w:styleId="4">
    <w:name w:val="Body Text"/>
    <w:basedOn w:val="1"/>
    <w:next w:val="1"/>
    <w:link w:val="20"/>
    <w:unhideWhenUsed/>
    <w:qFormat/>
    <w:uiPriority w:val="99"/>
    <w:rPr>
      <w:rFonts w:ascii="宋体" w:hAnsi="宋体" w:eastAsia="宋体" w:cs="宋体"/>
      <w:sz w:val="28"/>
      <w:szCs w:val="28"/>
    </w:r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3"/>
    <w:semiHidden/>
    <w:unhideWhenUsed/>
    <w:qFormat/>
    <w:uiPriority w:val="99"/>
    <w:rPr>
      <w:b/>
      <w:bCs/>
    </w:rPr>
  </w:style>
  <w:style w:type="character" w:styleId="11">
    <w:name w:val="Strong"/>
    <w:basedOn w:val="10"/>
    <w:qFormat/>
    <w:uiPriority w:val="22"/>
    <w:rPr>
      <w:b/>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批注框文本 Char"/>
    <w:basedOn w:val="10"/>
    <w:link w:val="5"/>
    <w:semiHidden/>
    <w:qFormat/>
    <w:uiPriority w:val="99"/>
    <w:rPr>
      <w:sz w:val="18"/>
      <w:szCs w:val="18"/>
    </w:rPr>
  </w:style>
  <w:style w:type="character" w:customStyle="1" w:styleId="16">
    <w:name w:val="文档结构图 Char"/>
    <w:basedOn w:val="10"/>
    <w:link w:val="2"/>
    <w:semiHidden/>
    <w:qFormat/>
    <w:uiPriority w:val="99"/>
    <w:rPr>
      <w:rFonts w:ascii="宋体" w:eastAsia="宋体"/>
      <w:sz w:val="18"/>
      <w:szCs w:val="18"/>
    </w:rPr>
  </w:style>
  <w:style w:type="paragraph" w:customStyle="1" w:styleId="17">
    <w:name w:val="_Style 17"/>
    <w:basedOn w:val="1"/>
    <w:next w:val="18"/>
    <w:qFormat/>
    <w:uiPriority w:val="34"/>
    <w:pPr>
      <w:ind w:firstLine="420" w:firstLineChars="200"/>
    </w:pPr>
    <w:rPr>
      <w:rFonts w:ascii="Times New Roman" w:hAnsi="Times New Roman" w:eastAsia="宋体" w:cs="Times New Roman"/>
    </w:rPr>
  </w:style>
  <w:style w:type="paragraph" w:styleId="18">
    <w:name w:val="List Paragraph"/>
    <w:basedOn w:val="1"/>
    <w:qFormat/>
    <w:uiPriority w:val="34"/>
    <w:pPr>
      <w:ind w:firstLine="420" w:firstLineChars="200"/>
    </w:pPr>
  </w:style>
  <w:style w:type="character" w:customStyle="1" w:styleId="19">
    <w:name w:val="正文文本 Char"/>
    <w:basedOn w:val="10"/>
    <w:semiHidden/>
    <w:qFormat/>
    <w:uiPriority w:val="99"/>
  </w:style>
  <w:style w:type="character" w:customStyle="1" w:styleId="20">
    <w:name w:val="正文文本 Char1"/>
    <w:link w:val="4"/>
    <w:qFormat/>
    <w:uiPriority w:val="99"/>
    <w:rPr>
      <w:rFonts w:ascii="宋体" w:hAnsi="宋体" w:eastAsia="宋体" w:cs="宋体"/>
      <w:sz w:val="28"/>
      <w:szCs w:val="28"/>
    </w:rPr>
  </w:style>
  <w:style w:type="paragraph" w:customStyle="1" w:styleId="21">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2">
    <w:name w:val="批注文字 Char"/>
    <w:basedOn w:val="10"/>
    <w:link w:val="3"/>
    <w:semiHidden/>
    <w:qFormat/>
    <w:uiPriority w:val="99"/>
    <w:rPr>
      <w:kern w:val="2"/>
      <w:sz w:val="21"/>
      <w:szCs w:val="22"/>
    </w:rPr>
  </w:style>
  <w:style w:type="character" w:customStyle="1" w:styleId="23">
    <w:name w:val="批注主题 Char"/>
    <w:basedOn w:val="22"/>
    <w:link w:val="8"/>
    <w:semiHidden/>
    <w:qFormat/>
    <w:uiPriority w:val="99"/>
    <w:rPr>
      <w:b/>
      <w:bCs/>
      <w:kern w:val="2"/>
      <w:sz w:val="21"/>
      <w:szCs w:val="22"/>
    </w:rPr>
  </w:style>
  <w:style w:type="paragraph" w:customStyle="1" w:styleId="24">
    <w:name w:val="修订2"/>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92305A-BB40-4E4B-8DD2-8A51AA4C19B5}">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390</Words>
  <Characters>2229</Characters>
  <Lines>18</Lines>
  <Paragraphs>5</Paragraphs>
  <TotalTime>23</TotalTime>
  <ScaleCrop>false</ScaleCrop>
  <LinksUpToDate>false</LinksUpToDate>
  <CharactersWithSpaces>2614</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2023-12-28T01:12:00Z</dcterms:created>
  <dc:creator>ychen</dc:creator>
  <cp:lastModifiedBy>辛雅婷</cp:lastModifiedBy>
  <cp:lastPrinted>2023-12-19T10:33:00Z</cp:lastPrinted>
  <dcterms:modified xsi:type="dcterms:W3CDTF">2024-04-12T10:27:10Z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2052-11.8.2.12080</vt:lpwstr>
  </property>
  <property fmtid="{D5CDD505-2E9C-101B-9397-08002B2CF9AE}" pid="3" name="ICV">
    <vt:lpwstr>8E76BF001F1F4DB9A76E9A870E3A8097</vt:lpwstr>
  </property>
</Properties>
</file>