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left"/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  <w:lang w:val="en-US" w:eastAsia="zh-CN"/>
        </w:rPr>
        <w:t>1-1</w:t>
      </w:r>
    </w:p>
    <w:p>
      <w:pPr>
        <w:widowControl/>
        <w:shd w:val="clear" w:color="auto" w:fill="FFFFFF"/>
        <w:spacing w:line="58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44"/>
          <w:highlight w:val="none"/>
          <w:lang w:val="en-US" w:eastAsia="zh-CN"/>
        </w:rPr>
      </w:pPr>
    </w:p>
    <w:p>
      <w:pPr>
        <w:widowControl/>
        <w:shd w:val="clear" w:color="auto" w:fill="FFFFFF"/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highlight w:val="none"/>
        </w:rPr>
        <w:t>深圳证券交易所信访工作实施办法</w:t>
      </w:r>
    </w:p>
    <w:p>
      <w:pPr>
        <w:widowControl/>
        <w:shd w:val="clear" w:color="auto" w:fill="FFFFFF"/>
        <w:spacing w:line="580" w:lineRule="exact"/>
        <w:jc w:val="center"/>
        <w:rPr>
          <w:rFonts w:hAnsi="宋体"/>
          <w:b/>
          <w:kern w:val="0"/>
          <w:sz w:val="36"/>
          <w:highlight w:val="none"/>
        </w:rPr>
      </w:pPr>
    </w:p>
    <w:p>
      <w:pPr>
        <w:widowControl/>
        <w:shd w:val="clear" w:color="auto" w:fill="FFFFFF"/>
        <w:spacing w:before="156" w:beforeLines="50" w:after="156" w:afterLines="50" w:line="580" w:lineRule="exact"/>
        <w:jc w:val="center"/>
        <w:rPr>
          <w:rFonts w:ascii="黑体" w:hAnsi="黑体" w:eastAsia="黑体"/>
          <w:kern w:val="0"/>
          <w:sz w:val="32"/>
          <w:highlight w:val="none"/>
        </w:rPr>
      </w:pPr>
      <w:r>
        <w:rPr>
          <w:rFonts w:hint="eastAsia" w:ascii="黑体" w:hAnsi="黑体" w:eastAsia="黑体"/>
          <w:kern w:val="0"/>
          <w:sz w:val="32"/>
          <w:highlight w:val="none"/>
        </w:rPr>
        <w:t>第一章  总则</w:t>
      </w:r>
    </w:p>
    <w:p>
      <w:pPr>
        <w:pStyle w:val="14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Ansi="仿宋_GB2312"/>
          <w:sz w:val="32"/>
          <w:highlight w:val="none"/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为了规范深圳证券交易所（以下简称本所）信访工作，保护信访人合法权益，根据《信访工作条例》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《中国证监会信访工作办法》，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制定本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办法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14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</w:rPr>
        <w:t>本办法适用于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lang w:eastAsia="zh-CN"/>
        </w:rPr>
        <w:t>本所处理信访人通过信访渠道反映的情况，提出的意见、建议或者投诉请求。</w:t>
      </w:r>
    </w:p>
    <w:p>
      <w:pPr>
        <w:pStyle w:val="14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本所开展信访工作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应当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遵循下列原则：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（一）坚持党的全面领导</w:t>
      </w:r>
      <w:r>
        <w:rPr>
          <w:rFonts w:hint="eastAsia" w:ascii="Times New Roman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把党的领导贯彻到信访工作各方面和全过程，确保正确政治方向</w:t>
      </w:r>
      <w:r>
        <w:rPr>
          <w:rFonts w:ascii="Times New Roman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（二）坚持以人民为中心</w:t>
      </w:r>
      <w:r>
        <w:rPr>
          <w:rFonts w:hint="eastAsia" w:ascii="Times New Roman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践行党的群众路线，倾听群众呼声，关心群众疾苦，</w:t>
      </w:r>
      <w:r>
        <w:rPr>
          <w:rFonts w:hint="eastAsia" w:ascii="Times New Roman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千方百计</w:t>
      </w:r>
      <w:r>
        <w:rPr>
          <w:rFonts w:hint="eastAsia" w:ascii="Times New Roman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为群众排忧解难</w:t>
      </w:r>
      <w:r>
        <w:rPr>
          <w:rFonts w:ascii="Times New Roman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Ansi="仿宋_GB2312"/>
          <w:sz w:val="32"/>
          <w:highlight w:val="none"/>
        </w:rPr>
      </w:pPr>
      <w:r>
        <w:rPr>
          <w:rFonts w:hint="eastAsia" w:ascii="Times New Roman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（三）坚持落实信访工作责任</w:t>
      </w:r>
      <w:r>
        <w:rPr>
          <w:rFonts w:hint="eastAsia" w:ascii="Times New Roman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。党政同责、一岗双责，属地管理、分级负责，谁主管、谁负责。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仿宋_GB2312"/>
          <w:sz w:val="32"/>
          <w:highlight w:val="none"/>
        </w:rPr>
      </w:pPr>
      <w:r>
        <w:rPr>
          <w:rFonts w:hint="eastAsia" w:hAnsi="仿宋_GB2312"/>
          <w:sz w:val="32"/>
          <w:highlight w:val="none"/>
        </w:rPr>
        <w:t>（四）</w:t>
      </w:r>
      <w:r>
        <w:rPr>
          <w:rFonts w:hint="eastAsia" w:hAnsi="仿宋_GB2312"/>
          <w:sz w:val="32"/>
          <w:highlight w:val="none"/>
          <w:lang w:eastAsia="zh-CN"/>
        </w:rPr>
        <w:t>坚持依法按政策解决问题。将信访纳入法治化轨道，依法维护群众权益、规范信访秩序。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仿宋_GB2312"/>
          <w:sz w:val="32"/>
          <w:highlight w:val="none"/>
          <w:lang w:eastAsia="zh-CN"/>
        </w:rPr>
      </w:pPr>
      <w:r>
        <w:rPr>
          <w:rFonts w:hint="eastAsia" w:hAnsi="仿宋_GB2312"/>
          <w:sz w:val="32"/>
          <w:highlight w:val="none"/>
          <w:lang w:eastAsia="zh-CN"/>
        </w:rPr>
        <w:t>（五）坚持源头治理化解矛盾。多措并举、综合施策，将着力点放在源头预防和前端化解，把可能引发信访问题的矛盾纠纷化解在基层、化解在萌芽状态。</w:t>
      </w:r>
    </w:p>
    <w:p>
      <w:pPr>
        <w:pStyle w:val="14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本所通过官方网站向社会公布通信地址、信访电话、信访接待时间和地点等相关事项，保障信访渠道畅通。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Ansi="仿宋_GB2312"/>
          <w:sz w:val="32"/>
          <w:highlight w:val="none"/>
        </w:rPr>
      </w:pPr>
    </w:p>
    <w:p>
      <w:pPr>
        <w:widowControl/>
        <w:numPr>
          <w:ilvl w:val="255"/>
          <w:numId w:val="0"/>
        </w:numPr>
        <w:shd w:val="clear" w:color="auto" w:fill="FFFFFF"/>
        <w:spacing w:before="156" w:beforeLines="50" w:after="156" w:afterLines="50" w:line="580" w:lineRule="exact"/>
        <w:jc w:val="center"/>
        <w:rPr>
          <w:rFonts w:ascii="黑体" w:hAnsi="黑体" w:eastAsia="黑体"/>
          <w:kern w:val="0"/>
          <w:sz w:val="32"/>
          <w:highlight w:val="none"/>
        </w:rPr>
      </w:pPr>
      <w:r>
        <w:rPr>
          <w:rFonts w:hint="eastAsia" w:ascii="黑体" w:hAnsi="黑体" w:eastAsia="黑体"/>
          <w:kern w:val="0"/>
          <w:sz w:val="32"/>
          <w:highlight w:val="none"/>
        </w:rPr>
        <w:t>第二章　信访工作部门及职责范围</w:t>
      </w:r>
    </w:p>
    <w:p>
      <w:pPr>
        <w:pStyle w:val="14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本所指定专门部门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（以下简称信访工作部门）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负责信访工作，履行下列信访工作职责：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Ansi="仿宋_GB2312"/>
          <w:kern w:val="0"/>
          <w:sz w:val="32"/>
          <w:highlight w:val="none"/>
        </w:rPr>
      </w:pPr>
      <w:r>
        <w:rPr>
          <w:rFonts w:hint="eastAsia" w:hAnsi="仿宋_GB2312"/>
          <w:kern w:val="0"/>
          <w:sz w:val="32"/>
          <w:highlight w:val="none"/>
        </w:rPr>
        <w:t>（一）受理、交办、转送信访人提出的信访事项；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Ansi="仿宋_GB2312"/>
          <w:kern w:val="0"/>
          <w:sz w:val="32"/>
          <w:highlight w:val="none"/>
        </w:rPr>
      </w:pPr>
      <w:r>
        <w:rPr>
          <w:rFonts w:hint="eastAsia" w:hAnsi="仿宋_GB2312"/>
          <w:kern w:val="0"/>
          <w:sz w:val="32"/>
          <w:highlight w:val="none"/>
        </w:rPr>
        <w:t>（二）承办</w:t>
      </w:r>
      <w:r>
        <w:rPr>
          <w:rFonts w:hint="eastAsia" w:ascii="Times New Roman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中国证券监督管理委员会（以下简称</w:t>
      </w:r>
      <w:r>
        <w:rPr>
          <w:rFonts w:ascii="Times New Roman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中国证监会</w:t>
      </w:r>
      <w:r>
        <w:rPr>
          <w:rFonts w:hint="eastAsia" w:ascii="Times New Roman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hAnsi="仿宋_GB2312"/>
          <w:kern w:val="0"/>
          <w:sz w:val="32"/>
          <w:highlight w:val="none"/>
        </w:rPr>
        <w:t>以及其他国家机关转办的信访事项；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Ansi="仿宋_GB2312"/>
          <w:kern w:val="0"/>
          <w:sz w:val="32"/>
          <w:highlight w:val="none"/>
        </w:rPr>
      </w:pPr>
      <w:r>
        <w:rPr>
          <w:rFonts w:hint="eastAsia" w:hAnsi="仿宋_GB2312"/>
          <w:kern w:val="0"/>
          <w:sz w:val="32"/>
          <w:highlight w:val="none"/>
        </w:rPr>
        <w:t>（三）协调处理信访事项；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Ansi="仿宋_GB2312"/>
          <w:kern w:val="0"/>
          <w:sz w:val="32"/>
          <w:highlight w:val="none"/>
        </w:rPr>
      </w:pPr>
      <w:r>
        <w:rPr>
          <w:rFonts w:hint="eastAsia" w:hAnsi="仿宋_GB2312"/>
          <w:kern w:val="0"/>
          <w:sz w:val="32"/>
          <w:highlight w:val="none"/>
        </w:rPr>
        <w:t>（四）督促检查信访事项的处理；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ascii="Times New Roman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研究分析信访情况，及时向上级机关及本单位领导报告正在发生或者可能发生的重大、紧急信访事项</w:t>
      </w:r>
      <w:r>
        <w:rPr>
          <w:rFonts w:hint="eastAsia" w:ascii="Times New Roman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Times New Roman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宣传信访工作有关法规、政策，引导信访人依法信访；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</w:pPr>
      <w:r>
        <w:rPr>
          <w:rFonts w:hint="eastAsia" w:ascii="Times New Roman" w:eastAsia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（七）对信访数据进行收集、整理、汇编，开展调查研究，提出完善政策和改进工作的建议。</w:t>
      </w:r>
    </w:p>
    <w:p>
      <w:pPr>
        <w:pStyle w:val="14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本所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实行信访工作责任制，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相关部门按照各自职责分工认真办理信访事项，按时反馈工作进展情况和结果，积极协助接待群众来访，提供与信访工作有关的专业性意见和书面答复意见。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firstLine="0" w:firstLineChars="0"/>
        <w:textAlignment w:val="auto"/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255"/>
          <w:numId w:val="0"/>
        </w:numPr>
        <w:shd w:val="clear" w:color="auto" w:fill="FFFFFF"/>
        <w:spacing w:before="156" w:beforeLines="50" w:after="156" w:afterLines="50" w:line="580" w:lineRule="exact"/>
        <w:jc w:val="center"/>
        <w:rPr>
          <w:rFonts w:ascii="黑体" w:hAnsi="黑体" w:eastAsia="黑体"/>
          <w:kern w:val="0"/>
          <w:sz w:val="32"/>
          <w:highlight w:val="none"/>
        </w:rPr>
      </w:pPr>
      <w:r>
        <w:rPr>
          <w:rFonts w:hint="eastAsia" w:ascii="黑体" w:hAnsi="黑体" w:eastAsia="黑体"/>
          <w:kern w:val="0"/>
          <w:sz w:val="32"/>
          <w:highlight w:val="none"/>
        </w:rPr>
        <w:t>　第</w:t>
      </w:r>
      <w:r>
        <w:rPr>
          <w:rFonts w:ascii="黑体" w:hAnsi="黑体" w:eastAsia="黑体"/>
          <w:kern w:val="0"/>
          <w:sz w:val="32"/>
          <w:highlight w:val="none"/>
        </w:rPr>
        <w:t>三</w:t>
      </w:r>
      <w:r>
        <w:rPr>
          <w:rFonts w:hint="eastAsia" w:ascii="黑体" w:hAnsi="黑体" w:eastAsia="黑体"/>
          <w:kern w:val="0"/>
          <w:sz w:val="32"/>
          <w:highlight w:val="none"/>
        </w:rPr>
        <w:t>章　信访事项的提出</w:t>
      </w:r>
    </w:p>
    <w:p>
      <w:pPr>
        <w:pStyle w:val="14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信访人一般应当采用书面形式提出信访事项，并载明姓名（名称）、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联系方式、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住址和请求、事实、理由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等信息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Ansi="仿宋_GB2312"/>
          <w:kern w:val="0"/>
          <w:sz w:val="32"/>
          <w:highlight w:val="none"/>
        </w:rPr>
      </w:pPr>
      <w:r>
        <w:rPr>
          <w:rFonts w:hint="eastAsia" w:hAnsi="仿宋_GB2312"/>
          <w:kern w:val="0"/>
          <w:sz w:val="32"/>
          <w:highlight w:val="none"/>
        </w:rPr>
        <w:t>信访人提出信访事项，应当客观真实，对其所提供材料内容的真实性负责，不得捏造、歪曲事实，不得诬告、陷害他人。</w:t>
      </w:r>
    </w:p>
    <w:p>
      <w:pPr>
        <w:pStyle w:val="14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信访人委托代理人提出信访事项的，代理人应当出示委托人的书面授权委托书、委托人及代理人的身份证明，并在授权的范围内行使代理权。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Ansi="仿宋_GB2312"/>
          <w:kern w:val="0"/>
          <w:sz w:val="32"/>
          <w:highlight w:val="none"/>
        </w:rPr>
      </w:pPr>
      <w:r>
        <w:rPr>
          <w:rFonts w:hint="eastAsia" w:hAnsi="仿宋_GB2312"/>
          <w:kern w:val="0"/>
          <w:sz w:val="32"/>
          <w:highlight w:val="none"/>
        </w:rPr>
        <w:t>委托人明确表示不再提出信访事项，代理人继续提出的，本所不予受理。</w:t>
      </w:r>
    </w:p>
    <w:p>
      <w:pPr>
        <w:pStyle w:val="14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信访人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可以书面申请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撤回信访事项，本所核实相关信息后，可以终止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处理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信访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事项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14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信访工作人员发现信访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中存在威胁、恐吓等言词，或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者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信访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中夹带危险物品的，及时转交本所负责保卫工作的部门处理。</w:t>
      </w:r>
    </w:p>
    <w:p>
      <w:pPr>
        <w:pStyle w:val="14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信访人通过电话形式提出信访事项的，接电人员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应当认真记录信访人的姓名（名称）、联系方式和请求、事实、理由等信息并可以进行录音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14"/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来电内容涉及诉求的，除上述信息外，接电人员还应当要求信访人提供住址等信息和相关书面证据材料。</w:t>
      </w:r>
    </w:p>
    <w:p>
      <w:pPr>
        <w:pStyle w:val="14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本所提供必要的来访接待场所。信访人采用走访形式提出信访事项的，应当到本所设立、指定的接待场所提出。</w:t>
      </w:r>
    </w:p>
    <w:p>
      <w:pPr>
        <w:pStyle w:val="14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信访人采用走访形式到本所接待场所，接访人员应当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核对来访人身份信息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。必要时，可以复印信访人的身份证明，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对接访过程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进行录像、录音。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Ansi="仿宋_GB2312"/>
          <w:kern w:val="0"/>
          <w:sz w:val="32"/>
          <w:highlight w:val="none"/>
        </w:rPr>
      </w:pPr>
      <w:r>
        <w:rPr>
          <w:rFonts w:hint="eastAsia" w:hAnsi="仿宋_GB2312"/>
          <w:kern w:val="0"/>
          <w:sz w:val="32"/>
          <w:highlight w:val="none"/>
        </w:rPr>
        <w:t>5名以上信访人采用走访形式提出同一信访事项，应当推选代表，代表人数不得超过5人。</w:t>
      </w:r>
    </w:p>
    <w:p>
      <w:pPr>
        <w:pStyle w:val="14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信访人采用走访形式提出信访事项的，接访人员应当要求其提供书面材料。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Ansi="仿宋_GB2312"/>
          <w:kern w:val="0"/>
          <w:sz w:val="32"/>
          <w:highlight w:val="none"/>
        </w:rPr>
      </w:pPr>
      <w:r>
        <w:rPr>
          <w:rFonts w:hint="eastAsia" w:hAnsi="仿宋_GB2312"/>
          <w:kern w:val="0"/>
          <w:sz w:val="32"/>
          <w:highlight w:val="none"/>
        </w:rPr>
        <w:t>信访人提供书面材料确有困难，以口头形式提出信访事项，接访人员认真、耐心听取其陈述，准确记录其姓名（名称）、联系方式</w:t>
      </w:r>
      <w:r>
        <w:rPr>
          <w:rFonts w:hint="eastAsia" w:hAnsi="仿宋_GB2312"/>
          <w:kern w:val="0"/>
          <w:sz w:val="32"/>
          <w:highlight w:val="none"/>
          <w:lang w:eastAsia="zh-CN"/>
        </w:rPr>
        <w:t>、住址</w:t>
      </w:r>
      <w:r>
        <w:rPr>
          <w:rFonts w:hint="eastAsia" w:hAnsi="仿宋_GB2312"/>
          <w:kern w:val="0"/>
          <w:sz w:val="32"/>
          <w:highlight w:val="none"/>
        </w:rPr>
        <w:t>和请求、事实、理由等信息，并由信访人签名或</w:t>
      </w:r>
      <w:r>
        <w:rPr>
          <w:rFonts w:hAnsi="仿宋_GB2312"/>
          <w:kern w:val="0"/>
          <w:sz w:val="32"/>
          <w:highlight w:val="none"/>
        </w:rPr>
        <w:t>者</w:t>
      </w:r>
      <w:r>
        <w:rPr>
          <w:rFonts w:hint="eastAsia" w:hAnsi="仿宋_GB2312"/>
          <w:kern w:val="0"/>
          <w:sz w:val="32"/>
          <w:highlight w:val="none"/>
        </w:rPr>
        <w:t>按手印确认。</w:t>
      </w:r>
    </w:p>
    <w:p>
      <w:pPr>
        <w:pStyle w:val="14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采用走访形式的信访人反映情况完毕，有关材料已被登记、接收，或者信访工作部门已将书面答复意见当面递交信访人的，接访人员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应当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告知信访人尽快离开接待场所。</w:t>
      </w:r>
    </w:p>
    <w:p>
      <w:pPr>
        <w:pStyle w:val="14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信访人有下列情形之一的，接访人员可以中止接待，同时对信访人进行劝阻、教育，并通知本所负责保卫工作的部门加强安全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管理。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经劝阻、教育无效的，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交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由公安机关处理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Ansi="仿宋_GB2312"/>
          <w:kern w:val="0"/>
          <w:sz w:val="32"/>
          <w:highlight w:val="none"/>
        </w:rPr>
      </w:pPr>
      <w:r>
        <w:rPr>
          <w:rFonts w:hint="eastAsia" w:hAnsi="仿宋_GB2312"/>
          <w:kern w:val="0"/>
          <w:sz w:val="32"/>
          <w:highlight w:val="none"/>
        </w:rPr>
        <w:t xml:space="preserve">（一）拒绝到指定的接待场所提出信访事项，拒绝按要求推选代表的；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Ansi="仿宋_GB2312"/>
          <w:kern w:val="0"/>
          <w:sz w:val="32"/>
          <w:highlight w:val="none"/>
        </w:rPr>
      </w:pPr>
      <w:r>
        <w:rPr>
          <w:rFonts w:hint="eastAsia" w:hAnsi="仿宋_GB2312"/>
          <w:kern w:val="0"/>
          <w:sz w:val="32"/>
          <w:highlight w:val="none"/>
        </w:rPr>
        <w:t>（二）擅自进入办公场所，或者在办公场所周围、公共场所非法聚集，围堵、冲击办公场所，拦截公务车辆，损坏公私财物，堵塞、阻断交通的；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Ansi="仿宋_GB2312"/>
          <w:kern w:val="0"/>
          <w:sz w:val="32"/>
          <w:highlight w:val="none"/>
        </w:rPr>
      </w:pPr>
      <w:r>
        <w:rPr>
          <w:rFonts w:hint="eastAsia" w:hAnsi="仿宋_GB2312"/>
          <w:kern w:val="0"/>
          <w:sz w:val="32"/>
          <w:highlight w:val="none"/>
        </w:rPr>
        <w:t xml:space="preserve">（三）携带危险物品、管制器具的；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Ansi="仿宋_GB2312"/>
          <w:kern w:val="0"/>
          <w:sz w:val="32"/>
          <w:highlight w:val="none"/>
        </w:rPr>
      </w:pPr>
      <w:r>
        <w:rPr>
          <w:rFonts w:hint="eastAsia" w:hAnsi="仿宋_GB2312"/>
          <w:kern w:val="0"/>
          <w:sz w:val="32"/>
          <w:highlight w:val="none"/>
        </w:rPr>
        <w:t>（四）侮辱、殴打、威胁工作人员，或者非法限制他人人身自由的；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Ansi="仿宋_GB2312"/>
          <w:kern w:val="0"/>
          <w:sz w:val="32"/>
          <w:highlight w:val="none"/>
        </w:rPr>
      </w:pPr>
      <w:r>
        <w:rPr>
          <w:rFonts w:hint="eastAsia" w:hAnsi="仿宋_GB2312"/>
          <w:kern w:val="0"/>
          <w:sz w:val="32"/>
          <w:highlight w:val="none"/>
        </w:rPr>
        <w:t xml:space="preserve">（五）在信访接待场所滞留、滋事，或者将生活不能自理的人弃留在信访接待场所的；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Ansi="仿宋_GB2312"/>
          <w:kern w:val="0"/>
          <w:sz w:val="32"/>
          <w:highlight w:val="none"/>
        </w:rPr>
      </w:pPr>
      <w:r>
        <w:rPr>
          <w:rFonts w:hint="eastAsia" w:hAnsi="仿宋_GB2312"/>
          <w:kern w:val="0"/>
          <w:sz w:val="32"/>
          <w:highlight w:val="none"/>
        </w:rPr>
        <w:t>（六）煽动、串联、胁迫、以财物诱使、幕后操纵他人信访，或者以信访为名借机敛财的；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Ansi="仿宋_GB2312"/>
          <w:kern w:val="0"/>
          <w:sz w:val="32"/>
          <w:highlight w:val="none"/>
        </w:rPr>
      </w:pPr>
      <w:r>
        <w:rPr>
          <w:rFonts w:hint="eastAsia" w:hAnsi="仿宋_GB2312"/>
          <w:kern w:val="0"/>
          <w:sz w:val="32"/>
          <w:highlight w:val="none"/>
        </w:rPr>
        <w:t>（</w:t>
      </w:r>
      <w:r>
        <w:rPr>
          <w:rFonts w:hint="eastAsia" w:hAnsi="仿宋_GB2312"/>
          <w:kern w:val="0"/>
          <w:sz w:val="32"/>
          <w:highlight w:val="none"/>
          <w:lang w:eastAsia="zh-CN"/>
        </w:rPr>
        <w:t>七</w:t>
      </w:r>
      <w:r>
        <w:rPr>
          <w:rFonts w:hint="eastAsia" w:hAnsi="仿宋_GB2312"/>
          <w:kern w:val="0"/>
          <w:sz w:val="32"/>
          <w:highlight w:val="none"/>
        </w:rPr>
        <w:t>）扰乱公共秩序、妨害国家和公共安全的其他行为。</w:t>
      </w:r>
    </w:p>
    <w:p>
      <w:pPr>
        <w:widowControl/>
        <w:shd w:val="clear" w:color="auto" w:fill="FFFFFF"/>
        <w:spacing w:before="156" w:beforeLines="50" w:after="156" w:afterLines="50" w:line="580" w:lineRule="exact"/>
        <w:jc w:val="center"/>
        <w:rPr>
          <w:rFonts w:ascii="黑体" w:hAnsi="黑体" w:eastAsia="黑体"/>
          <w:kern w:val="0"/>
          <w:sz w:val="32"/>
          <w:highlight w:val="none"/>
        </w:rPr>
      </w:pPr>
    </w:p>
    <w:p>
      <w:pPr>
        <w:widowControl/>
        <w:shd w:val="clear" w:color="auto" w:fill="FFFFFF"/>
        <w:spacing w:before="156" w:beforeLines="50" w:after="156" w:afterLines="50" w:line="580" w:lineRule="exact"/>
        <w:jc w:val="center"/>
        <w:rPr>
          <w:rFonts w:ascii="黑体" w:hAnsi="黑体" w:eastAsia="黑体"/>
          <w:kern w:val="0"/>
          <w:sz w:val="32"/>
          <w:highlight w:val="none"/>
        </w:rPr>
      </w:pPr>
      <w:r>
        <w:rPr>
          <w:rFonts w:hint="eastAsia" w:ascii="黑体" w:hAnsi="黑体" w:eastAsia="黑体"/>
          <w:kern w:val="0"/>
          <w:sz w:val="32"/>
          <w:highlight w:val="none"/>
        </w:rPr>
        <w:t>第四章  信访事项的受理和告知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信访工作部门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直接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收到信访人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书面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提出的信访事项，应当予以登记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，并按照下列方式告知信访人：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Ansi="仿宋_GB2312"/>
          <w:kern w:val="0"/>
          <w:sz w:val="32"/>
          <w:highlight w:val="none"/>
        </w:rPr>
      </w:pPr>
      <w:r>
        <w:rPr>
          <w:rFonts w:hint="eastAsia" w:hAnsi="仿宋_GB2312"/>
          <w:kern w:val="0"/>
          <w:sz w:val="32"/>
          <w:highlight w:val="none"/>
        </w:rPr>
        <w:t>属于本所职权范围的，</w:t>
      </w:r>
      <w:r>
        <w:rPr>
          <w:rFonts w:hint="eastAsia" w:hAnsi="仿宋_GB2312"/>
          <w:kern w:val="0"/>
          <w:sz w:val="32"/>
          <w:highlight w:val="none"/>
          <w:lang w:eastAsia="zh-CN"/>
        </w:rPr>
        <w:t>应当</w:t>
      </w:r>
      <w:r>
        <w:rPr>
          <w:rFonts w:hint="eastAsia" w:hAnsi="仿宋_GB2312"/>
          <w:kern w:val="0"/>
          <w:sz w:val="32"/>
          <w:highlight w:val="none"/>
        </w:rPr>
        <w:t>告知信访人接收情况以及处理途径和程序</w:t>
      </w:r>
      <w:r>
        <w:rPr>
          <w:rFonts w:hAnsi="仿宋_GB2312"/>
          <w:kern w:val="0"/>
          <w:sz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Ansi="仿宋_GB2312"/>
          <w:kern w:val="0"/>
          <w:sz w:val="32"/>
          <w:highlight w:val="none"/>
        </w:rPr>
      </w:pPr>
      <w:r>
        <w:rPr>
          <w:rFonts w:hint="eastAsia" w:hAnsi="仿宋_GB2312"/>
          <w:kern w:val="0"/>
          <w:sz w:val="32"/>
          <w:highlight w:val="none"/>
        </w:rPr>
        <w:t>属于本所下属单位职权范围的，</w:t>
      </w:r>
      <w:r>
        <w:rPr>
          <w:rFonts w:hint="eastAsia" w:hAnsi="仿宋_GB2312"/>
          <w:kern w:val="0"/>
          <w:sz w:val="32"/>
          <w:highlight w:val="none"/>
          <w:lang w:eastAsia="zh-CN"/>
        </w:rPr>
        <w:t>应当</w:t>
      </w:r>
      <w:r>
        <w:rPr>
          <w:rFonts w:hint="eastAsia" w:hAnsi="仿宋_GB2312"/>
          <w:kern w:val="0"/>
          <w:sz w:val="32"/>
          <w:highlight w:val="none"/>
        </w:rPr>
        <w:t>转送、交办有权处理的单位，并告知信访人转送、交办去向</w:t>
      </w:r>
      <w:r>
        <w:rPr>
          <w:rFonts w:hAnsi="仿宋_GB2312"/>
          <w:kern w:val="0"/>
          <w:sz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Ansi="仿宋_GB2312"/>
          <w:kern w:val="0"/>
          <w:sz w:val="32"/>
          <w:highlight w:val="none"/>
        </w:rPr>
      </w:pPr>
      <w:r>
        <w:rPr>
          <w:rFonts w:hint="eastAsia" w:hAnsi="仿宋_GB2312"/>
          <w:kern w:val="0"/>
          <w:sz w:val="32"/>
          <w:highlight w:val="none"/>
        </w:rPr>
        <w:t>不属于本所职权范围以及</w:t>
      </w:r>
      <w:r>
        <w:rPr>
          <w:rFonts w:hint="eastAsia" w:hAnsi="仿宋_GB2312"/>
          <w:kern w:val="0"/>
          <w:sz w:val="32"/>
          <w:highlight w:val="none"/>
          <w:lang w:eastAsia="zh-CN"/>
        </w:rPr>
        <w:t>已经或者</w:t>
      </w:r>
      <w:r>
        <w:rPr>
          <w:rFonts w:hint="eastAsia" w:hAnsi="仿宋_GB2312"/>
          <w:kern w:val="0"/>
          <w:sz w:val="32"/>
          <w:highlight w:val="none"/>
        </w:rPr>
        <w:t>依法应当通过诉讼程序、仲裁程序、检察机关刑事立案程序或者法律监督程序、公安机关法律程序处理的，</w:t>
      </w:r>
      <w:r>
        <w:rPr>
          <w:rFonts w:hint="eastAsia" w:hAnsi="仿宋_GB2312"/>
          <w:kern w:val="0"/>
          <w:sz w:val="32"/>
          <w:highlight w:val="none"/>
          <w:lang w:eastAsia="zh-CN"/>
        </w:rPr>
        <w:t>应当</w:t>
      </w:r>
      <w:r>
        <w:rPr>
          <w:rFonts w:hint="eastAsia" w:hAnsi="仿宋_GB2312"/>
          <w:kern w:val="0"/>
          <w:sz w:val="32"/>
          <w:highlight w:val="none"/>
        </w:rPr>
        <w:t>告知信访人向有权处理的单位提出</w:t>
      </w:r>
      <w:r>
        <w:rPr>
          <w:rFonts w:hint="eastAsia" w:hAnsi="仿宋_GB2312"/>
          <w:kern w:val="0"/>
          <w:sz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Ansi="仿宋_GB2312"/>
          <w:kern w:val="0"/>
          <w:sz w:val="32"/>
          <w:highlight w:val="none"/>
        </w:rPr>
      </w:pPr>
      <w:r>
        <w:rPr>
          <w:rFonts w:hAnsi="仿宋_GB2312"/>
          <w:kern w:val="0"/>
          <w:sz w:val="32"/>
          <w:highlight w:val="none"/>
        </w:rPr>
        <w:t>能够当场告知信访人的，应当当场书面告知；不能当场告知的，应当自收到信访事项之日起15日内书面告知</w:t>
      </w:r>
      <w:r>
        <w:rPr>
          <w:rFonts w:hint="eastAsia" w:hAnsi="仿宋_GB2312"/>
          <w:kern w:val="0"/>
          <w:sz w:val="32"/>
          <w:highlight w:val="none"/>
          <w:lang w:eastAsia="zh-CN"/>
        </w:rPr>
        <w:t>。</w:t>
      </w:r>
      <w:r>
        <w:rPr>
          <w:rFonts w:hAnsi="仿宋_GB2312"/>
          <w:kern w:val="0"/>
          <w:sz w:val="32"/>
          <w:highlight w:val="none"/>
        </w:rPr>
        <w:t>信访人的姓名（名称）、</w:t>
      </w:r>
      <w:r>
        <w:rPr>
          <w:rFonts w:hint="eastAsia" w:hAnsi="仿宋_GB2312"/>
          <w:kern w:val="0"/>
          <w:sz w:val="32"/>
          <w:highlight w:val="none"/>
          <w:lang w:eastAsia="zh-CN"/>
        </w:rPr>
        <w:t>住址</w:t>
      </w:r>
      <w:r>
        <w:rPr>
          <w:rFonts w:hAnsi="仿宋_GB2312"/>
          <w:kern w:val="0"/>
          <w:sz w:val="32"/>
          <w:highlight w:val="none"/>
        </w:rPr>
        <w:t>不清或者明确表示不需要答复的除外。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hAnsi="仿宋_GB2312" w:eastAsia="仿宋_GB2312"/>
          <w:kern w:val="0"/>
          <w:sz w:val="32"/>
          <w:highlight w:val="none"/>
          <w:lang w:eastAsia="zh-CN"/>
        </w:rPr>
      </w:pPr>
      <w:r>
        <w:rPr>
          <w:rFonts w:hint="eastAsia" w:hAnsi="仿宋_GB2312"/>
          <w:kern w:val="0"/>
          <w:sz w:val="32"/>
          <w:highlight w:val="none"/>
          <w:lang w:eastAsia="zh-CN"/>
        </w:rPr>
        <w:t>法律法规对告知的时间、形式和内容另有规定的，从其规定。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本所收到中国证监会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以及其他国家机关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转办的信访事项，属于本所职权范围的，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应当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自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收到之日起15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日内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书面告知信访人接收情况以及处理途径和程序；不属于本所职权范围的，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应当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自收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到之日起5个工作日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内提出异议，并详细说明理由，经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上级单位或者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转办单位核实同意后，交还相关材料。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信访人已经提出信访事项，在规定的告知、办理期限内以同一事实和理由向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本所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再次提出同一诉求的，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本所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对后提出的信访事项不再重复处理；对同一诉求提出新的事实和理由的，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本所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可以合并处理，告知、办理期限自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本所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收到新的事实和理由之日起重新计算。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Ansi="仿宋_GB2312"/>
          <w:kern w:val="0"/>
          <w:sz w:val="32"/>
          <w:highlight w:val="none"/>
        </w:rPr>
      </w:pPr>
      <w:r>
        <w:rPr>
          <w:rFonts w:hint="eastAsia" w:hAnsi="仿宋_GB2312"/>
          <w:kern w:val="0"/>
          <w:sz w:val="32"/>
          <w:highlight w:val="none"/>
        </w:rPr>
        <w:t>信访人提供的信访材料不完备，无法判断是否能够受理</w:t>
      </w:r>
      <w:r>
        <w:rPr>
          <w:rFonts w:hAnsi="仿宋_GB2312"/>
          <w:kern w:val="0"/>
          <w:sz w:val="32"/>
          <w:highlight w:val="none"/>
        </w:rPr>
        <w:t>的</w:t>
      </w:r>
      <w:r>
        <w:rPr>
          <w:rFonts w:hint="eastAsia" w:hAnsi="仿宋_GB2312"/>
          <w:kern w:val="0"/>
          <w:sz w:val="32"/>
          <w:highlight w:val="none"/>
        </w:rPr>
        <w:t>，本所可以要求信访人补充相关证据，告知期限自本所收到</w:t>
      </w:r>
      <w:r>
        <w:rPr>
          <w:rFonts w:hAnsi="仿宋_GB2312"/>
          <w:kern w:val="0"/>
          <w:sz w:val="32"/>
          <w:highlight w:val="none"/>
        </w:rPr>
        <w:t>补充</w:t>
      </w:r>
      <w:r>
        <w:rPr>
          <w:rFonts w:hint="eastAsia" w:hAnsi="仿宋_GB2312"/>
          <w:kern w:val="0"/>
          <w:sz w:val="32"/>
          <w:highlight w:val="none"/>
        </w:rPr>
        <w:t>信访材料之日起重新计算。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本所已经收到中国证监会或者其他国家机关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转办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的信访事项，信访人在规定的告知、办理期限内向本所又提出同一信访事项的，本所不予受理。</w:t>
      </w:r>
    </w:p>
    <w:p>
      <w:pPr>
        <w:pStyle w:val="14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信访人对信访事项答复、复查意见不服，以同一事实和理由重复提出的，本所不再受理。</w:t>
      </w:r>
    </w:p>
    <w:p>
      <w:pPr>
        <w:shd w:val="clear" w:color="auto" w:fill="FFFFFF"/>
        <w:spacing w:line="580" w:lineRule="exact"/>
        <w:ind w:firstLine="640" w:firstLineChars="200"/>
        <w:rPr>
          <w:rFonts w:hAnsi="仿宋_GB2312"/>
          <w:kern w:val="0"/>
          <w:sz w:val="32"/>
          <w:highlight w:val="none"/>
        </w:rPr>
      </w:pPr>
    </w:p>
    <w:p>
      <w:pPr>
        <w:widowControl/>
        <w:shd w:val="clear" w:color="auto" w:fill="FFFFFF"/>
        <w:spacing w:before="156" w:beforeLines="50" w:after="156" w:afterLines="50" w:line="580" w:lineRule="exact"/>
        <w:jc w:val="center"/>
        <w:rPr>
          <w:rFonts w:ascii="黑体" w:hAnsi="黑体" w:eastAsia="黑体"/>
          <w:kern w:val="0"/>
          <w:sz w:val="32"/>
          <w:highlight w:val="none"/>
        </w:rPr>
      </w:pPr>
      <w:r>
        <w:rPr>
          <w:rFonts w:ascii="黑体" w:hAnsi="黑体" w:eastAsia="黑体"/>
          <w:kern w:val="0"/>
          <w:sz w:val="32"/>
          <w:highlight w:val="none"/>
        </w:rPr>
        <w:t xml:space="preserve">第五章 </w:t>
      </w:r>
      <w:r>
        <w:rPr>
          <w:rFonts w:hint="eastAsia" w:ascii="黑体" w:hAnsi="黑体" w:eastAsia="黑体"/>
          <w:kern w:val="0"/>
          <w:sz w:val="32"/>
          <w:highlight w:val="none"/>
        </w:rPr>
        <w:t>信访事项的办理和督办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本所以及本所工作人员根据职责和有关规定，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按照诉求合理的解决问题到位、诉求无理的思想教育到位、生活困难的帮扶救助到位、行为违法的依法处理的要求，依法按政策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及时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就地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解决群众合法合理诉求。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本所办理信访事项，应当恪尽职守、秉公办事，查明事实、分清责任，加强教育疏导，及时妥善处理，不得推诿、敷衍、拖延。</w:t>
      </w:r>
    </w:p>
    <w:p>
      <w:pPr>
        <w:pStyle w:val="14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本所应当按照诉讼与信访分离的要求，将涉及民事、行政、刑事等诉讼权利救济的信访事项从普通信访中分离出来，由有关政法机关依法处理。</w:t>
      </w:r>
    </w:p>
    <w:p>
      <w:pPr>
        <w:pStyle w:val="14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textAlignment w:val="auto"/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本所工作人员与信访事项或者信访人有直接利害关系的，应当回避。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信访人对本所或者本所工作人员的职务行为反映情况，不服本所或者本所工作人员的职务行为等事项，本所听取信访人陈述事实和理由，并调查核实，出具信访处理意见书。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_GB2312" w:hAnsi="仿宋_GB2312" w:eastAsia="仿宋_GB2312" w:cs="Times New Roman"/>
          <w:bCs/>
          <w:color w:val="000000"/>
          <w:kern w:val="0"/>
          <w:sz w:val="32"/>
          <w:szCs w:val="20"/>
          <w:highlight w:val="none"/>
        </w:rPr>
      </w:pPr>
      <w:r>
        <w:rPr>
          <w:rFonts w:hint="eastAsia" w:ascii="仿宋_GB2312" w:hAnsi="仿宋_GB2312" w:eastAsia="仿宋_GB2312" w:cs="Times New Roman"/>
          <w:bCs/>
          <w:color w:val="000000"/>
          <w:kern w:val="0"/>
          <w:sz w:val="32"/>
          <w:szCs w:val="20"/>
          <w:highlight w:val="none"/>
        </w:rPr>
        <w:t>本所按照下列情形对</w:t>
      </w:r>
      <w:r>
        <w:rPr>
          <w:rFonts w:hint="eastAsia" w:ascii="仿宋_GB2312" w:hAnsi="仿宋_GB2312" w:eastAsia="仿宋_GB2312" w:cs="Times New Roman"/>
          <w:bCs/>
          <w:color w:val="000000"/>
          <w:kern w:val="0"/>
          <w:sz w:val="32"/>
          <w:szCs w:val="20"/>
          <w:highlight w:val="none"/>
          <w:lang w:eastAsia="zh-CN"/>
        </w:rPr>
        <w:t>本办法</w:t>
      </w:r>
      <w:r>
        <w:rPr>
          <w:rFonts w:hint="eastAsia" w:ascii="仿宋_GB2312" w:hAnsi="仿宋_GB2312" w:eastAsia="仿宋_GB2312" w:cs="Times New Roman"/>
          <w:bCs/>
          <w:color w:val="000000"/>
          <w:kern w:val="0"/>
          <w:sz w:val="32"/>
          <w:szCs w:val="20"/>
          <w:highlight w:val="none"/>
        </w:rPr>
        <w:t>第二十</w:t>
      </w:r>
      <w:r>
        <w:rPr>
          <w:rFonts w:hint="eastAsia" w:ascii="仿宋_GB2312" w:hAnsi="仿宋_GB2312" w:eastAsia="仿宋_GB2312" w:cs="Times New Roman"/>
          <w:bCs/>
          <w:color w:val="000000"/>
          <w:kern w:val="0"/>
          <w:sz w:val="32"/>
          <w:szCs w:val="20"/>
          <w:highlight w:val="none"/>
          <w:lang w:eastAsia="zh-CN"/>
        </w:rPr>
        <w:t>三</w:t>
      </w:r>
      <w:r>
        <w:rPr>
          <w:rFonts w:hint="eastAsia" w:ascii="仿宋_GB2312" w:hAnsi="仿宋_GB2312" w:eastAsia="仿宋_GB2312" w:cs="Times New Roman"/>
          <w:bCs/>
          <w:color w:val="000000"/>
          <w:kern w:val="0"/>
          <w:sz w:val="32"/>
          <w:szCs w:val="20"/>
          <w:highlight w:val="none"/>
        </w:rPr>
        <w:t>条规定的信访事项作出处理，并出具信访</w:t>
      </w:r>
      <w:r>
        <w:rPr>
          <w:rFonts w:hint="eastAsia" w:ascii="仿宋_GB2312" w:hAnsi="仿宋_GB2312" w:eastAsia="仿宋_GB2312" w:cs="Times New Roman"/>
          <w:bCs/>
          <w:color w:val="000000"/>
          <w:kern w:val="0"/>
          <w:sz w:val="32"/>
          <w:szCs w:val="20"/>
          <w:highlight w:val="none"/>
          <w:lang w:eastAsia="zh-CN"/>
        </w:rPr>
        <w:t>处理</w:t>
      </w:r>
      <w:r>
        <w:rPr>
          <w:rFonts w:hint="eastAsia" w:ascii="仿宋_GB2312" w:hAnsi="仿宋_GB2312" w:eastAsia="仿宋_GB2312" w:cs="Times New Roman"/>
          <w:bCs/>
          <w:color w:val="000000"/>
          <w:kern w:val="0"/>
          <w:sz w:val="32"/>
          <w:szCs w:val="20"/>
          <w:highlight w:val="none"/>
        </w:rPr>
        <w:t>意见书：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Ansi="仿宋_GB2312"/>
          <w:bCs/>
          <w:kern w:val="0"/>
          <w:sz w:val="32"/>
          <w:highlight w:val="none"/>
        </w:rPr>
      </w:pPr>
      <w:r>
        <w:rPr>
          <w:rFonts w:hint="eastAsia" w:hAnsi="仿宋_GB2312"/>
          <w:bCs/>
          <w:kern w:val="0"/>
          <w:sz w:val="32"/>
          <w:highlight w:val="none"/>
        </w:rPr>
        <w:t>（一）请求事实清楚，符合法律、法规、规章或者其他有关规定的，予以支持；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Ansi="仿宋_GB2312"/>
          <w:bCs/>
          <w:kern w:val="0"/>
          <w:sz w:val="32"/>
          <w:highlight w:val="none"/>
        </w:rPr>
      </w:pPr>
      <w:r>
        <w:rPr>
          <w:rFonts w:hint="eastAsia" w:hAnsi="仿宋_GB2312"/>
          <w:bCs/>
          <w:kern w:val="0"/>
          <w:sz w:val="32"/>
          <w:highlight w:val="none"/>
        </w:rPr>
        <w:t>（二）请求事由合理但缺乏法律依据的，应当作出解释说明；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Ansi="仿宋_GB2312"/>
          <w:bCs/>
          <w:kern w:val="0"/>
          <w:sz w:val="32"/>
          <w:highlight w:val="none"/>
        </w:rPr>
      </w:pPr>
      <w:r>
        <w:rPr>
          <w:rFonts w:hint="eastAsia" w:hAnsi="仿宋_GB2312"/>
          <w:bCs/>
          <w:kern w:val="0"/>
          <w:sz w:val="32"/>
          <w:highlight w:val="none"/>
        </w:rPr>
        <w:t>（三）请求缺乏事实根据或者不符合法律、法规、规章或者其他有关规定的，不予支持。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Ansi="仿宋_GB2312"/>
          <w:bCs/>
          <w:kern w:val="0"/>
          <w:sz w:val="32"/>
          <w:highlight w:val="none"/>
        </w:rPr>
      </w:pPr>
      <w:r>
        <w:rPr>
          <w:rFonts w:hint="eastAsia" w:hAnsi="仿宋_GB2312"/>
          <w:bCs/>
          <w:kern w:val="0"/>
          <w:sz w:val="32"/>
          <w:highlight w:val="none"/>
        </w:rPr>
        <w:t>信访处理意见书应当载明信访人投诉请求、事实和理由、处理意见及其法律法规依据。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_GB2312" w:hAnsi="仿宋_GB2312" w:eastAsia="仿宋_GB2312" w:cs="Times New Roman"/>
          <w:bCs/>
          <w:color w:val="000000"/>
          <w:kern w:val="0"/>
          <w:sz w:val="32"/>
          <w:szCs w:val="20"/>
          <w:highlight w:val="none"/>
        </w:rPr>
      </w:pPr>
      <w:r>
        <w:rPr>
          <w:rFonts w:hint="eastAsia" w:ascii="仿宋_GB2312" w:hAnsi="仿宋_GB2312" w:eastAsia="仿宋_GB2312" w:cs="Times New Roman"/>
          <w:bCs/>
          <w:color w:val="000000"/>
          <w:kern w:val="0"/>
          <w:sz w:val="32"/>
          <w:szCs w:val="20"/>
          <w:highlight w:val="none"/>
        </w:rPr>
        <w:t>本所对本办法第二十</w:t>
      </w:r>
      <w:r>
        <w:rPr>
          <w:rFonts w:hint="eastAsia" w:ascii="仿宋_GB2312" w:hAnsi="仿宋_GB2312" w:eastAsia="仿宋_GB2312" w:cs="Times New Roman"/>
          <w:bCs/>
          <w:color w:val="000000"/>
          <w:kern w:val="0"/>
          <w:sz w:val="32"/>
          <w:szCs w:val="20"/>
          <w:highlight w:val="none"/>
          <w:lang w:eastAsia="zh-CN"/>
        </w:rPr>
        <w:t>三</w:t>
      </w:r>
      <w:r>
        <w:rPr>
          <w:rFonts w:hint="eastAsia" w:ascii="仿宋_GB2312" w:hAnsi="仿宋_GB2312" w:eastAsia="仿宋_GB2312" w:cs="Times New Roman"/>
          <w:bCs/>
          <w:color w:val="000000"/>
          <w:kern w:val="0"/>
          <w:sz w:val="32"/>
          <w:szCs w:val="20"/>
          <w:highlight w:val="none"/>
        </w:rPr>
        <w:t>条规定的信访事项应当自受理之日起60日内办结；情况复杂的，可以适当延长办理期限，但延长期限不得超过30日，并告知信访人延期理由。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_GB2312" w:hAnsi="仿宋_GB2312" w:eastAsia="仿宋_GB2312" w:cs="Times New Roman"/>
          <w:bCs/>
          <w:color w:val="000000"/>
          <w:kern w:val="0"/>
          <w:sz w:val="32"/>
          <w:szCs w:val="20"/>
          <w:highlight w:val="none"/>
        </w:rPr>
      </w:pPr>
      <w:r>
        <w:rPr>
          <w:rFonts w:hint="eastAsia" w:ascii="仿宋_GB2312" w:hAnsi="仿宋_GB2312" w:eastAsia="仿宋_GB2312" w:cs="Times New Roman"/>
          <w:bCs/>
          <w:color w:val="000000"/>
          <w:kern w:val="0"/>
          <w:sz w:val="32"/>
          <w:szCs w:val="20"/>
          <w:highlight w:val="none"/>
        </w:rPr>
        <w:t>信访人对</w:t>
      </w:r>
      <w:r>
        <w:rPr>
          <w:rFonts w:hint="eastAsia" w:ascii="仿宋_GB2312" w:hAnsi="仿宋_GB2312" w:eastAsia="仿宋_GB2312" w:cs="Times New Roman"/>
          <w:bCs/>
          <w:color w:val="000000"/>
          <w:kern w:val="0"/>
          <w:sz w:val="32"/>
          <w:szCs w:val="20"/>
          <w:highlight w:val="none"/>
          <w:lang w:eastAsia="zh-CN"/>
        </w:rPr>
        <w:t>本所出具的</w:t>
      </w:r>
      <w:r>
        <w:rPr>
          <w:rFonts w:hint="eastAsia" w:ascii="仿宋_GB2312" w:hAnsi="仿宋_GB2312" w:eastAsia="仿宋_GB2312" w:cs="Times New Roman"/>
          <w:bCs/>
          <w:color w:val="000000"/>
          <w:kern w:val="0"/>
          <w:sz w:val="32"/>
          <w:szCs w:val="20"/>
          <w:highlight w:val="none"/>
        </w:rPr>
        <w:t>信访处理意见</w:t>
      </w:r>
      <w:r>
        <w:rPr>
          <w:rFonts w:hint="eastAsia" w:ascii="仿宋_GB2312" w:hAnsi="仿宋_GB2312" w:eastAsia="仿宋_GB2312" w:cs="Times New Roman"/>
          <w:bCs/>
          <w:color w:val="000000"/>
          <w:kern w:val="0"/>
          <w:sz w:val="32"/>
          <w:szCs w:val="20"/>
          <w:highlight w:val="none"/>
          <w:lang w:eastAsia="zh-CN"/>
        </w:rPr>
        <w:t>书</w:t>
      </w:r>
      <w:r>
        <w:rPr>
          <w:rFonts w:hint="eastAsia" w:ascii="仿宋_GB2312" w:hAnsi="仿宋_GB2312" w:eastAsia="仿宋_GB2312" w:cs="Times New Roman"/>
          <w:bCs/>
          <w:color w:val="000000"/>
          <w:kern w:val="0"/>
          <w:sz w:val="32"/>
          <w:szCs w:val="20"/>
          <w:highlight w:val="none"/>
        </w:rPr>
        <w:t>不服的，可以自收到书面答复之日起30日内</w:t>
      </w:r>
      <w:r>
        <w:rPr>
          <w:rFonts w:hint="eastAsia" w:ascii="仿宋_GB2312" w:hAnsi="仿宋_GB2312" w:eastAsia="仿宋_GB2312" w:cs="Times New Roman"/>
          <w:bCs/>
          <w:color w:val="000000"/>
          <w:kern w:val="0"/>
          <w:sz w:val="32"/>
          <w:szCs w:val="20"/>
          <w:highlight w:val="none"/>
          <w:lang w:eastAsia="zh-CN"/>
        </w:rPr>
        <w:t>向</w:t>
      </w:r>
      <w:r>
        <w:rPr>
          <w:rFonts w:hint="eastAsia" w:ascii="仿宋_GB2312" w:hAnsi="仿宋_GB2312" w:eastAsia="仿宋_GB2312" w:cs="Times New Roman"/>
          <w:bCs/>
          <w:color w:val="000000"/>
          <w:kern w:val="0"/>
          <w:sz w:val="32"/>
          <w:szCs w:val="20"/>
          <w:highlight w:val="none"/>
        </w:rPr>
        <w:t>中国证监会</w:t>
      </w:r>
      <w:r>
        <w:rPr>
          <w:rFonts w:hint="eastAsia" w:ascii="仿宋_GB2312" w:hAnsi="仿宋_GB2312" w:eastAsia="仿宋_GB2312" w:cs="Times New Roman"/>
          <w:bCs/>
          <w:color w:val="000000"/>
          <w:kern w:val="0"/>
          <w:sz w:val="32"/>
          <w:szCs w:val="20"/>
          <w:highlight w:val="none"/>
          <w:lang w:eastAsia="zh-CN"/>
        </w:rPr>
        <w:t>提出</w:t>
      </w:r>
      <w:r>
        <w:rPr>
          <w:rFonts w:hint="eastAsia" w:ascii="仿宋_GB2312" w:hAnsi="仿宋_GB2312" w:eastAsia="仿宋_GB2312" w:cs="Times New Roman"/>
          <w:bCs/>
          <w:color w:val="000000"/>
          <w:kern w:val="0"/>
          <w:sz w:val="32"/>
          <w:szCs w:val="20"/>
          <w:highlight w:val="none"/>
        </w:rPr>
        <w:t>复查</w:t>
      </w:r>
      <w:r>
        <w:rPr>
          <w:rFonts w:hint="eastAsia" w:ascii="仿宋_GB2312" w:hAnsi="仿宋_GB2312" w:eastAsia="仿宋_GB2312" w:cs="Times New Roman"/>
          <w:bCs/>
          <w:color w:val="000000"/>
          <w:kern w:val="0"/>
          <w:sz w:val="32"/>
          <w:szCs w:val="20"/>
          <w:highlight w:val="none"/>
          <w:lang w:eastAsia="zh-CN"/>
        </w:rPr>
        <w:t>申请</w:t>
      </w:r>
      <w:r>
        <w:rPr>
          <w:rFonts w:hint="eastAsia" w:ascii="仿宋_GB2312" w:hAnsi="仿宋_GB2312" w:eastAsia="仿宋_GB2312" w:cs="Times New Roman"/>
          <w:bCs/>
          <w:color w:val="000000"/>
          <w:kern w:val="0"/>
          <w:sz w:val="32"/>
          <w:szCs w:val="20"/>
          <w:highlight w:val="none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信访人提出建议意见类事项的，信访工作部门转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参考办理。相关部门应当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认真研究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，对科学合理、具有现实可行性的，应当采纳或者部分采纳。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信访人提出检举控告类事项的，信访工作部门转纪检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部门</w:t>
      </w:r>
      <w:r>
        <w:rPr>
          <w:rFonts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按照有关规定处理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信访人提出有关市场主体涉嫌违反本所业务规则事项的，本所依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照举报、投诉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相关规定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处理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_GB2312" w:hAnsi="仿宋_GB2312" w:eastAsia="仿宋_GB2312" w:cs="Times New Roman"/>
          <w:bCs/>
          <w:color w:val="000000"/>
          <w:kern w:val="0"/>
          <w:sz w:val="32"/>
          <w:szCs w:val="20"/>
          <w:highlight w:val="none"/>
        </w:rPr>
      </w:pPr>
      <w:r>
        <w:rPr>
          <w:rFonts w:hint="eastAsia" w:ascii="仿宋_GB2312" w:hAnsi="仿宋_GB2312" w:eastAsia="仿宋_GB2312" w:cs="Times New Roman"/>
          <w:bCs/>
          <w:color w:val="000000"/>
          <w:kern w:val="0"/>
          <w:sz w:val="32"/>
          <w:szCs w:val="20"/>
          <w:highlight w:val="none"/>
        </w:rPr>
        <w:t>本所信访工作部门加强信访事项督办工作，避免出现相关部门违反信访工作规定受理、办理信访事项等情形。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Ansi="仿宋_GB2312"/>
          <w:kern w:val="0"/>
          <w:sz w:val="32"/>
          <w:highlight w:val="none"/>
        </w:rPr>
      </w:pPr>
    </w:p>
    <w:p>
      <w:pPr>
        <w:widowControl/>
        <w:shd w:val="clear" w:color="auto" w:fill="FFFFFF"/>
        <w:spacing w:before="156" w:beforeLines="50" w:after="156" w:afterLines="50" w:line="580" w:lineRule="exact"/>
        <w:jc w:val="center"/>
        <w:rPr>
          <w:rFonts w:ascii="黑体" w:hAnsi="黑体" w:eastAsia="黑体"/>
          <w:kern w:val="0"/>
          <w:sz w:val="32"/>
          <w:highlight w:val="none"/>
        </w:rPr>
      </w:pPr>
      <w:r>
        <w:rPr>
          <w:rFonts w:hint="eastAsia" w:ascii="黑体" w:hAnsi="黑体" w:eastAsia="黑体"/>
          <w:kern w:val="0"/>
          <w:sz w:val="32"/>
          <w:highlight w:val="none"/>
        </w:rPr>
        <w:t>第六章  附则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_GB2312" w:hAnsi="仿宋_GB2312" w:eastAsia="仿宋_GB2312" w:cs="Times New Roman"/>
          <w:bCs/>
          <w:color w:val="000000"/>
          <w:kern w:val="0"/>
          <w:sz w:val="32"/>
          <w:szCs w:val="20"/>
          <w:highlight w:val="none"/>
        </w:rPr>
      </w:pPr>
      <w:r>
        <w:rPr>
          <w:rFonts w:hint="eastAsia" w:ascii="仿宋_GB2312" w:hAnsi="仿宋_GB2312" w:eastAsia="仿宋_GB2312" w:cs="Times New Roman"/>
          <w:bCs/>
          <w:color w:val="000000"/>
          <w:kern w:val="0"/>
          <w:sz w:val="32"/>
          <w:szCs w:val="20"/>
          <w:highlight w:val="none"/>
        </w:rPr>
        <w:t>办理信访事项过程中的公务回避、工作纪律等事项，</w:t>
      </w:r>
      <w:r>
        <w:rPr>
          <w:rFonts w:hint="eastAsia" w:ascii="仿宋_GB2312" w:hAnsi="仿宋_GB2312" w:eastAsia="仿宋_GB2312" w:cs="Times New Roman"/>
          <w:bCs/>
          <w:color w:val="000000"/>
          <w:kern w:val="0"/>
          <w:sz w:val="32"/>
          <w:szCs w:val="20"/>
          <w:highlight w:val="none"/>
          <w:lang w:eastAsia="zh-CN"/>
        </w:rPr>
        <w:t>按</w:t>
      </w:r>
      <w:r>
        <w:rPr>
          <w:rFonts w:hint="eastAsia" w:ascii="仿宋_GB2312" w:hAnsi="仿宋_GB2312" w:eastAsia="仿宋_GB2312" w:cs="Times New Roman"/>
          <w:bCs/>
          <w:color w:val="000000"/>
          <w:kern w:val="0"/>
          <w:sz w:val="32"/>
          <w:szCs w:val="20"/>
          <w:highlight w:val="none"/>
        </w:rPr>
        <w:t>照本所有关制度</w:t>
      </w:r>
      <w:r>
        <w:rPr>
          <w:rFonts w:hint="eastAsia" w:ascii="仿宋_GB2312" w:hAnsi="仿宋_GB2312" w:eastAsia="仿宋_GB2312" w:cs="Times New Roman"/>
          <w:bCs/>
          <w:color w:val="000000"/>
          <w:kern w:val="0"/>
          <w:sz w:val="32"/>
          <w:szCs w:val="20"/>
          <w:highlight w:val="none"/>
          <w:lang w:eastAsia="zh-CN"/>
        </w:rPr>
        <w:t>执行</w:t>
      </w:r>
      <w:r>
        <w:rPr>
          <w:rFonts w:hint="eastAsia" w:ascii="仿宋_GB2312" w:hAnsi="仿宋_GB2312" w:eastAsia="仿宋_GB2312" w:cs="Times New Roman"/>
          <w:bCs/>
          <w:color w:val="000000"/>
          <w:kern w:val="0"/>
          <w:sz w:val="32"/>
          <w:szCs w:val="20"/>
          <w:highlight w:val="none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仿宋_GB2312" w:hAnsi="仿宋_GB2312" w:eastAsia="仿宋_GB2312" w:cs="Times New Roman"/>
          <w:bCs/>
          <w:color w:val="000000"/>
          <w:kern w:val="0"/>
          <w:sz w:val="32"/>
          <w:szCs w:val="20"/>
          <w:highlight w:val="none"/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本办法由本所负责解释。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办法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自发布之日起施行。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oVhbcEBAACM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Ps/q&#10;dAErSnoMlJb6D9DnzMmP5Mykex1d/hIdRnHS9njRVvWJyfxouVguSwpJip0vhFM8PQ8R00cFjmWj&#10;5pGGN2gqDveYxtRzSq7m4c5YS35RWf+PgzCzp8i9jz1mK/Xbfmp8C82R+HQ095p7WnPO7CdPsuYV&#10;ORvxbGwnI9fAcLtPVHjoJ6OOUFMxGtLAaFqovAXP70PW00+0/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OqXm5zwAAAAUBAAAPAAAAAAAAAAEAIAAAACIAAABkcnMvZG93bnJldi54bWxQSwECFAAU&#10;AAAACACHTuJAToVhbcEBAACMAwAADgAAAAAAAAABACAAAAAe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F86C3"/>
    <w:multiLevelType w:val="singleLevel"/>
    <w:tmpl w:val="CF7F86C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D"/>
    <w:multiLevelType w:val="multilevel"/>
    <w:tmpl w:val="0000000D"/>
    <w:lvl w:ilvl="0" w:tentative="0">
      <w:start w:val="5"/>
      <w:numFmt w:val="japaneseCounting"/>
      <w:pStyle w:val="11"/>
      <w:lvlText w:val="（%1）"/>
      <w:lvlJc w:val="left"/>
      <w:pPr>
        <w:tabs>
          <w:tab w:val="left" w:pos="1275"/>
        </w:tabs>
        <w:ind w:left="1275" w:hanging="855"/>
      </w:pPr>
      <w:rPr>
        <w:rFonts w:hint="eastAsia"/>
      </w:rPr>
    </w:lvl>
    <w:lvl w:ilvl="1" w:tentative="0">
      <w:start w:val="1"/>
      <w:numFmt w:val="japaneseCounting"/>
      <w:lvlText w:val="（%2）"/>
      <w:lvlJc w:val="left"/>
      <w:pPr>
        <w:tabs>
          <w:tab w:val="left" w:pos="1275"/>
        </w:tabs>
        <w:ind w:left="1275" w:hanging="855"/>
      </w:pPr>
      <w:rPr>
        <w:rFonts w:hint="eastAsia"/>
      </w:rPr>
    </w:lvl>
    <w:lvl w:ilvl="2" w:tentative="0">
      <w:start w:val="1"/>
      <w:numFmt w:val="decimal"/>
      <w:lvlText w:val="%3、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3" w:tentative="0">
      <w:start w:val="1"/>
      <w:numFmt w:val="decimal"/>
      <w:lvlText w:val="（%4）"/>
      <w:lvlJc w:val="left"/>
      <w:pPr>
        <w:tabs>
          <w:tab w:val="left" w:pos="1980"/>
        </w:tabs>
        <w:ind w:left="1980" w:hanging="7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3C57046A"/>
    <w:multiLevelType w:val="multilevel"/>
    <w:tmpl w:val="3C57046A"/>
    <w:lvl w:ilvl="0" w:tentative="0">
      <w:start w:val="1"/>
      <w:numFmt w:val="chineseCountingThousand"/>
      <w:lvlText w:val="第%1条"/>
      <w:lvlJc w:val="left"/>
      <w:pPr>
        <w:ind w:left="1060" w:hanging="420"/>
      </w:pPr>
      <w:rPr>
        <w:rFonts w:hint="eastAsia" w:ascii="仿宋" w:hAnsi="仿宋" w:eastAsia="仿宋"/>
        <w:b/>
        <w:sz w:val="32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05"/>
    <w:rsid w:val="00045877"/>
    <w:rsid w:val="000857F3"/>
    <w:rsid w:val="000A3616"/>
    <w:rsid w:val="000A7CB7"/>
    <w:rsid w:val="000F00AE"/>
    <w:rsid w:val="001779CB"/>
    <w:rsid w:val="00193BD7"/>
    <w:rsid w:val="00226933"/>
    <w:rsid w:val="00227C2D"/>
    <w:rsid w:val="002425DC"/>
    <w:rsid w:val="0028156D"/>
    <w:rsid w:val="0029499D"/>
    <w:rsid w:val="002F3F59"/>
    <w:rsid w:val="003F2419"/>
    <w:rsid w:val="003F476F"/>
    <w:rsid w:val="00423615"/>
    <w:rsid w:val="00463C10"/>
    <w:rsid w:val="004779A5"/>
    <w:rsid w:val="00493270"/>
    <w:rsid w:val="004A2C34"/>
    <w:rsid w:val="004C2167"/>
    <w:rsid w:val="004D730F"/>
    <w:rsid w:val="004F1503"/>
    <w:rsid w:val="00536A0A"/>
    <w:rsid w:val="00576B0D"/>
    <w:rsid w:val="00584272"/>
    <w:rsid w:val="005878A0"/>
    <w:rsid w:val="0059645E"/>
    <w:rsid w:val="005D2496"/>
    <w:rsid w:val="005D33F9"/>
    <w:rsid w:val="0064079C"/>
    <w:rsid w:val="00666BC3"/>
    <w:rsid w:val="00672FA1"/>
    <w:rsid w:val="0068386D"/>
    <w:rsid w:val="006A2C0C"/>
    <w:rsid w:val="006B33D8"/>
    <w:rsid w:val="006B7E8F"/>
    <w:rsid w:val="00725CEE"/>
    <w:rsid w:val="00736CF8"/>
    <w:rsid w:val="00746D0F"/>
    <w:rsid w:val="00794615"/>
    <w:rsid w:val="008B5820"/>
    <w:rsid w:val="008F2440"/>
    <w:rsid w:val="008F795D"/>
    <w:rsid w:val="00905360"/>
    <w:rsid w:val="00922F20"/>
    <w:rsid w:val="00930307"/>
    <w:rsid w:val="009535A7"/>
    <w:rsid w:val="009D26CA"/>
    <w:rsid w:val="009E37CD"/>
    <w:rsid w:val="009F1D0A"/>
    <w:rsid w:val="00A23105"/>
    <w:rsid w:val="00A25784"/>
    <w:rsid w:val="00AA5F71"/>
    <w:rsid w:val="00B34FA0"/>
    <w:rsid w:val="00B87792"/>
    <w:rsid w:val="00BA54FE"/>
    <w:rsid w:val="00BB75E2"/>
    <w:rsid w:val="00BD70DF"/>
    <w:rsid w:val="00CA687B"/>
    <w:rsid w:val="00CB50E5"/>
    <w:rsid w:val="00D407EA"/>
    <w:rsid w:val="00D51AE1"/>
    <w:rsid w:val="00D52255"/>
    <w:rsid w:val="00D65F2B"/>
    <w:rsid w:val="00D75026"/>
    <w:rsid w:val="00DC0974"/>
    <w:rsid w:val="00DC57AB"/>
    <w:rsid w:val="00E41505"/>
    <w:rsid w:val="00E61D7A"/>
    <w:rsid w:val="00E828F3"/>
    <w:rsid w:val="00EA4E23"/>
    <w:rsid w:val="00EE6906"/>
    <w:rsid w:val="00F0484F"/>
    <w:rsid w:val="00F109F7"/>
    <w:rsid w:val="00F26503"/>
    <w:rsid w:val="00F465B6"/>
    <w:rsid w:val="00F534DB"/>
    <w:rsid w:val="00FD50D0"/>
    <w:rsid w:val="05D43DA4"/>
    <w:rsid w:val="0A11629C"/>
    <w:rsid w:val="0BEF752A"/>
    <w:rsid w:val="0C1408A8"/>
    <w:rsid w:val="0D871DB4"/>
    <w:rsid w:val="0F6A12C8"/>
    <w:rsid w:val="10DC6136"/>
    <w:rsid w:val="16CD26B0"/>
    <w:rsid w:val="16E023FD"/>
    <w:rsid w:val="177C0FFD"/>
    <w:rsid w:val="18A86E9E"/>
    <w:rsid w:val="1E651C0E"/>
    <w:rsid w:val="201249B1"/>
    <w:rsid w:val="201443C6"/>
    <w:rsid w:val="22C10922"/>
    <w:rsid w:val="23AA6C33"/>
    <w:rsid w:val="24C06D8A"/>
    <w:rsid w:val="25852912"/>
    <w:rsid w:val="26397EB9"/>
    <w:rsid w:val="26CD36B0"/>
    <w:rsid w:val="270D62C9"/>
    <w:rsid w:val="28241B84"/>
    <w:rsid w:val="290A0E52"/>
    <w:rsid w:val="2D346D29"/>
    <w:rsid w:val="2D84749E"/>
    <w:rsid w:val="2DE90F9F"/>
    <w:rsid w:val="2E59185D"/>
    <w:rsid w:val="2E9F4CA8"/>
    <w:rsid w:val="3211750D"/>
    <w:rsid w:val="321E283B"/>
    <w:rsid w:val="3B0516A9"/>
    <w:rsid w:val="3BFDB6F8"/>
    <w:rsid w:val="3C076F06"/>
    <w:rsid w:val="3C870243"/>
    <w:rsid w:val="3DCB0B3E"/>
    <w:rsid w:val="3E24134F"/>
    <w:rsid w:val="3EA01E78"/>
    <w:rsid w:val="3F015D9F"/>
    <w:rsid w:val="3F71F32B"/>
    <w:rsid w:val="412A3307"/>
    <w:rsid w:val="424F3959"/>
    <w:rsid w:val="43927031"/>
    <w:rsid w:val="44285615"/>
    <w:rsid w:val="446748A6"/>
    <w:rsid w:val="44B00B3B"/>
    <w:rsid w:val="44F65C4E"/>
    <w:rsid w:val="451840F9"/>
    <w:rsid w:val="451D297F"/>
    <w:rsid w:val="46D214C8"/>
    <w:rsid w:val="46DA7FE4"/>
    <w:rsid w:val="492428DC"/>
    <w:rsid w:val="49644951"/>
    <w:rsid w:val="4D5C43B4"/>
    <w:rsid w:val="4ECD0151"/>
    <w:rsid w:val="4F3D5F86"/>
    <w:rsid w:val="53537FC2"/>
    <w:rsid w:val="59B53D43"/>
    <w:rsid w:val="5A4D7DB3"/>
    <w:rsid w:val="63142BC0"/>
    <w:rsid w:val="67BE716E"/>
    <w:rsid w:val="67EE6AD0"/>
    <w:rsid w:val="6B4450C0"/>
    <w:rsid w:val="70607C2D"/>
    <w:rsid w:val="739208BE"/>
    <w:rsid w:val="749D1E6D"/>
    <w:rsid w:val="753EF9B3"/>
    <w:rsid w:val="764D0227"/>
    <w:rsid w:val="769775EF"/>
    <w:rsid w:val="7746A9EE"/>
    <w:rsid w:val="77B82D33"/>
    <w:rsid w:val="791F3ABE"/>
    <w:rsid w:val="797F4899"/>
    <w:rsid w:val="7AE7120D"/>
    <w:rsid w:val="7AEF426D"/>
    <w:rsid w:val="7D7E4B1A"/>
    <w:rsid w:val="7E452C3F"/>
    <w:rsid w:val="7EDB7949"/>
    <w:rsid w:val="7F6C6760"/>
    <w:rsid w:val="7F7C6F68"/>
    <w:rsid w:val="7FDE4EDB"/>
    <w:rsid w:val="8ABF171C"/>
    <w:rsid w:val="99BD4A7B"/>
    <w:rsid w:val="9FFD0EB0"/>
    <w:rsid w:val="B8BB94E7"/>
    <w:rsid w:val="BABF392A"/>
    <w:rsid w:val="BFFF6FCA"/>
    <w:rsid w:val="D0FE740B"/>
    <w:rsid w:val="D3FF12CC"/>
    <w:rsid w:val="DBDCBF63"/>
    <w:rsid w:val="DF7D9EB3"/>
    <w:rsid w:val="DF7F23C0"/>
    <w:rsid w:val="EE1FE7A4"/>
    <w:rsid w:val="EFD5364C"/>
    <w:rsid w:val="F7DF3193"/>
    <w:rsid w:val="F7E5AC4D"/>
    <w:rsid w:val="FB633E0F"/>
    <w:rsid w:val="FDFD31B4"/>
    <w:rsid w:val="FE379316"/>
    <w:rsid w:val="FEBFF48D"/>
    <w:rsid w:val="FF7DEFA7"/>
    <w:rsid w:val="FFB9E3E7"/>
    <w:rsid w:val="FFEA9C3C"/>
    <w:rsid w:val="FFFE2D5E"/>
    <w:rsid w:val="FF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color w:val="000000"/>
      <w:kern w:val="2"/>
      <w:sz w:val="3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9">
    <w:name w:val="page number"/>
    <w:basedOn w:val="8"/>
    <w:qFormat/>
    <w:uiPriority w:val="0"/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customStyle="1" w:styleId="11">
    <w:name w:val="_Style 17"/>
    <w:basedOn w:val="1"/>
    <w:qFormat/>
    <w:uiPriority w:val="0"/>
    <w:pPr>
      <w:numPr>
        <w:ilvl w:val="0"/>
        <w:numId w:val="1"/>
      </w:numPr>
    </w:pPr>
  </w:style>
  <w:style w:type="paragraph" w:customStyle="1" w:styleId="12">
    <w:name w:val="Char Char Char Char Char Char"/>
    <w:basedOn w:val="1"/>
    <w:qFormat/>
    <w:uiPriority w:val="0"/>
  </w:style>
  <w:style w:type="character" w:customStyle="1" w:styleId="13">
    <w:name w:val="批注框文本 Char"/>
    <w:basedOn w:val="8"/>
    <w:link w:val="3"/>
    <w:semiHidden/>
    <w:qFormat/>
    <w:uiPriority w:val="99"/>
    <w:rPr>
      <w:rFonts w:ascii="仿宋_GB2312" w:eastAsia="仿宋_GB2312"/>
      <w:color w:val="000000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color w:val="auto"/>
      <w:sz w:val="21"/>
      <w:szCs w:val="22"/>
    </w:rPr>
  </w:style>
  <w:style w:type="character" w:customStyle="1" w:styleId="15">
    <w:name w:val="批注文字 Char"/>
    <w:basedOn w:val="8"/>
    <w:link w:val="2"/>
    <w:semiHidden/>
    <w:qFormat/>
    <w:uiPriority w:val="99"/>
    <w:rPr>
      <w:rFonts w:ascii="仿宋_GB2312" w:eastAsia="仿宋_GB2312"/>
      <w:color w:val="000000"/>
      <w:kern w:val="2"/>
      <w:sz w:val="30"/>
    </w:rPr>
  </w:style>
  <w:style w:type="character" w:customStyle="1" w:styleId="16">
    <w:name w:val="批注主题 Char"/>
    <w:basedOn w:val="15"/>
    <w:link w:val="6"/>
    <w:semiHidden/>
    <w:qFormat/>
    <w:uiPriority w:val="99"/>
    <w:rPr>
      <w:rFonts w:ascii="仿宋_GB2312" w:eastAsia="仿宋_GB2312"/>
      <w:b/>
      <w:bCs/>
      <w:color w:val="000000"/>
      <w:kern w:val="2"/>
      <w:sz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9ADAB8-0D6A-4358-AF92-624470B54F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537</Words>
  <Characters>3064</Characters>
  <Lines>25</Lines>
  <Paragraphs>7</Paragraphs>
  <TotalTime>5</TotalTime>
  <ScaleCrop>false</ScaleCrop>
  <LinksUpToDate>false</LinksUpToDate>
  <CharactersWithSpaces>3594</CharactersWithSpaces>
  <Application>WPS Office_11.8.2.12080_F1E327BC-269C-435d-A152-05C5408002CA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2022-10-24T00:59:00Z</dcterms:created>
  <dc:creator>USER</dc:creator>
  <cp:lastModifiedBy>辛雅婷</cp:lastModifiedBy>
  <cp:lastPrinted>2022-08-08T18:55:00Z</cp:lastPrinted>
  <dcterms:modified xsi:type="dcterms:W3CDTF">2024-04-03T07:44:58Z</dcterms:modified>
  <dc:title>证监发[2010]   号 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2052-11.8.2.12080</vt:lpwstr>
  </property>
  <property fmtid="{D5CDD505-2E9C-101B-9397-08002B2CF9AE}" pid="3" name="ICV">
    <vt:lpwstr>0FD4FB3EE06D4CB39E582A55D27D3E31</vt:lpwstr>
  </property>
</Properties>
</file>