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仿宋_GB2312" w:hAnsi="黑体" w:eastAsia="仿宋_GB2312"/>
          <w:sz w:val="32"/>
          <w:szCs w:val="32"/>
        </w:rPr>
      </w:pPr>
      <w:r>
        <w:rPr>
          <w:rFonts w:hint="eastAsia" w:ascii="黑体" w:hAnsi="黑体" w:eastAsia="黑体"/>
          <w:sz w:val="32"/>
          <w:szCs w:val="32"/>
        </w:rPr>
        <w:t>附件</w:t>
      </w:r>
    </w:p>
    <w:p>
      <w:pPr>
        <w:pStyle w:val="2"/>
        <w:adjustRightInd w:val="0"/>
        <w:snapToGrid w:val="0"/>
        <w:spacing w:after="0" w:line="560" w:lineRule="exact"/>
        <w:rPr>
          <w:sz w:val="32"/>
          <w:szCs w:val="32"/>
        </w:rPr>
      </w:pPr>
    </w:p>
    <w:p>
      <w:pPr>
        <w:adjustRightInd w:val="0"/>
        <w:snapToGrid w:val="0"/>
        <w:spacing w:line="24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深圳</w:t>
      </w:r>
      <w:r>
        <w:rPr>
          <w:rFonts w:hint="eastAsia" w:ascii="方正小标宋简体" w:hAnsi="方正小标宋简体" w:eastAsia="方正小标宋简体" w:cs="方正小标宋简体"/>
          <w:bCs/>
          <w:sz w:val="44"/>
          <w:szCs w:val="44"/>
        </w:rPr>
        <w:t>证券交易所</w:t>
      </w:r>
      <w:r>
        <w:rPr>
          <w:rFonts w:hint="eastAsia" w:ascii="方正小标宋简体" w:hAnsi="方正小标宋简体" w:eastAsia="方正小标宋简体" w:cs="方正小标宋简体"/>
          <w:bCs/>
          <w:sz w:val="44"/>
          <w:szCs w:val="44"/>
          <w:lang w:val="en-US" w:eastAsia="zh-CN"/>
        </w:rPr>
        <w:t>公司</w:t>
      </w:r>
      <w:r>
        <w:rPr>
          <w:rFonts w:hint="eastAsia" w:ascii="方正小标宋简体" w:hAnsi="方正小标宋简体" w:eastAsia="方正小标宋简体" w:cs="方正小标宋简体"/>
          <w:bCs/>
          <w:sz w:val="44"/>
          <w:szCs w:val="44"/>
        </w:rPr>
        <w:t>债券发行上市审核</w:t>
      </w:r>
    </w:p>
    <w:p>
      <w:pPr>
        <w:adjustRightInd w:val="0"/>
        <w:snapToGrid w:val="0"/>
        <w:spacing w:line="24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业务指南第</w:t>
      </w:r>
      <w:r>
        <w:rPr>
          <w:rFonts w:hint="eastAsia" w:ascii="方正小标宋简体" w:hAnsi="方正小标宋简体" w:eastAsia="方正小标宋简体" w:cs="方正小标宋简体"/>
          <w:bCs/>
          <w:sz w:val="44"/>
          <w:szCs w:val="44"/>
          <w:lang w:val="en-US" w:eastAsia="zh-CN"/>
        </w:rPr>
        <w:t>3</w:t>
      </w:r>
      <w:r>
        <w:rPr>
          <w:rFonts w:hint="eastAsia" w:ascii="方正小标宋简体" w:hAnsi="方正小标宋简体" w:eastAsia="方正小标宋简体" w:cs="方正小标宋简体"/>
          <w:bCs/>
          <w:sz w:val="44"/>
          <w:szCs w:val="44"/>
        </w:rPr>
        <w:t>号——简明信息披露</w:t>
      </w:r>
    </w:p>
    <w:p>
      <w:pPr>
        <w:adjustRightInd w:val="0"/>
        <w:snapToGrid w:val="0"/>
        <w:spacing w:line="560" w:lineRule="exact"/>
        <w:ind w:firstLine="723" w:firstLineChars="200"/>
        <w:rPr>
          <w:rFonts w:ascii="黑体" w:hAnsi="黑体" w:eastAsia="黑体"/>
          <w:b/>
          <w:sz w:val="36"/>
          <w:szCs w:val="36"/>
        </w:rPr>
      </w:pPr>
    </w:p>
    <w:p>
      <w:pPr>
        <w:adjustRightInd w:val="0"/>
        <w:snapToGrid w:val="0"/>
        <w:spacing w:line="560" w:lineRule="exact"/>
        <w:jc w:val="center"/>
        <w:rPr>
          <w:rFonts w:ascii="黑体" w:hAnsi="黑体" w:eastAsia="黑体"/>
          <w:b w:val="0"/>
          <w:bCs/>
          <w:sz w:val="32"/>
          <w:szCs w:val="32"/>
        </w:rPr>
      </w:pPr>
      <w:r>
        <w:rPr>
          <w:rFonts w:hint="eastAsia" w:ascii="黑体" w:hAnsi="黑体" w:eastAsia="黑体"/>
          <w:b w:val="0"/>
          <w:bCs/>
          <w:sz w:val="32"/>
          <w:szCs w:val="32"/>
        </w:rPr>
        <w:t>第一章 总则</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为了提高信息披露针对性及有效性，提升</w:t>
      </w:r>
      <w:r>
        <w:rPr>
          <w:rFonts w:hint="eastAsia" w:ascii="仿宋" w:hAnsi="仿宋" w:eastAsia="仿宋" w:cs="仿宋"/>
          <w:sz w:val="32"/>
          <w:szCs w:val="32"/>
          <w:lang w:val="en-US" w:eastAsia="zh-CN"/>
        </w:rPr>
        <w:t>优质市场主体</w:t>
      </w:r>
      <w:r>
        <w:rPr>
          <w:rFonts w:hint="eastAsia" w:ascii="仿宋" w:hAnsi="仿宋" w:eastAsia="仿宋" w:cs="仿宋"/>
          <w:sz w:val="32"/>
          <w:szCs w:val="32"/>
        </w:rPr>
        <w:t>债券融资效率，根据《深圳证券交易所公司债券发行上市审核规则（2023年修订）》《深圳证券交易所公司债券上市规则（2023年修订）》《深圳证券交易所非公开发行公司债券挂牌规则（2023年修订）》等有关规定，制定本指南。</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sz w:val="32"/>
          <w:szCs w:val="32"/>
        </w:rPr>
        <w:t>第二条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val="en-US" w:eastAsia="zh-CN"/>
        </w:rPr>
        <w:t>深圳</w:t>
      </w:r>
      <w:r>
        <w:rPr>
          <w:rFonts w:hint="eastAsia" w:ascii="仿宋" w:hAnsi="仿宋" w:eastAsia="仿宋" w:cs="仿宋"/>
          <w:sz w:val="32"/>
          <w:szCs w:val="32"/>
        </w:rPr>
        <w:t>证券交易所（以下简称本所）按照分类监管理念，对符合条件的</w:t>
      </w:r>
      <w:r>
        <w:rPr>
          <w:rFonts w:hint="eastAsia" w:ascii="仿宋" w:hAnsi="仿宋" w:eastAsia="仿宋" w:cs="仿宋"/>
          <w:sz w:val="32"/>
          <w:szCs w:val="32"/>
          <w:lang w:val="en-US" w:eastAsia="zh-CN"/>
        </w:rPr>
        <w:t>公司债券优质发行人</w:t>
      </w:r>
      <w:r>
        <w:rPr>
          <w:rFonts w:hint="eastAsia" w:ascii="仿宋" w:hAnsi="仿宋" w:eastAsia="仿宋" w:cs="仿宋"/>
          <w:sz w:val="32"/>
          <w:szCs w:val="32"/>
        </w:rPr>
        <w:t>（以下简称优质发行人）</w:t>
      </w:r>
      <w:r>
        <w:rPr>
          <w:rFonts w:hint="eastAsia" w:ascii="仿宋" w:hAnsi="仿宋" w:eastAsia="仿宋" w:cs="仿宋"/>
          <w:sz w:val="32"/>
          <w:szCs w:val="32"/>
          <w:highlight w:val="none"/>
        </w:rPr>
        <w:t>简化申报</w:t>
      </w:r>
      <w:r>
        <w:rPr>
          <w:rFonts w:hint="eastAsia" w:ascii="仿宋" w:hAnsi="仿宋" w:eastAsia="仿宋" w:cs="仿宋"/>
          <w:sz w:val="32"/>
          <w:szCs w:val="32"/>
          <w:highlight w:val="none"/>
          <w:lang w:eastAsia="zh-CN"/>
        </w:rPr>
        <w:t>发行及存续期的</w:t>
      </w:r>
      <w:r>
        <w:rPr>
          <w:rFonts w:hint="eastAsia" w:ascii="仿宋" w:hAnsi="仿宋" w:eastAsia="仿宋" w:cs="仿宋"/>
          <w:sz w:val="32"/>
          <w:szCs w:val="32"/>
          <w:highlight w:val="none"/>
        </w:rPr>
        <w:t>材料编制和信息披露安排</w:t>
      </w:r>
      <w:r>
        <w:rPr>
          <w:rFonts w:hint="eastAsia" w:ascii="仿宋" w:hAnsi="仿宋" w:eastAsia="仿宋" w:cs="仿宋"/>
          <w:sz w:val="32"/>
          <w:szCs w:val="32"/>
        </w:rPr>
        <w:t>，提高服务效率。</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rPr>
        <w:t>优质发行人</w:t>
      </w:r>
      <w:r>
        <w:rPr>
          <w:rFonts w:hint="eastAsia" w:ascii="仿宋" w:hAnsi="仿宋" w:eastAsia="仿宋" w:cs="仿宋"/>
          <w:color w:val="auto"/>
          <w:sz w:val="32"/>
          <w:szCs w:val="32"/>
          <w:highlight w:val="none"/>
          <w:shd w:val="clear" w:color="auto" w:fill="auto"/>
          <w:lang w:val="en-US" w:eastAsia="zh-CN"/>
        </w:rPr>
        <w:t>是指适用境内债券交易场所优化审核安排的发行人（含本所</w:t>
      </w:r>
      <w:r>
        <w:rPr>
          <w:rFonts w:hint="eastAsia" w:ascii="仿宋" w:hAnsi="仿宋" w:eastAsia="仿宋" w:cs="仿宋"/>
          <w:color w:val="auto"/>
          <w:sz w:val="32"/>
          <w:szCs w:val="32"/>
          <w:highlight w:val="none"/>
          <w:shd w:val="clear" w:color="auto" w:fill="auto"/>
        </w:rPr>
        <w:t>知名成熟发行人</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rPr>
        <w:t>、符</w:t>
      </w:r>
      <w:r>
        <w:rPr>
          <w:rFonts w:hint="eastAsia" w:ascii="仿宋" w:hAnsi="仿宋" w:eastAsia="仿宋" w:cs="仿宋"/>
          <w:sz w:val="32"/>
          <w:szCs w:val="32"/>
          <w:highlight w:val="none"/>
        </w:rPr>
        <w:t>合条件的科技创新公司债券及绿色公司债券发行人、优质上市公司或者本所认可的其他发</w:t>
      </w:r>
      <w:r>
        <w:rPr>
          <w:rFonts w:hint="eastAsia" w:ascii="仿宋" w:hAnsi="仿宋" w:eastAsia="仿宋" w:cs="仿宋"/>
          <w:sz w:val="32"/>
          <w:szCs w:val="32"/>
        </w:rPr>
        <w:t>行人。</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前款所</w:t>
      </w:r>
      <w:r>
        <w:rPr>
          <w:rFonts w:hint="eastAsia" w:ascii="仿宋" w:hAnsi="仿宋" w:eastAsia="仿宋" w:cs="仿宋"/>
          <w:sz w:val="32"/>
          <w:szCs w:val="32"/>
          <w:highlight w:val="none"/>
        </w:rPr>
        <w:t>称优质上市公司，</w:t>
      </w:r>
      <w:r>
        <w:rPr>
          <w:rFonts w:hint="eastAsia" w:ascii="仿宋" w:hAnsi="仿宋" w:eastAsia="仿宋" w:cs="仿宋"/>
          <w:sz w:val="32"/>
          <w:szCs w:val="32"/>
        </w:rPr>
        <w:t>是指最近两年信息披露工作评价结果均为A的上市公司。</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本指南的规定是</w:t>
      </w:r>
      <w:r>
        <w:rPr>
          <w:rFonts w:hint="eastAsia" w:ascii="仿宋" w:hAnsi="仿宋" w:eastAsia="仿宋" w:cs="仿宋"/>
          <w:sz w:val="32"/>
          <w:szCs w:val="32"/>
          <w:lang w:val="en-US" w:eastAsia="zh-CN"/>
        </w:rPr>
        <w:t>信息披露义务人</w:t>
      </w:r>
      <w:r>
        <w:rPr>
          <w:rFonts w:hint="eastAsia" w:ascii="仿宋" w:hAnsi="仿宋" w:eastAsia="仿宋" w:cs="仿宋"/>
          <w:sz w:val="32"/>
          <w:szCs w:val="32"/>
        </w:rPr>
        <w:t>及相关中介机构编制申报发行材料及履行信息披露义务的最低要求。</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信息披露义务人</w:t>
      </w:r>
      <w:r>
        <w:rPr>
          <w:rFonts w:hint="eastAsia" w:ascii="仿宋" w:hAnsi="仿宋" w:eastAsia="仿宋" w:cs="仿宋"/>
          <w:sz w:val="32"/>
          <w:szCs w:val="32"/>
          <w:highlight w:val="none"/>
        </w:rPr>
        <w:t>应遵循重要性、针对性原则，以投资者需求为导向，根据自身个性化情</w:t>
      </w:r>
      <w:r>
        <w:rPr>
          <w:rFonts w:hint="eastAsia" w:ascii="仿宋" w:hAnsi="仿宋" w:eastAsia="仿宋" w:cs="仿宋"/>
          <w:sz w:val="32"/>
          <w:szCs w:val="32"/>
        </w:rPr>
        <w:t>况，在本指南基础上补充有利于投资者作出价值判断和对投资决策有重大影响的信息。</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发行人存在影响公司经营或偿债能力的重大不利变化，或存在影响发行上市或挂牌条件的重大事项的，不适用本指南规定的简明信息披露安排。</w:t>
      </w:r>
    </w:p>
    <w:p>
      <w:pPr>
        <w:adjustRightInd w:val="0"/>
        <w:snapToGrid w:val="0"/>
        <w:spacing w:line="560" w:lineRule="exact"/>
        <w:jc w:val="center"/>
        <w:rPr>
          <w:rFonts w:hint="eastAsia" w:ascii="黑体" w:hAnsi="黑体" w:eastAsia="黑体"/>
          <w:b/>
          <w:sz w:val="32"/>
          <w:szCs w:val="32"/>
        </w:rPr>
      </w:pPr>
    </w:p>
    <w:p>
      <w:pPr>
        <w:adjustRightInd w:val="0"/>
        <w:snapToGrid w:val="0"/>
        <w:spacing w:line="560" w:lineRule="exact"/>
        <w:jc w:val="center"/>
        <w:rPr>
          <w:rFonts w:ascii="黑体" w:hAnsi="黑体" w:eastAsia="黑体"/>
          <w:b w:val="0"/>
          <w:bCs/>
          <w:sz w:val="32"/>
          <w:szCs w:val="32"/>
        </w:rPr>
      </w:pPr>
      <w:r>
        <w:rPr>
          <w:rFonts w:hint="eastAsia" w:ascii="黑体" w:hAnsi="黑体" w:eastAsia="黑体"/>
          <w:b w:val="0"/>
          <w:bCs/>
          <w:sz w:val="32"/>
          <w:szCs w:val="32"/>
        </w:rPr>
        <w:t>第二章 公司债券申报材料</w:t>
      </w:r>
      <w:r>
        <w:rPr>
          <w:rFonts w:hint="eastAsia" w:ascii="黑体" w:hAnsi="黑体" w:eastAsia="黑体"/>
          <w:b w:val="0"/>
          <w:bCs/>
          <w:sz w:val="32"/>
          <w:szCs w:val="32"/>
          <w:lang w:val="en-US" w:eastAsia="zh-CN"/>
        </w:rPr>
        <w:t>简明</w:t>
      </w:r>
      <w:r>
        <w:rPr>
          <w:rFonts w:hint="eastAsia" w:ascii="黑体" w:hAnsi="黑体" w:eastAsia="黑体"/>
          <w:b w:val="0"/>
          <w:bCs/>
          <w:sz w:val="32"/>
          <w:szCs w:val="32"/>
        </w:rPr>
        <w:t>安排</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优质发行人可以参考本章规定，合并编制、简化编制申报发行材料。</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五</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主承销商可以在主承销商核查意见中，以单独章节列示《深圳证券交易所公司债券发行上市审核业务指引第1号——申请文件及其编制要求（2023年修订）》（以下简称《</w:t>
      </w:r>
      <w:r>
        <w:rPr>
          <w:rFonts w:hint="eastAsia" w:ascii="仿宋" w:hAnsi="仿宋" w:eastAsia="仿宋" w:cs="仿宋"/>
          <w:sz w:val="32"/>
          <w:szCs w:val="32"/>
          <w:lang w:val="en-US" w:eastAsia="zh-CN"/>
        </w:rPr>
        <w:t>申请文件编制指引</w:t>
      </w:r>
      <w:r>
        <w:rPr>
          <w:rFonts w:hint="eastAsia" w:ascii="仿宋" w:hAnsi="仿宋" w:eastAsia="仿宋" w:cs="仿宋"/>
          <w:sz w:val="32"/>
          <w:szCs w:val="32"/>
        </w:rPr>
        <w:t>》）第</w:t>
      </w:r>
      <w:r>
        <w:rPr>
          <w:rFonts w:hint="eastAsia" w:ascii="仿宋" w:hAnsi="仿宋" w:eastAsia="仿宋" w:cs="仿宋"/>
          <w:sz w:val="32"/>
          <w:szCs w:val="32"/>
          <w:lang w:val="en-US" w:eastAsia="zh-CN"/>
        </w:rPr>
        <w:t>六条</w:t>
      </w:r>
      <w:r>
        <w:rPr>
          <w:rFonts w:hint="eastAsia" w:ascii="仿宋" w:hAnsi="仿宋" w:eastAsia="仿宋" w:cs="仿宋"/>
          <w:sz w:val="32"/>
          <w:szCs w:val="32"/>
        </w:rPr>
        <w:t>规定的</w:t>
      </w:r>
      <w:r>
        <w:rPr>
          <w:rFonts w:hint="eastAsia" w:ascii="仿宋" w:hAnsi="仿宋" w:eastAsia="仿宋" w:cs="仿宋"/>
          <w:sz w:val="32"/>
          <w:szCs w:val="32"/>
          <w:lang w:eastAsia="zh-CN"/>
        </w:rPr>
        <w:t>《</w:t>
      </w:r>
      <w:r>
        <w:rPr>
          <w:rFonts w:hint="eastAsia" w:ascii="仿宋" w:hAnsi="仿宋" w:eastAsia="仿宋" w:cs="仿宋"/>
          <w:sz w:val="32"/>
          <w:szCs w:val="32"/>
        </w:rPr>
        <w:t>发行人诚信信息查询情况表</w:t>
      </w:r>
      <w:r>
        <w:rPr>
          <w:rFonts w:hint="eastAsia" w:ascii="仿宋" w:hAnsi="仿宋" w:eastAsia="仿宋" w:cs="仿宋"/>
          <w:sz w:val="32"/>
          <w:szCs w:val="32"/>
          <w:lang w:eastAsia="zh-CN"/>
        </w:rPr>
        <w:t>》</w:t>
      </w:r>
      <w:r>
        <w:rPr>
          <w:rFonts w:hint="eastAsia" w:ascii="仿宋" w:hAnsi="仿宋" w:eastAsia="仿宋" w:cs="仿宋"/>
          <w:sz w:val="32"/>
          <w:szCs w:val="32"/>
        </w:rPr>
        <w:t>《主承销商关注事项核查对照表》</w:t>
      </w:r>
      <w:r>
        <w:rPr>
          <w:rFonts w:hint="eastAsia" w:ascii="仿宋" w:hAnsi="仿宋" w:eastAsia="仿宋" w:cs="仿宋"/>
          <w:sz w:val="32"/>
          <w:szCs w:val="32"/>
          <w:lang w:eastAsia="zh-CN"/>
        </w:rPr>
        <w:t>《主承销商和</w:t>
      </w:r>
      <w:r>
        <w:rPr>
          <w:rFonts w:hint="eastAsia" w:ascii="仿宋" w:hAnsi="仿宋" w:eastAsia="仿宋" w:cs="仿宋"/>
          <w:sz w:val="32"/>
          <w:szCs w:val="32"/>
        </w:rPr>
        <w:t>项目负责人近两年内承销债券违约情况</w:t>
      </w:r>
      <w:r>
        <w:rPr>
          <w:rFonts w:hint="eastAsia" w:ascii="仿宋" w:hAnsi="仿宋" w:eastAsia="仿宋" w:cs="仿宋"/>
          <w:sz w:val="32"/>
          <w:szCs w:val="32"/>
          <w:lang w:eastAsia="zh-CN"/>
        </w:rPr>
        <w:t>》</w:t>
      </w:r>
      <w:r>
        <w:rPr>
          <w:rFonts w:hint="eastAsia" w:ascii="仿宋" w:hAnsi="仿宋" w:eastAsia="仿宋" w:cs="仿宋"/>
          <w:sz w:val="32"/>
          <w:szCs w:val="32"/>
        </w:rPr>
        <w:t>，无需单独编制相关文件。</w:t>
      </w:r>
      <w:r>
        <w:rPr>
          <w:rFonts w:hint="eastAsia" w:ascii="仿宋" w:hAnsi="仿宋" w:eastAsia="仿宋" w:cs="仿宋"/>
          <w:b/>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六</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知名成熟发行人申请发行公司债券的，可以按照简化格式编制《</w:t>
      </w:r>
      <w:r>
        <w:rPr>
          <w:rFonts w:hint="eastAsia" w:ascii="仿宋" w:hAnsi="仿宋" w:eastAsia="仿宋" w:cs="仿宋"/>
          <w:sz w:val="32"/>
          <w:szCs w:val="32"/>
          <w:lang w:val="en-US" w:eastAsia="zh-CN"/>
        </w:rPr>
        <w:t>申请文件编制指引</w:t>
      </w:r>
      <w:r>
        <w:rPr>
          <w:rFonts w:hint="eastAsia" w:ascii="仿宋" w:hAnsi="仿宋" w:eastAsia="仿宋" w:cs="仿宋"/>
          <w:sz w:val="32"/>
          <w:szCs w:val="32"/>
        </w:rPr>
        <w:t>》</w:t>
      </w:r>
      <w:r>
        <w:rPr>
          <w:rFonts w:hint="eastAsia" w:ascii="仿宋" w:hAnsi="仿宋" w:eastAsia="仿宋" w:cs="仿宋"/>
          <w:sz w:val="32"/>
          <w:szCs w:val="32"/>
          <w:lang w:val="en-US" w:eastAsia="zh-CN"/>
        </w:rPr>
        <w:t>第六条规定的《发行人关于本次</w:t>
      </w:r>
      <w:r>
        <w:rPr>
          <w:rFonts w:hint="eastAsia" w:ascii="仿宋" w:hAnsi="仿宋" w:eastAsia="仿宋" w:cs="仿宋"/>
          <w:sz w:val="32"/>
          <w:szCs w:val="32"/>
        </w:rPr>
        <w:t>公司债券公开发行并上市</w:t>
      </w:r>
      <w:r>
        <w:rPr>
          <w:rFonts w:hint="eastAsia" w:ascii="仿宋" w:hAnsi="仿宋" w:eastAsia="仿宋" w:cs="仿宋"/>
          <w:sz w:val="32"/>
          <w:szCs w:val="32"/>
          <w:lang w:eastAsia="zh-CN"/>
        </w:rPr>
        <w:t>的</w:t>
      </w:r>
      <w:r>
        <w:rPr>
          <w:rFonts w:hint="eastAsia" w:ascii="仿宋" w:hAnsi="仿宋" w:eastAsia="仿宋" w:cs="仿宋"/>
          <w:sz w:val="32"/>
          <w:szCs w:val="32"/>
        </w:rPr>
        <w:t>申请</w:t>
      </w:r>
      <w:r>
        <w:rPr>
          <w:rFonts w:hint="eastAsia" w:ascii="仿宋" w:hAnsi="仿宋" w:eastAsia="仿宋" w:cs="仿宋"/>
          <w:sz w:val="32"/>
          <w:szCs w:val="32"/>
          <w:lang w:val="en-US" w:eastAsia="zh-CN"/>
        </w:rPr>
        <w:t>报告》或</w:t>
      </w:r>
      <w:r>
        <w:rPr>
          <w:rFonts w:hint="eastAsia" w:ascii="仿宋" w:hAnsi="仿宋" w:eastAsia="仿宋" w:cs="仿宋"/>
          <w:sz w:val="32"/>
          <w:szCs w:val="32"/>
        </w:rPr>
        <w:t>《深圳证券交易所公司债券发行上市审核业务指引第5号——非公开发行公司债券挂牌条件确认程序（2023年修订）》</w:t>
      </w:r>
      <w:r>
        <w:rPr>
          <w:rFonts w:hint="eastAsia" w:ascii="仿宋" w:hAnsi="仿宋" w:eastAsia="仿宋" w:cs="仿宋"/>
          <w:sz w:val="32"/>
          <w:szCs w:val="32"/>
          <w:lang w:val="en-US" w:eastAsia="zh-CN"/>
        </w:rPr>
        <w:t>第十三条规定的《发行人关于本次</w:t>
      </w:r>
      <w:r>
        <w:rPr>
          <w:rFonts w:hint="eastAsia" w:ascii="仿宋" w:hAnsi="仿宋" w:eastAsia="仿宋" w:cs="仿宋"/>
          <w:sz w:val="32"/>
          <w:szCs w:val="32"/>
        </w:rPr>
        <w:t>债券挂牌</w:t>
      </w:r>
      <w:r>
        <w:rPr>
          <w:rFonts w:hint="eastAsia" w:ascii="仿宋" w:hAnsi="仿宋" w:eastAsia="仿宋" w:cs="仿宋"/>
          <w:sz w:val="32"/>
          <w:szCs w:val="32"/>
          <w:lang w:val="en-US" w:eastAsia="zh-CN"/>
        </w:rPr>
        <w:t>条件确认的申请书》</w:t>
      </w:r>
      <w:r>
        <w:rPr>
          <w:rFonts w:hint="eastAsia" w:ascii="仿宋" w:hAnsi="仿宋" w:eastAsia="仿宋" w:cs="仿宋"/>
          <w:sz w:val="32"/>
          <w:szCs w:val="32"/>
        </w:rPr>
        <w:t>（格式见附件</w:t>
      </w:r>
      <w:r>
        <w:rPr>
          <w:rFonts w:hint="eastAsia" w:ascii="仿宋" w:hAnsi="仿宋" w:eastAsia="仿宋" w:cs="仿宋"/>
          <w:sz w:val="32"/>
          <w:szCs w:val="32"/>
          <w:lang w:val="en-US" w:eastAsia="zh-CN"/>
        </w:rPr>
        <w:t>1</w:t>
      </w: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可以适当简化申报发行材料签章文件。发行人董事、监事和高级管理人员已对发行申请文件真实性、准确性和完整性签署确认意见的，可将确认意见作为募集说明书的后附文件，无需另行对募集说明书签署书面确认意见。</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发行人董事、监事、高级管理人员在债券项目申请阶段按照规定对债券</w:t>
      </w:r>
      <w:r>
        <w:rPr>
          <w:rFonts w:hint="eastAsia" w:ascii="仿宋" w:hAnsi="仿宋" w:eastAsia="仿宋" w:cs="仿宋"/>
          <w:sz w:val="32"/>
          <w:szCs w:val="32"/>
          <w:lang w:eastAsia="zh-CN"/>
        </w:rPr>
        <w:t>申报</w:t>
      </w:r>
      <w:r>
        <w:rPr>
          <w:rFonts w:hint="eastAsia" w:ascii="仿宋" w:hAnsi="仿宋" w:eastAsia="仿宋" w:cs="仿宋"/>
          <w:sz w:val="32"/>
          <w:szCs w:val="32"/>
        </w:rPr>
        <w:t>发行文件签署书面确认意见，并于确认意见中承诺认可各期发行文件、履行规定职责的，每期债券发行前无需另行签署书面确认意见。</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董事、监事、高级管理人员或履行同等职责的人员不能保证所披露的信息真实、准确、完整或者有异议的，不适用本条前两款的规定。</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八</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优质发行人或者符合国家战略导向的专项</w:t>
      </w:r>
      <w:r>
        <w:rPr>
          <w:rFonts w:hint="eastAsia" w:ascii="仿宋" w:hAnsi="仿宋" w:eastAsia="仿宋" w:cs="仿宋"/>
          <w:sz w:val="32"/>
          <w:szCs w:val="32"/>
          <w:lang w:val="en-US" w:eastAsia="zh-CN"/>
        </w:rPr>
        <w:t>品种公司</w:t>
      </w:r>
      <w:r>
        <w:rPr>
          <w:rFonts w:hint="eastAsia" w:ascii="仿宋" w:hAnsi="仿宋" w:eastAsia="仿宋" w:cs="仿宋"/>
          <w:sz w:val="32"/>
          <w:szCs w:val="32"/>
        </w:rPr>
        <w:t>债券发行人的申报文件因特殊原因</w:t>
      </w:r>
      <w:r>
        <w:rPr>
          <w:rFonts w:hint="eastAsia" w:ascii="仿宋" w:hAnsi="仿宋" w:eastAsia="仿宋" w:cs="仿宋"/>
          <w:sz w:val="32"/>
          <w:szCs w:val="32"/>
          <w:highlight w:val="none"/>
          <w:lang w:val="en-US" w:eastAsia="zh-CN"/>
        </w:rPr>
        <w:t>存在</w:t>
      </w:r>
      <w:r>
        <w:rPr>
          <w:rFonts w:hint="eastAsia" w:ascii="仿宋" w:hAnsi="仿宋" w:eastAsia="仿宋" w:cs="仿宋"/>
          <w:sz w:val="32"/>
          <w:szCs w:val="32"/>
          <w:highlight w:val="none"/>
        </w:rPr>
        <w:t>缺少部分签章</w:t>
      </w:r>
      <w:r>
        <w:rPr>
          <w:rFonts w:hint="eastAsia" w:ascii="仿宋" w:hAnsi="仿宋" w:eastAsia="仿宋" w:cs="仿宋"/>
          <w:sz w:val="32"/>
          <w:szCs w:val="32"/>
          <w:highlight w:val="none"/>
          <w:lang w:val="en-US" w:eastAsia="zh-CN"/>
        </w:rPr>
        <w:t>等情形</w:t>
      </w:r>
      <w:r>
        <w:rPr>
          <w:rFonts w:hint="eastAsia" w:ascii="仿宋" w:hAnsi="仿宋" w:eastAsia="仿宋" w:cs="仿宋"/>
          <w:sz w:val="32"/>
          <w:szCs w:val="32"/>
          <w:highlight w:val="none"/>
        </w:rPr>
        <w:t>的，经发行人书面说明具体情况，本所</w:t>
      </w:r>
      <w:r>
        <w:rPr>
          <w:rFonts w:hint="eastAsia" w:ascii="仿宋" w:hAnsi="仿宋" w:eastAsia="仿宋" w:cs="仿宋"/>
          <w:sz w:val="32"/>
          <w:szCs w:val="32"/>
        </w:rPr>
        <w:t>可以视情况优化受理，提升融资效率。</w:t>
      </w:r>
    </w:p>
    <w:p>
      <w:pPr>
        <w:adjustRightInd w:val="0"/>
        <w:snapToGrid w:val="0"/>
        <w:spacing w:line="560" w:lineRule="exact"/>
        <w:jc w:val="center"/>
        <w:rPr>
          <w:rFonts w:hint="eastAsia" w:ascii="黑体" w:hAnsi="黑体" w:eastAsia="黑体"/>
          <w:b/>
          <w:sz w:val="32"/>
          <w:szCs w:val="32"/>
        </w:rPr>
      </w:pPr>
    </w:p>
    <w:p>
      <w:pPr>
        <w:adjustRightInd w:val="0"/>
        <w:snapToGrid w:val="0"/>
        <w:spacing w:line="560" w:lineRule="exact"/>
        <w:jc w:val="center"/>
        <w:rPr>
          <w:rFonts w:ascii="黑体" w:hAnsi="黑体" w:eastAsia="黑体"/>
          <w:b w:val="0"/>
          <w:bCs/>
          <w:sz w:val="32"/>
          <w:szCs w:val="32"/>
        </w:rPr>
      </w:pPr>
      <w:r>
        <w:rPr>
          <w:rFonts w:hint="eastAsia" w:ascii="黑体" w:hAnsi="黑体" w:eastAsia="黑体"/>
          <w:b w:val="0"/>
          <w:bCs/>
          <w:sz w:val="32"/>
          <w:szCs w:val="32"/>
        </w:rPr>
        <w:t>第三章 公司债券申报发行信息披露简明安排</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九</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优质发行人可以按照重要性、针对性、简明通俗性原则，适当简化募集说明书部分章节信息披露，以图表、总结性语言等直观、清晰的方式披露关键事项。</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sz w:val="32"/>
          <w:szCs w:val="32"/>
        </w:rPr>
        <w:t>第十条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优质发行人经营和财务情况无重大不利变化或不存在对偿债能力产生重大影响事项的，可参考如下方式适当简化募集说明书中“募集资金运用”“发行人基本情况”“</w:t>
      </w:r>
      <w:r>
        <w:rPr>
          <w:rFonts w:hint="eastAsia" w:ascii="仿宋" w:hAnsi="仿宋" w:eastAsia="仿宋" w:cs="仿宋"/>
          <w:sz w:val="32"/>
          <w:szCs w:val="32"/>
          <w:lang w:val="en-US" w:eastAsia="zh-CN"/>
        </w:rPr>
        <w:t>财务会计信息</w:t>
      </w:r>
      <w:r>
        <w:rPr>
          <w:rFonts w:hint="eastAsia" w:ascii="仿宋" w:hAnsi="仿宋" w:eastAsia="仿宋" w:cs="仿宋"/>
          <w:sz w:val="32"/>
          <w:szCs w:val="32"/>
        </w:rPr>
        <w:t>”“发行人</w:t>
      </w:r>
      <w:r>
        <w:rPr>
          <w:rFonts w:hint="eastAsia" w:ascii="仿宋" w:hAnsi="仿宋" w:eastAsia="仿宋" w:cs="仿宋"/>
          <w:sz w:val="32"/>
          <w:szCs w:val="32"/>
          <w:lang w:val="en-US" w:eastAsia="zh-CN"/>
        </w:rPr>
        <w:t>及本次债券的资信</w:t>
      </w:r>
      <w:r>
        <w:rPr>
          <w:rFonts w:hint="eastAsia" w:ascii="仿宋" w:hAnsi="仿宋" w:eastAsia="仿宋" w:cs="仿宋"/>
          <w:sz w:val="32"/>
          <w:szCs w:val="32"/>
        </w:rPr>
        <w:t>状况”等章节（格式见附件</w:t>
      </w:r>
      <w:r>
        <w:rPr>
          <w:rFonts w:hint="eastAsia" w:ascii="仿宋" w:hAnsi="仿宋" w:eastAsia="仿宋" w:cs="仿宋"/>
          <w:sz w:val="32"/>
          <w:szCs w:val="32"/>
          <w:lang w:val="en-US" w:eastAsia="zh-CN"/>
        </w:rPr>
        <w:t>3</w:t>
      </w:r>
      <w:r>
        <w:rPr>
          <w:rFonts w:hint="eastAsia" w:ascii="仿宋" w:hAnsi="仿宋" w:eastAsia="仿宋" w:cs="仿宋"/>
          <w:sz w:val="32"/>
          <w:szCs w:val="32"/>
        </w:rPr>
        <w:t>）信息披露</w:t>
      </w:r>
      <w:r>
        <w:rPr>
          <w:rFonts w:hint="eastAsia" w:ascii="仿宋" w:hAnsi="仿宋" w:eastAsia="仿宋" w:cs="仿宋"/>
          <w:sz w:val="32"/>
          <w:szCs w:val="32"/>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3815"/>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Borders>
              <w:top w:val="single" w:color="auto" w:sz="12" w:space="0"/>
              <w:left w:val="single" w:color="auto" w:sz="12" w:space="0"/>
            </w:tcBorders>
            <w:vAlign w:val="top"/>
          </w:tcPr>
          <w:p>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rPr>
              <w:t>规则及条款号</w:t>
            </w:r>
          </w:p>
        </w:tc>
        <w:tc>
          <w:tcPr>
            <w:tcW w:w="0" w:type="auto"/>
            <w:tcBorders>
              <w:top w:val="single" w:color="auto" w:sz="12" w:space="0"/>
            </w:tcBorders>
            <w:vAlign w:val="top"/>
          </w:tcPr>
          <w:p>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rPr>
              <w:t>规则具体要求</w:t>
            </w:r>
          </w:p>
        </w:tc>
        <w:tc>
          <w:tcPr>
            <w:tcW w:w="0" w:type="auto"/>
            <w:tcBorders>
              <w:top w:val="single" w:color="auto" w:sz="12" w:space="0"/>
              <w:right w:val="single" w:color="auto" w:sz="12" w:space="0"/>
            </w:tcBorders>
            <w:vAlign w:val="top"/>
          </w:tcPr>
          <w:p>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rPr>
              <w:t>简化信息披露安排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12" w:space="0"/>
            </w:tcBorders>
            <w:vAlign w:val="top"/>
          </w:tcPr>
          <w:p>
            <w:pPr>
              <w:adjustRightInd w:val="0"/>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申请文件编制指引</w:t>
            </w:r>
            <w:r>
              <w:rPr>
                <w:rFonts w:hint="eastAsia" w:ascii="宋体" w:hAnsi="宋体" w:eastAsia="宋体" w:cs="宋体"/>
                <w:sz w:val="21"/>
                <w:szCs w:val="21"/>
                <w:highlight w:val="none"/>
              </w:rPr>
              <w:t>》第三章第</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节 募集说明书编制要求</w:t>
            </w:r>
            <w:r>
              <w:rPr>
                <w:rFonts w:hint="eastAsia" w:ascii="宋体" w:hAnsi="宋体" w:eastAsia="宋体" w:cs="宋体"/>
                <w:sz w:val="21"/>
                <w:szCs w:val="21"/>
                <w:highlight w:val="none"/>
                <w:lang w:val="en-US" w:eastAsia="zh-CN"/>
              </w:rPr>
              <w:t xml:space="preserve"> 第四十二条</w:t>
            </w:r>
          </w:p>
        </w:tc>
        <w:tc>
          <w:tcPr>
            <w:tcW w:w="0" w:type="auto"/>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发行人应当以主要实体的承继关系为主线，披露发行人设立、名称变更以及股本结构历次变动情况，包括但不限于改制、重大增资和减资、合并、分立、破产重整等重要事件。</w:t>
            </w:r>
          </w:p>
        </w:tc>
        <w:tc>
          <w:tcPr>
            <w:tcW w:w="0" w:type="auto"/>
            <w:tcBorders>
              <w:righ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可以列表形式汇总披露代表</w:t>
            </w:r>
            <w:r>
              <w:rPr>
                <w:rFonts w:hint="eastAsia" w:ascii="宋体" w:hAnsi="宋体" w:eastAsia="宋体" w:cs="宋体"/>
                <w:sz w:val="21"/>
                <w:szCs w:val="21"/>
                <w:highlight w:val="none"/>
                <w:lang w:val="en-US" w:eastAsia="zh-CN"/>
              </w:rPr>
              <w:t>发行人</w:t>
            </w:r>
            <w:r>
              <w:rPr>
                <w:rFonts w:hint="eastAsia" w:ascii="宋体" w:hAnsi="宋体" w:eastAsia="宋体" w:cs="宋体"/>
                <w:sz w:val="21"/>
                <w:szCs w:val="21"/>
                <w:highlight w:val="none"/>
              </w:rPr>
              <w:t>阶段性进程的重要事件。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lef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申请文件编制指引</w:t>
            </w:r>
            <w:r>
              <w:rPr>
                <w:rFonts w:hint="eastAsia" w:ascii="宋体" w:hAnsi="宋体" w:eastAsia="宋体" w:cs="宋体"/>
                <w:sz w:val="21"/>
                <w:szCs w:val="21"/>
                <w:highlight w:val="none"/>
              </w:rPr>
              <w:t>》第三章第</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节 募集说明书编制要求</w:t>
            </w:r>
            <w:r>
              <w:rPr>
                <w:rFonts w:hint="eastAsia" w:ascii="宋体" w:hAnsi="宋体" w:eastAsia="宋体" w:cs="宋体"/>
                <w:sz w:val="21"/>
                <w:szCs w:val="21"/>
                <w:highlight w:val="none"/>
                <w:lang w:val="en-US" w:eastAsia="zh-CN"/>
              </w:rPr>
              <w:t xml:space="preserve"> 第四十五条</w:t>
            </w:r>
          </w:p>
        </w:tc>
        <w:tc>
          <w:tcPr>
            <w:tcW w:w="0" w:type="auto"/>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发行人应当简要披露治理结构、组织机构设置和运行情况，以及财务管理、关联交易、信息披露等内部管理制度的建立和运行情况。</w:t>
            </w:r>
          </w:p>
        </w:tc>
        <w:tc>
          <w:tcPr>
            <w:tcW w:w="0" w:type="auto"/>
            <w:tcBorders>
              <w:righ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原则上可以结论性披露前述机制设置和运行情况，针对性披露前述机制存在特殊或运行异常情况。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p>
        </w:tc>
        <w:tc>
          <w:tcPr>
            <w:tcW w:w="0" w:type="auto"/>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发行人应当披露与控股股东、实际控制人之间在资产、人员、机构、财务、业务经营等方面的相互独立情况。</w:t>
            </w:r>
          </w:p>
        </w:tc>
        <w:tc>
          <w:tcPr>
            <w:tcW w:w="0" w:type="auto"/>
            <w:tcBorders>
              <w:righ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原则上可以结论性披露前述情况。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申请文件编制指引</w:t>
            </w:r>
            <w:r>
              <w:rPr>
                <w:rFonts w:hint="eastAsia" w:ascii="宋体" w:hAnsi="宋体" w:eastAsia="宋体" w:cs="宋体"/>
                <w:sz w:val="21"/>
                <w:szCs w:val="21"/>
                <w:highlight w:val="none"/>
              </w:rPr>
              <w:t>》第三章第</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节 募集说明书编制要求</w:t>
            </w:r>
            <w:r>
              <w:rPr>
                <w:rFonts w:hint="eastAsia" w:ascii="宋体" w:hAnsi="宋体" w:eastAsia="宋体" w:cs="宋体"/>
                <w:sz w:val="21"/>
                <w:szCs w:val="21"/>
                <w:highlight w:val="none"/>
                <w:lang w:val="en-US" w:eastAsia="zh-CN"/>
              </w:rPr>
              <w:t xml:space="preserve"> 第四十六条</w:t>
            </w:r>
          </w:p>
        </w:tc>
        <w:tc>
          <w:tcPr>
            <w:tcW w:w="0" w:type="auto"/>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发行人应当列表披露现任董事、监事、高级管理人员的基本情况，包括但不限于姓名、现任职务和任期（如有），并对董事、监事、高级管理人员设置是否符合《公司法》等法律法规以及公司章程进行说明。</w:t>
            </w:r>
          </w:p>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发行人董事、监事、高级管理人员涉嫌重大违纪违法的，发行人应当充分说明并披露相关事项。</w:t>
            </w:r>
          </w:p>
        </w:tc>
        <w:tc>
          <w:tcPr>
            <w:tcW w:w="0" w:type="auto"/>
            <w:tcBorders>
              <w:righ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原则上无需披露现任董事、监事、高级管理人员的简历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针对性披露发行人董事、监事、高级管理人员涉嫌重大违纪违法情况。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申请文件编制指引</w:t>
            </w:r>
            <w:r>
              <w:rPr>
                <w:rFonts w:hint="eastAsia" w:ascii="宋体" w:hAnsi="宋体" w:eastAsia="宋体" w:cs="宋体"/>
                <w:sz w:val="21"/>
                <w:szCs w:val="21"/>
                <w:highlight w:val="none"/>
              </w:rPr>
              <w:t>》第三章第</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节 募集说明书编制要求</w:t>
            </w:r>
            <w:r>
              <w:rPr>
                <w:rFonts w:hint="eastAsia" w:ascii="宋体" w:hAnsi="宋体" w:eastAsia="宋体" w:cs="宋体"/>
                <w:sz w:val="21"/>
                <w:szCs w:val="21"/>
                <w:highlight w:val="none"/>
                <w:lang w:val="en-US" w:eastAsia="zh-CN"/>
              </w:rPr>
              <w:t xml:space="preserve"> 第五十四条</w:t>
            </w:r>
          </w:p>
        </w:tc>
        <w:tc>
          <w:tcPr>
            <w:tcW w:w="0" w:type="auto"/>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发行人应当披露最近三年和最近一期财务会计信息和主要财务指标</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财务指标包括但不限于偿债能力指标、盈利能力指标、运营效率指标。发行人应当对可能影响投资者理解公司财务状况、经营业绩和现金流量情况等信息加以说明。</w:t>
            </w:r>
          </w:p>
        </w:tc>
        <w:tc>
          <w:tcPr>
            <w:tcW w:w="0" w:type="auto"/>
            <w:tcBorders>
              <w:righ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发行人可以按照附件</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中主要财务数据和财务指标表的格式</w:t>
            </w:r>
            <w:r>
              <w:rPr>
                <w:rFonts w:hint="eastAsia" w:ascii="宋体" w:hAnsi="宋体" w:eastAsia="宋体" w:cs="宋体"/>
                <w:sz w:val="21"/>
                <w:szCs w:val="21"/>
                <w:highlight w:val="none"/>
                <w:lang w:eastAsia="zh-CN"/>
              </w:rPr>
              <w:t>对主要财务指标</w:t>
            </w:r>
            <w:r>
              <w:rPr>
                <w:rFonts w:hint="eastAsia" w:ascii="宋体" w:hAnsi="宋体" w:eastAsia="宋体" w:cs="宋体"/>
                <w:sz w:val="21"/>
                <w:szCs w:val="21"/>
                <w:highlight w:val="none"/>
              </w:rPr>
              <w:t>进行简要披露。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申请文件编制指引</w:t>
            </w:r>
            <w:r>
              <w:rPr>
                <w:rFonts w:hint="eastAsia" w:ascii="宋体" w:hAnsi="宋体" w:eastAsia="宋体" w:cs="宋体"/>
                <w:sz w:val="21"/>
                <w:szCs w:val="21"/>
                <w:highlight w:val="none"/>
              </w:rPr>
              <w:t>》第三章第</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节 募集说明书编制要求</w:t>
            </w:r>
            <w:r>
              <w:rPr>
                <w:rFonts w:hint="eastAsia" w:ascii="宋体" w:hAnsi="宋体" w:eastAsia="宋体" w:cs="宋体"/>
                <w:sz w:val="21"/>
                <w:szCs w:val="21"/>
                <w:highlight w:val="none"/>
                <w:lang w:val="en-US" w:eastAsia="zh-CN"/>
              </w:rPr>
              <w:t xml:space="preserve"> 第五十九条</w:t>
            </w:r>
          </w:p>
        </w:tc>
        <w:tc>
          <w:tcPr>
            <w:tcW w:w="0" w:type="auto"/>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发行人应当披露截至最近一期末的其他事项，包括但不限于下列内容：</w:t>
            </w:r>
          </w:p>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（一）对外担保余额及其占总资产的比例；</w:t>
            </w:r>
          </w:p>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（二）资产存在的抵押、质押、担保和其他具有可对抗第三人的优先偿付负债情况；</w:t>
            </w:r>
          </w:p>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（三）未决诉讼、仲裁等重大或有事项或者承诺事项，以及相关或有事项预计负债计提情况及其充分性。</w:t>
            </w:r>
          </w:p>
        </w:tc>
        <w:tc>
          <w:tcPr>
            <w:tcW w:w="0" w:type="auto"/>
            <w:vMerge w:val="restart"/>
            <w:tcBorders>
              <w:right w:val="single" w:color="auto" w:sz="12" w:space="0"/>
            </w:tcBorders>
            <w:vAlign w:val="top"/>
          </w:tcPr>
          <w:p>
            <w:pPr>
              <w:pStyle w:val="2"/>
              <w:spacing w:line="240" w:lineRule="auto"/>
              <w:rPr>
                <w:rFonts w:hint="eastAsia" w:ascii="宋体" w:hAnsi="宋体" w:eastAsia="宋体" w:cs="宋体"/>
                <w:sz w:val="21"/>
                <w:szCs w:val="21"/>
              </w:rPr>
            </w:pPr>
            <w:r>
              <w:rPr>
                <w:rFonts w:hint="eastAsia" w:ascii="宋体" w:hAnsi="宋体" w:eastAsia="宋体" w:cs="宋体"/>
                <w:kern w:val="2"/>
                <w:sz w:val="21"/>
                <w:szCs w:val="21"/>
                <w:highlight w:val="none"/>
                <w:lang w:val="en-US" w:eastAsia="zh-CN" w:bidi="ar-SA"/>
              </w:rPr>
              <w:t>在载明截至募集说明书签署日无重大不利变化的前提下，对外担保、资产受限、重大或有事项</w:t>
            </w:r>
            <w:r>
              <w:rPr>
                <w:rFonts w:hint="eastAsia" w:ascii="宋体" w:hAnsi="宋体" w:cs="宋体"/>
                <w:kern w:val="2"/>
                <w:sz w:val="21"/>
                <w:szCs w:val="21"/>
                <w:highlight w:val="none"/>
                <w:lang w:val="en-US" w:eastAsia="zh-CN" w:bidi="ar-SA"/>
              </w:rPr>
              <w:t>或者</w:t>
            </w:r>
            <w:r>
              <w:rPr>
                <w:rFonts w:hint="eastAsia" w:ascii="宋体" w:hAnsi="宋体" w:eastAsia="宋体" w:cs="宋体"/>
                <w:kern w:val="2"/>
                <w:sz w:val="21"/>
                <w:szCs w:val="21"/>
                <w:highlight w:val="none"/>
                <w:lang w:val="en-US" w:eastAsia="zh-CN" w:bidi="ar-SA"/>
              </w:rPr>
              <w:t>承诺事项、金融机构授信和使用情况可以仅披露至最近一个会计年度期末。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申请文件编制指引</w:t>
            </w:r>
            <w:r>
              <w:rPr>
                <w:rFonts w:hint="eastAsia" w:ascii="宋体" w:hAnsi="宋体" w:eastAsia="宋体" w:cs="宋体"/>
                <w:sz w:val="21"/>
                <w:szCs w:val="21"/>
                <w:highlight w:val="none"/>
              </w:rPr>
              <w:t>》第三章第</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节 募集说明书编制要求</w:t>
            </w:r>
            <w:r>
              <w:rPr>
                <w:rFonts w:hint="eastAsia" w:ascii="宋体" w:hAnsi="宋体" w:eastAsia="宋体" w:cs="宋体"/>
                <w:sz w:val="21"/>
                <w:szCs w:val="21"/>
                <w:highlight w:val="none"/>
                <w:lang w:val="en-US" w:eastAsia="zh-CN"/>
              </w:rPr>
              <w:t xml:space="preserve"> 第六十二条</w:t>
            </w:r>
          </w:p>
        </w:tc>
        <w:tc>
          <w:tcPr>
            <w:tcW w:w="0" w:type="auto"/>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发行人应当披露截至最近一期末合并报表范围内获得的主要贷款银行等金融机构的授信和使用情况</w:t>
            </w:r>
            <w:r>
              <w:rPr>
                <w:rFonts w:hint="eastAsia" w:ascii="宋体" w:hAnsi="宋体" w:eastAsia="宋体" w:cs="宋体"/>
                <w:sz w:val="21"/>
                <w:szCs w:val="21"/>
                <w:highlight w:val="none"/>
                <w:lang w:val="en-US" w:eastAsia="zh-CN"/>
              </w:rPr>
              <w:t>……</w:t>
            </w:r>
          </w:p>
        </w:tc>
        <w:tc>
          <w:tcPr>
            <w:tcW w:w="0" w:type="auto"/>
            <w:vMerge w:val="continue"/>
            <w:tcBorders>
              <w:right w:val="single" w:color="auto" w:sz="12" w:space="0"/>
            </w:tcBorders>
            <w:vAlign w:val="top"/>
          </w:tcPr>
          <w:p>
            <w:pPr>
              <w:pStyle w:val="2"/>
              <w:spacing w:line="240" w:lineRule="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12" w:space="0"/>
              <w:bottom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《深圳证券交易所公司债券发行上市审核业务指南第1号——募集说明书（参考文本）（202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年修订）》</w:t>
            </w:r>
            <w:bookmarkStart w:id="0" w:name="_Toc129596649"/>
            <w:r>
              <w:rPr>
                <w:rFonts w:hint="eastAsia" w:ascii="宋体" w:hAnsi="宋体" w:eastAsia="宋体" w:cs="宋体"/>
                <w:kern w:val="2"/>
                <w:sz w:val="21"/>
                <w:szCs w:val="21"/>
                <w:highlight w:val="none"/>
              </w:rPr>
              <w:t>第三节 募集资金运用</w:t>
            </w:r>
            <w:bookmarkEnd w:id="0"/>
          </w:p>
        </w:tc>
        <w:tc>
          <w:tcPr>
            <w:tcW w:w="0" w:type="auto"/>
            <w:tcBorders>
              <w:bottom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募集资金运用对发行人财务状况的影响</w:t>
            </w:r>
          </w:p>
        </w:tc>
        <w:tc>
          <w:tcPr>
            <w:tcW w:w="0" w:type="auto"/>
            <w:tcBorders>
              <w:bottom w:val="single" w:color="auto" w:sz="12" w:space="0"/>
              <w:right w:val="single" w:color="auto" w:sz="12" w:space="0"/>
            </w:tcBorders>
            <w:vAlign w:val="top"/>
          </w:tcPr>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原则上可豁免披露。</w:t>
            </w: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首次申请公开发行公司信用类债券的发行人</w:t>
      </w:r>
      <w:r>
        <w:rPr>
          <w:rFonts w:hint="eastAsia" w:ascii="仿宋" w:hAnsi="仿宋" w:eastAsia="仿宋" w:cs="仿宋"/>
          <w:sz w:val="32"/>
          <w:szCs w:val="32"/>
          <w:lang w:val="en-US" w:eastAsia="zh-CN"/>
        </w:rPr>
        <w:t>不适用本条简明信息披露安排</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一</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优质发行人非公开发行公司债券的，除适用本指南第十条的规定外，还可以参考如下方式简化募集说明书中“发行人基本情况”“</w:t>
      </w:r>
      <w:r>
        <w:rPr>
          <w:rFonts w:hint="eastAsia" w:ascii="仿宋" w:hAnsi="仿宋" w:eastAsia="仿宋" w:cs="仿宋"/>
          <w:sz w:val="32"/>
          <w:szCs w:val="32"/>
          <w:lang w:val="en-US" w:eastAsia="zh-CN"/>
        </w:rPr>
        <w:t>财务会计信息</w:t>
      </w:r>
      <w:r>
        <w:rPr>
          <w:rFonts w:hint="eastAsia" w:ascii="仿宋" w:hAnsi="仿宋" w:eastAsia="仿宋" w:cs="仿宋"/>
          <w:sz w:val="32"/>
          <w:szCs w:val="32"/>
        </w:rPr>
        <w:t>”等章节信息披露。</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3600"/>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tcBorders>
              <w:top w:val="single" w:color="auto" w:sz="12" w:space="0"/>
              <w:left w:val="single" w:color="auto" w:sz="12" w:space="0"/>
            </w:tcBorders>
            <w:vAlign w:val="top"/>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bCs/>
                <w:color w:val="000000"/>
                <w:kern w:val="0"/>
                <w:sz w:val="21"/>
                <w:szCs w:val="21"/>
              </w:rPr>
              <w:t>规则及条款号</w:t>
            </w:r>
          </w:p>
        </w:tc>
        <w:tc>
          <w:tcPr>
            <w:tcW w:w="3600" w:type="dxa"/>
            <w:tcBorders>
              <w:top w:val="single" w:color="auto" w:sz="12" w:space="0"/>
            </w:tcBorders>
            <w:vAlign w:val="top"/>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bCs/>
                <w:color w:val="000000"/>
                <w:kern w:val="0"/>
                <w:sz w:val="21"/>
                <w:szCs w:val="21"/>
              </w:rPr>
              <w:t>规则具体要求</w:t>
            </w:r>
          </w:p>
        </w:tc>
        <w:tc>
          <w:tcPr>
            <w:tcW w:w="2626" w:type="dxa"/>
            <w:tcBorders>
              <w:top w:val="single" w:color="auto" w:sz="12" w:space="0"/>
              <w:right w:val="single" w:color="auto" w:sz="12" w:space="0"/>
            </w:tcBorders>
            <w:vAlign w:val="top"/>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bCs/>
                <w:color w:val="000000"/>
                <w:kern w:val="0"/>
                <w:sz w:val="21"/>
                <w:szCs w:val="21"/>
              </w:rPr>
              <w:t>简化信息披露安排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tcBorders>
              <w:left w:val="single" w:color="auto" w:sz="12" w:space="0"/>
            </w:tcBorders>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申请文件编制指引</w:t>
            </w:r>
            <w:r>
              <w:rPr>
                <w:rFonts w:hint="eastAsia" w:ascii="宋体" w:hAnsi="宋体" w:eastAsia="宋体" w:cs="宋体"/>
                <w:sz w:val="21"/>
                <w:szCs w:val="21"/>
              </w:rPr>
              <w:t>》第三章第</w:t>
            </w:r>
            <w:r>
              <w:rPr>
                <w:rFonts w:hint="eastAsia" w:ascii="宋体" w:hAnsi="宋体" w:eastAsia="宋体" w:cs="宋体"/>
                <w:sz w:val="21"/>
                <w:szCs w:val="21"/>
                <w:lang w:val="en-US" w:eastAsia="zh-CN"/>
              </w:rPr>
              <w:t>一</w:t>
            </w:r>
            <w:r>
              <w:rPr>
                <w:rFonts w:hint="eastAsia" w:ascii="宋体" w:hAnsi="宋体" w:eastAsia="宋体" w:cs="宋体"/>
                <w:sz w:val="21"/>
                <w:szCs w:val="21"/>
              </w:rPr>
              <w:t>节 募集说明书编制要求</w:t>
            </w:r>
            <w:r>
              <w:rPr>
                <w:rFonts w:hint="eastAsia" w:ascii="宋体" w:hAnsi="宋体" w:eastAsia="宋体" w:cs="宋体"/>
                <w:sz w:val="21"/>
                <w:szCs w:val="21"/>
                <w:lang w:val="en-US" w:eastAsia="zh-CN"/>
              </w:rPr>
              <w:t xml:space="preserve"> 第四十四条</w:t>
            </w:r>
          </w:p>
        </w:tc>
        <w:tc>
          <w:tcPr>
            <w:tcW w:w="3600" w:type="dxa"/>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发行人应当披露主要子公司，以及有重要影响的参股公司、合营企业和联营企业等的基本情况、主营业务、最近一年的主要财务数据（包括资产、负债、所有者权益、收入、净利润等）及其重大增减变动的情况和原因。</w:t>
            </w:r>
          </w:p>
        </w:tc>
        <w:tc>
          <w:tcPr>
            <w:tcW w:w="2626" w:type="dxa"/>
            <w:tcBorders>
              <w:right w:val="single" w:color="auto" w:sz="12" w:space="0"/>
            </w:tcBorders>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报告期内，发</w:t>
            </w:r>
            <w:r>
              <w:rPr>
                <w:rFonts w:hint="eastAsia" w:ascii="宋体" w:hAnsi="宋体" w:eastAsia="宋体" w:cs="宋体"/>
                <w:sz w:val="21"/>
                <w:szCs w:val="21"/>
                <w:highlight w:val="none"/>
              </w:rPr>
              <w:t>行人重要的参股公司、合营企业和联营企业不存在对</w:t>
            </w:r>
            <w:r>
              <w:rPr>
                <w:rFonts w:hint="eastAsia" w:ascii="宋体" w:hAnsi="宋体" w:eastAsia="宋体" w:cs="宋体"/>
                <w:sz w:val="21"/>
                <w:szCs w:val="21"/>
                <w:highlight w:val="none"/>
                <w:lang w:eastAsia="zh-CN"/>
              </w:rPr>
              <w:t>发行人</w:t>
            </w:r>
            <w:r>
              <w:rPr>
                <w:rFonts w:hint="eastAsia" w:ascii="宋体" w:hAnsi="宋体" w:eastAsia="宋体" w:cs="宋体"/>
                <w:sz w:val="21"/>
                <w:szCs w:val="21"/>
                <w:highlight w:val="none"/>
                <w:lang w:val="en-US" w:eastAsia="zh-CN"/>
              </w:rPr>
              <w:t>偿债能力</w:t>
            </w:r>
            <w:r>
              <w:rPr>
                <w:rFonts w:hint="eastAsia" w:ascii="宋体" w:hAnsi="宋体" w:eastAsia="宋体" w:cs="宋体"/>
                <w:sz w:val="21"/>
                <w:szCs w:val="21"/>
                <w:highlight w:val="none"/>
              </w:rPr>
              <w:t>造成重大影响的，原则上可以豁免披露上述企</w:t>
            </w:r>
            <w:r>
              <w:rPr>
                <w:rFonts w:hint="eastAsia" w:ascii="宋体" w:hAnsi="宋体" w:eastAsia="宋体" w:cs="宋体"/>
                <w:sz w:val="21"/>
                <w:szCs w:val="21"/>
              </w:rPr>
              <w:t>业的具体情况（持股比例高于50%的除外），格式参见</w:t>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tcBorders>
              <w:left w:val="single" w:color="auto" w:sz="12" w:space="0"/>
            </w:tcBorders>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申请文件编制指引</w:t>
            </w:r>
            <w:r>
              <w:rPr>
                <w:rFonts w:hint="eastAsia" w:ascii="宋体" w:hAnsi="宋体" w:eastAsia="宋体" w:cs="宋体"/>
                <w:sz w:val="21"/>
                <w:szCs w:val="21"/>
              </w:rPr>
              <w:t>》第三章第</w:t>
            </w:r>
            <w:r>
              <w:rPr>
                <w:rFonts w:hint="eastAsia" w:ascii="宋体" w:hAnsi="宋体" w:eastAsia="宋体" w:cs="宋体"/>
                <w:sz w:val="21"/>
                <w:szCs w:val="21"/>
                <w:lang w:val="en-US" w:eastAsia="zh-CN"/>
              </w:rPr>
              <w:t>一</w:t>
            </w:r>
            <w:r>
              <w:rPr>
                <w:rFonts w:hint="eastAsia" w:ascii="宋体" w:hAnsi="宋体" w:eastAsia="宋体" w:cs="宋体"/>
                <w:sz w:val="21"/>
                <w:szCs w:val="21"/>
              </w:rPr>
              <w:t>节 募集说明书编制要求</w:t>
            </w:r>
            <w:r>
              <w:rPr>
                <w:rFonts w:hint="eastAsia" w:ascii="宋体" w:hAnsi="宋体" w:eastAsia="宋体" w:cs="宋体"/>
                <w:sz w:val="21"/>
                <w:szCs w:val="21"/>
                <w:lang w:val="en-US" w:eastAsia="zh-CN"/>
              </w:rPr>
              <w:t xml:space="preserve"> 第四十七条</w:t>
            </w:r>
          </w:p>
        </w:tc>
        <w:tc>
          <w:tcPr>
            <w:tcW w:w="3600" w:type="dxa"/>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发行人应当披露最近一年或者最近一期主营业务收入或者毛利润占比百分之十以上的业务板块运营情况</w:t>
            </w:r>
            <w:r>
              <w:rPr>
                <w:rFonts w:hint="eastAsia" w:ascii="宋体" w:hAnsi="宋体" w:eastAsia="宋体" w:cs="宋体"/>
                <w:sz w:val="21"/>
                <w:szCs w:val="21"/>
                <w:lang w:val="en-US" w:eastAsia="zh-CN"/>
              </w:rPr>
              <w:t>……</w:t>
            </w:r>
          </w:p>
        </w:tc>
        <w:tc>
          <w:tcPr>
            <w:tcW w:w="2626" w:type="dxa"/>
            <w:tcBorders>
              <w:right w:val="single" w:color="auto" w:sz="12" w:space="0"/>
            </w:tcBorders>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发行人报告期内主营业务板块未发生重大变化的，</w:t>
            </w:r>
            <w:r>
              <w:rPr>
                <w:rFonts w:hint="eastAsia" w:ascii="宋体" w:hAnsi="宋体" w:eastAsia="宋体" w:cs="宋体"/>
                <w:strike w:val="0"/>
                <w:sz w:val="21"/>
                <w:szCs w:val="21"/>
              </w:rPr>
              <w:t>应按照</w:t>
            </w:r>
            <w:r>
              <w:rPr>
                <w:rFonts w:hint="eastAsia" w:ascii="宋体" w:hAnsi="宋体" w:eastAsia="宋体" w:cs="宋体"/>
                <w:sz w:val="21"/>
                <w:szCs w:val="21"/>
              </w:rPr>
              <w:t>《</w:t>
            </w:r>
            <w:r>
              <w:rPr>
                <w:rFonts w:hint="eastAsia" w:ascii="宋体" w:hAnsi="宋体" w:eastAsia="宋体" w:cs="宋体"/>
                <w:sz w:val="21"/>
                <w:szCs w:val="21"/>
                <w:lang w:val="en-US" w:eastAsia="zh-CN"/>
              </w:rPr>
              <w:t>申请文件编制指引</w:t>
            </w:r>
            <w:r>
              <w:rPr>
                <w:rFonts w:hint="eastAsia" w:ascii="宋体" w:hAnsi="宋体" w:eastAsia="宋体" w:cs="宋体"/>
                <w:sz w:val="21"/>
                <w:szCs w:val="21"/>
              </w:rPr>
              <w:t>》</w:t>
            </w:r>
            <w:r>
              <w:rPr>
                <w:rFonts w:hint="eastAsia" w:ascii="宋体" w:hAnsi="宋体" w:eastAsia="宋体" w:cs="宋体"/>
                <w:strike w:val="0"/>
                <w:sz w:val="21"/>
                <w:szCs w:val="21"/>
              </w:rPr>
              <w:t>要求，披露</w:t>
            </w:r>
            <w:r>
              <w:rPr>
                <w:rFonts w:hint="eastAsia" w:ascii="宋体" w:hAnsi="宋体" w:eastAsia="宋体" w:cs="宋体"/>
                <w:strike w:val="0"/>
                <w:sz w:val="21"/>
                <w:szCs w:val="21"/>
                <w:lang w:val="en-US" w:eastAsia="zh-CN"/>
              </w:rPr>
              <w:t>主</w:t>
            </w:r>
            <w:r>
              <w:rPr>
                <w:rFonts w:hint="eastAsia" w:ascii="宋体" w:hAnsi="宋体" w:eastAsia="宋体" w:cs="宋体"/>
                <w:strike w:val="0"/>
                <w:sz w:val="21"/>
                <w:szCs w:val="21"/>
              </w:rPr>
              <w:t>营业</w:t>
            </w:r>
            <w:r>
              <w:rPr>
                <w:rFonts w:hint="eastAsia" w:ascii="宋体" w:hAnsi="宋体" w:eastAsia="宋体" w:cs="宋体"/>
                <w:strike w:val="0"/>
                <w:sz w:val="21"/>
                <w:szCs w:val="21"/>
                <w:lang w:val="en-US" w:eastAsia="zh-CN"/>
              </w:rPr>
              <w:t>务</w:t>
            </w:r>
            <w:r>
              <w:rPr>
                <w:rFonts w:hint="eastAsia" w:ascii="宋体" w:hAnsi="宋体" w:eastAsia="宋体" w:cs="宋体"/>
                <w:strike w:val="0"/>
                <w:sz w:val="21"/>
                <w:szCs w:val="21"/>
              </w:rPr>
              <w:t>收入、毛利润及毛利率数据，</w:t>
            </w:r>
            <w:r>
              <w:rPr>
                <w:rFonts w:hint="eastAsia" w:ascii="宋体" w:hAnsi="宋体" w:eastAsia="宋体" w:cs="宋体"/>
                <w:sz w:val="21"/>
                <w:szCs w:val="21"/>
              </w:rPr>
              <w:t>原则上可以仅披露主营业务收入或者毛利润占比百分之</w:t>
            </w:r>
            <w:r>
              <w:rPr>
                <w:rFonts w:hint="eastAsia" w:ascii="宋体" w:hAnsi="宋体" w:eastAsia="宋体" w:cs="宋体"/>
                <w:sz w:val="21"/>
                <w:szCs w:val="21"/>
                <w:lang w:val="en-US" w:eastAsia="zh-CN"/>
              </w:rPr>
              <w:t>二</w:t>
            </w:r>
            <w:r>
              <w:rPr>
                <w:rFonts w:hint="eastAsia" w:ascii="宋体" w:hAnsi="宋体" w:eastAsia="宋体" w:cs="宋体"/>
                <w:sz w:val="21"/>
                <w:szCs w:val="21"/>
              </w:rPr>
              <w:t>十以上的业务板块运营情况，并</w:t>
            </w:r>
            <w:r>
              <w:rPr>
                <w:rFonts w:hint="eastAsia" w:ascii="宋体" w:hAnsi="宋体" w:eastAsia="宋体" w:cs="宋体"/>
                <w:sz w:val="21"/>
                <w:szCs w:val="21"/>
                <w:lang w:val="en-US" w:eastAsia="zh-CN"/>
              </w:rPr>
              <w:t>可</w:t>
            </w:r>
            <w:r>
              <w:rPr>
                <w:rFonts w:hint="eastAsia" w:ascii="宋体" w:hAnsi="宋体" w:eastAsia="宋体" w:cs="宋体"/>
                <w:sz w:val="21"/>
                <w:szCs w:val="21"/>
              </w:rPr>
              <w:t>豁免披露季度或半年度业务运营情况。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tcBorders>
              <w:left w:val="single" w:color="auto" w:sz="12" w:space="0"/>
            </w:tcBorders>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申请文件编制指引</w:t>
            </w:r>
            <w:r>
              <w:rPr>
                <w:rFonts w:hint="eastAsia" w:ascii="宋体" w:hAnsi="宋体" w:eastAsia="宋体" w:cs="宋体"/>
                <w:sz w:val="21"/>
                <w:szCs w:val="21"/>
              </w:rPr>
              <w:t>》第三章第</w:t>
            </w:r>
            <w:r>
              <w:rPr>
                <w:rFonts w:hint="eastAsia" w:ascii="宋体" w:hAnsi="宋体" w:eastAsia="宋体" w:cs="宋体"/>
                <w:sz w:val="21"/>
                <w:szCs w:val="21"/>
                <w:lang w:val="en-US" w:eastAsia="zh-CN"/>
              </w:rPr>
              <w:t>一</w:t>
            </w:r>
            <w:r>
              <w:rPr>
                <w:rFonts w:hint="eastAsia" w:ascii="宋体" w:hAnsi="宋体" w:eastAsia="宋体" w:cs="宋体"/>
                <w:sz w:val="21"/>
                <w:szCs w:val="21"/>
              </w:rPr>
              <w:t>节 募集说明书编制要求</w:t>
            </w:r>
            <w:r>
              <w:rPr>
                <w:rFonts w:hint="eastAsia" w:ascii="宋体" w:hAnsi="宋体" w:eastAsia="宋体" w:cs="宋体"/>
                <w:sz w:val="21"/>
                <w:szCs w:val="21"/>
                <w:lang w:val="en-US" w:eastAsia="zh-CN"/>
              </w:rPr>
              <w:t xml:space="preserve"> 第四十八条</w:t>
            </w:r>
          </w:p>
        </w:tc>
        <w:tc>
          <w:tcPr>
            <w:tcW w:w="3600" w:type="dxa"/>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发行人应当披露所在行业状况、行业地位、面临的主要竞争状况、经营方针和战略以及可以说明其行业地位和经营优势的行业关键指标数据，并说明相关数据来源。</w:t>
            </w:r>
          </w:p>
        </w:tc>
        <w:tc>
          <w:tcPr>
            <w:tcW w:w="2626" w:type="dxa"/>
            <w:tcBorders>
              <w:right w:val="single" w:color="auto" w:sz="12" w:space="0"/>
            </w:tcBorders>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原则上可豁免披露。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tcBorders>
              <w:left w:val="single" w:color="auto" w:sz="12" w:space="0"/>
              <w:bottom w:val="single" w:color="auto" w:sz="12" w:space="0"/>
            </w:tcBorders>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申请文件编制指引</w:t>
            </w:r>
            <w:r>
              <w:rPr>
                <w:rFonts w:hint="eastAsia" w:ascii="宋体" w:hAnsi="宋体" w:eastAsia="宋体" w:cs="宋体"/>
                <w:sz w:val="21"/>
                <w:szCs w:val="21"/>
              </w:rPr>
              <w:t>》第三章第</w:t>
            </w:r>
            <w:r>
              <w:rPr>
                <w:rFonts w:hint="eastAsia" w:ascii="宋体" w:hAnsi="宋体" w:eastAsia="宋体" w:cs="宋体"/>
                <w:sz w:val="21"/>
                <w:szCs w:val="21"/>
                <w:lang w:val="en-US" w:eastAsia="zh-CN"/>
              </w:rPr>
              <w:t>一</w:t>
            </w:r>
            <w:r>
              <w:rPr>
                <w:rFonts w:hint="eastAsia" w:ascii="宋体" w:hAnsi="宋体" w:eastAsia="宋体" w:cs="宋体"/>
                <w:sz w:val="21"/>
                <w:szCs w:val="21"/>
              </w:rPr>
              <w:t>节 募集说明书编制要求</w:t>
            </w:r>
            <w:r>
              <w:rPr>
                <w:rFonts w:hint="eastAsia" w:ascii="宋体" w:hAnsi="宋体" w:eastAsia="宋体" w:cs="宋体"/>
                <w:sz w:val="21"/>
                <w:szCs w:val="21"/>
                <w:lang w:val="en-US" w:eastAsia="zh-CN"/>
              </w:rPr>
              <w:t xml:space="preserve"> 第五十六条</w:t>
            </w:r>
          </w:p>
        </w:tc>
        <w:tc>
          <w:tcPr>
            <w:tcW w:w="3600" w:type="dxa"/>
            <w:tcBorders>
              <w:bottom w:val="single" w:color="auto" w:sz="12" w:space="0"/>
            </w:tcBorders>
            <w:vAlign w:val="top"/>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发行人应当分析最近一年和最近一期末占总资产百分之十以上的资产类报表项目、占总负债百分之十以上的负债类报表项目的构成情况。</w:t>
            </w:r>
          </w:p>
        </w:tc>
        <w:tc>
          <w:tcPr>
            <w:tcW w:w="2626" w:type="dxa"/>
            <w:tcBorders>
              <w:bottom w:val="single" w:color="auto" w:sz="12" w:space="0"/>
              <w:right w:val="single" w:color="auto" w:sz="12" w:space="0"/>
            </w:tcBorders>
            <w:vAlign w:val="top"/>
          </w:tcPr>
          <w:p>
            <w:pPr>
              <w:pStyle w:val="2"/>
              <w:spacing w:line="240"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可以仅披露最近一年和最近一期末占总资产百分之二十以上的资产类报表项目、占总负债百分之二十以上的负债类报表项目的构成情况。</w:t>
            </w:r>
          </w:p>
        </w:tc>
      </w:tr>
    </w:tbl>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二</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color w:val="auto"/>
          <w:sz w:val="32"/>
          <w:szCs w:val="32"/>
          <w:highlight w:val="none"/>
          <w:lang w:val="en-US" w:eastAsia="zh-CN"/>
        </w:rPr>
        <w:t>本所</w:t>
      </w:r>
      <w:r>
        <w:rPr>
          <w:rFonts w:hint="eastAsia" w:ascii="仿宋" w:hAnsi="仿宋" w:eastAsia="仿宋" w:cs="仿宋"/>
          <w:sz w:val="32"/>
          <w:szCs w:val="32"/>
        </w:rPr>
        <w:t>知名成熟发行人按相关规定简化半年度财务数据信息披露的，可以在募集说明书单独章节中以列表形式就主要财务报表科目分析变动情况及变动原因（格式见附件</w:t>
      </w:r>
      <w:r>
        <w:rPr>
          <w:rFonts w:hint="eastAsia" w:ascii="仿宋" w:hAnsi="仿宋" w:eastAsia="仿宋" w:cs="仿宋"/>
          <w:sz w:val="32"/>
          <w:szCs w:val="32"/>
          <w:lang w:val="en-US" w:eastAsia="zh-CN"/>
        </w:rPr>
        <w:t>4</w:t>
      </w:r>
      <w:r>
        <w:rPr>
          <w:rFonts w:hint="eastAsia" w:ascii="仿宋" w:hAnsi="仿宋" w:eastAsia="仿宋" w:cs="仿宋"/>
          <w:sz w:val="32"/>
          <w:szCs w:val="32"/>
        </w:rPr>
        <w:t>）。在载明最近一期末较最近一年末无重大变化的前提下，主要会计科目构成可以仅列示年度情况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三</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优质发行人募集说明书中“发行人基本情况”“</w:t>
      </w:r>
      <w:r>
        <w:rPr>
          <w:rFonts w:hint="eastAsia" w:ascii="仿宋" w:hAnsi="仿宋" w:eastAsia="仿宋" w:cs="仿宋"/>
          <w:sz w:val="32"/>
          <w:szCs w:val="32"/>
          <w:lang w:val="en-US" w:eastAsia="zh-CN"/>
        </w:rPr>
        <w:t>财务会计信息</w:t>
      </w:r>
      <w:r>
        <w:rPr>
          <w:rFonts w:hint="eastAsia" w:ascii="仿宋" w:hAnsi="仿宋" w:eastAsia="仿宋" w:cs="仿宋"/>
          <w:sz w:val="32"/>
          <w:szCs w:val="32"/>
        </w:rPr>
        <w:t>”“发行人</w:t>
      </w:r>
      <w:r>
        <w:rPr>
          <w:rFonts w:hint="eastAsia" w:ascii="仿宋" w:hAnsi="仿宋" w:eastAsia="仿宋" w:cs="仿宋"/>
          <w:sz w:val="32"/>
          <w:szCs w:val="32"/>
          <w:lang w:val="en-US" w:eastAsia="zh-CN"/>
        </w:rPr>
        <w:t>及本次债券的资信</w:t>
      </w:r>
      <w:r>
        <w:rPr>
          <w:rFonts w:hint="eastAsia" w:ascii="仿宋" w:hAnsi="仿宋" w:eastAsia="仿宋" w:cs="仿宋"/>
          <w:sz w:val="32"/>
          <w:szCs w:val="32"/>
        </w:rPr>
        <w:t>状况”等章节内容，已经在公开发行或公开转让的股票或债券的募集说明书、招股说明书、公开转让说明书、上市公告书、定期报告和临时报告等相关监督管理机构规定的信息披露渠道披露过的信息，且不存在重大不利变化或其他特殊情形的，可采用索引的方法披露。</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按照前款规定采用索引方式的，应在相应章节以列表形式概述章节信息披露方式和索引内容查询方式（格式见附件</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索引的内容也是募集说明书的组成部分，发行人、主承销商、证券服务机构及相关人员应对其承担相应的法律责任。</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四</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优质发行人募集资金用于固定资产投资项目，按照《申请文件编制指引》的规定披露项目合法性文件、建设内容、用地情况、资金来源构成等内容的，可以按照下列方式进行简要披露：</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本所</w:t>
      </w:r>
      <w:r>
        <w:rPr>
          <w:rFonts w:hint="eastAsia" w:ascii="仿宋" w:hAnsi="仿宋" w:eastAsia="仿宋" w:cs="仿宋"/>
          <w:sz w:val="32"/>
          <w:szCs w:val="32"/>
        </w:rPr>
        <w:t>知名成熟发行人申报的公司债券（含企业债券）项目，申报阶段无需明确募集资金投向固定资产投资项目的具体使用安排</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（二）优质发行人可以简要概述</w:t>
      </w:r>
      <w:r>
        <w:rPr>
          <w:rFonts w:hint="eastAsia" w:ascii="仿宋" w:hAnsi="仿宋" w:eastAsia="仿宋" w:cs="仿宋"/>
          <w:sz w:val="32"/>
          <w:szCs w:val="32"/>
          <w:lang w:eastAsia="zh-CN"/>
        </w:rPr>
        <w:t>募投项目</w:t>
      </w:r>
      <w:r>
        <w:rPr>
          <w:rFonts w:hint="eastAsia" w:ascii="仿宋" w:hAnsi="仿宋" w:eastAsia="仿宋" w:cs="仿宋"/>
          <w:sz w:val="32"/>
          <w:szCs w:val="32"/>
        </w:rPr>
        <w:t>是否符合国家宏观调控政策、产业政策和固定资产管理法规制度，募投项目建设背景、建设的必要性、经济效益和社会效益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（三）优质发行人原则上可以结论性论述募投项目收入来源、在债券存续期内和运营期内收入、净收益</w:t>
      </w:r>
      <w:r>
        <w:rPr>
          <w:rFonts w:hint="eastAsia" w:ascii="仿宋" w:hAnsi="仿宋" w:eastAsia="仿宋" w:cs="仿宋"/>
          <w:sz w:val="32"/>
          <w:szCs w:val="32"/>
          <w:lang w:val="en-US" w:eastAsia="zh-CN"/>
        </w:rPr>
        <w:t>及测算依据</w:t>
      </w:r>
      <w:r>
        <w:rPr>
          <w:rFonts w:hint="eastAsia" w:ascii="仿宋" w:hAnsi="仿宋" w:eastAsia="仿宋" w:cs="仿宋"/>
          <w:sz w:val="32"/>
          <w:szCs w:val="32"/>
        </w:rPr>
        <w:t>，以及债券存续期内募投项目净收益对项目建设部分公司债券利息的覆盖情况、募投项目运营期内净收益对项目总投资的覆盖情况或者募投项目税后内部财务收益率。</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五</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优质发行人</w:t>
      </w:r>
      <w:r>
        <w:rPr>
          <w:rFonts w:hint="eastAsia" w:ascii="仿宋" w:hAnsi="仿宋" w:eastAsia="仿宋" w:cs="仿宋"/>
          <w:sz w:val="32"/>
          <w:szCs w:val="32"/>
          <w:lang w:eastAsia="zh-CN"/>
        </w:rPr>
        <w:t>可以</w:t>
      </w:r>
      <w:r>
        <w:rPr>
          <w:rFonts w:hint="eastAsia" w:ascii="仿宋" w:hAnsi="仿宋" w:eastAsia="仿宋" w:cs="仿宋"/>
          <w:sz w:val="32"/>
          <w:szCs w:val="32"/>
        </w:rPr>
        <w:t>根据相关规定延长财务数据有效期，已在公开市场披露最新一期财务报告的，发行人可以采用索引的方式，在募集说明书“重大事项提示”章节披露最新一期财务报告查询方式，列示最新一期财务报告主营业务收入、净利润、总资产、净资产等主要财务数据和财务指标，并</w:t>
      </w:r>
      <w:r>
        <w:rPr>
          <w:rFonts w:hint="eastAsia" w:ascii="仿宋" w:hAnsi="仿宋" w:eastAsia="仿宋" w:cs="仿宋"/>
          <w:sz w:val="32"/>
          <w:szCs w:val="32"/>
          <w:highlight w:val="none"/>
        </w:rPr>
        <w:t>在</w:t>
      </w:r>
      <w:r>
        <w:rPr>
          <w:rFonts w:hint="eastAsia" w:ascii="仿宋" w:hAnsi="仿宋" w:eastAsia="仿宋" w:cs="仿宋"/>
          <w:sz w:val="32"/>
          <w:szCs w:val="32"/>
        </w:rPr>
        <w:t>“</w:t>
      </w:r>
      <w:r>
        <w:rPr>
          <w:rFonts w:hint="eastAsia" w:ascii="仿宋" w:hAnsi="仿宋" w:eastAsia="仿宋" w:cs="仿宋"/>
          <w:sz w:val="32"/>
          <w:szCs w:val="32"/>
          <w:lang w:val="en-US" w:eastAsia="zh-CN"/>
        </w:rPr>
        <w:t>财务会计信息</w:t>
      </w:r>
      <w:r>
        <w:rPr>
          <w:rFonts w:hint="eastAsia" w:ascii="仿宋" w:hAnsi="仿宋" w:eastAsia="仿宋" w:cs="仿宋"/>
          <w:sz w:val="32"/>
          <w:szCs w:val="32"/>
        </w:rPr>
        <w:t>”</w:t>
      </w:r>
      <w:r>
        <w:rPr>
          <w:rFonts w:hint="eastAsia" w:ascii="仿宋" w:hAnsi="仿宋" w:eastAsia="仿宋" w:cs="仿宋"/>
          <w:sz w:val="32"/>
          <w:szCs w:val="32"/>
          <w:highlight w:val="none"/>
        </w:rPr>
        <w:t>章节中披露最新一期“主要财务数据和财务指标表”。</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rPr>
        <w:t>第</w:t>
      </w:r>
      <w:r>
        <w:rPr>
          <w:rFonts w:hint="eastAsia" w:ascii="仿宋" w:hAnsi="仿宋" w:eastAsia="仿宋" w:cs="仿宋"/>
          <w:b/>
          <w:sz w:val="32"/>
          <w:szCs w:val="32"/>
        </w:rPr>
        <w:t>十</w:t>
      </w:r>
      <w:r>
        <w:rPr>
          <w:rFonts w:hint="eastAsia" w:ascii="仿宋" w:hAnsi="仿宋" w:eastAsia="仿宋" w:cs="仿宋"/>
          <w:b/>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highlight w:val="none"/>
        </w:rPr>
        <w:t xml:space="preserve"> </w:t>
      </w:r>
      <w:r>
        <w:rPr>
          <w:rFonts w:hint="eastAsia" w:ascii="仿宋" w:hAnsi="仿宋" w:eastAsia="仿宋" w:cs="仿宋"/>
          <w:sz w:val="32"/>
          <w:szCs w:val="32"/>
          <w:highlight w:val="none"/>
        </w:rPr>
        <w:t>本所知</w:t>
      </w:r>
      <w:r>
        <w:rPr>
          <w:rFonts w:hint="eastAsia" w:ascii="仿宋" w:hAnsi="仿宋" w:eastAsia="仿宋" w:cs="仿宋"/>
          <w:sz w:val="32"/>
          <w:szCs w:val="32"/>
        </w:rPr>
        <w:t>名成熟发行人公开发行公司债券，使用年度财务报告向中国证监会提交注册文件的</w:t>
      </w:r>
      <w:r>
        <w:rPr>
          <w:rFonts w:hint="eastAsia" w:ascii="仿宋" w:hAnsi="仿宋" w:eastAsia="仿宋" w:cs="仿宋"/>
          <w:sz w:val="32"/>
          <w:szCs w:val="32"/>
          <w:highlight w:val="none"/>
        </w:rPr>
        <w:t>时点</w:t>
      </w:r>
      <w:r>
        <w:rPr>
          <w:rFonts w:hint="eastAsia" w:ascii="仿宋" w:hAnsi="仿宋" w:eastAsia="仿宋" w:cs="仿宋"/>
          <w:sz w:val="32"/>
          <w:szCs w:val="32"/>
          <w:highlight w:val="none"/>
          <w:lang w:val="en-US" w:eastAsia="zh-CN"/>
        </w:rPr>
        <w:t>可以</w:t>
      </w:r>
      <w:r>
        <w:rPr>
          <w:rFonts w:hint="eastAsia" w:ascii="仿宋" w:hAnsi="仿宋" w:eastAsia="仿宋" w:cs="仿宋"/>
          <w:sz w:val="32"/>
          <w:szCs w:val="32"/>
          <w:highlight w:val="none"/>
        </w:rPr>
        <w:t>延长至当年8月15日，使用半年度财务报告向中国证监会提交注册文件的时点</w:t>
      </w:r>
      <w:r>
        <w:rPr>
          <w:rFonts w:hint="eastAsia" w:ascii="仿宋" w:hAnsi="仿宋" w:eastAsia="仿宋" w:cs="仿宋"/>
          <w:sz w:val="32"/>
          <w:szCs w:val="32"/>
          <w:highlight w:val="none"/>
          <w:lang w:val="en-US" w:eastAsia="zh-CN"/>
        </w:rPr>
        <w:t>可以</w:t>
      </w:r>
      <w:r>
        <w:rPr>
          <w:rFonts w:hint="eastAsia" w:ascii="仿宋" w:hAnsi="仿宋" w:eastAsia="仿宋" w:cs="仿宋"/>
          <w:sz w:val="32"/>
          <w:szCs w:val="32"/>
          <w:highlight w:val="none"/>
        </w:rPr>
        <w:t>延长至次年4月15日。</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rPr>
        <w:t>本所知名成熟发行人非公开发行公司债券，使用年度财务报告提交申请文件完成封卷的时点</w:t>
      </w:r>
      <w:r>
        <w:rPr>
          <w:rFonts w:hint="eastAsia" w:ascii="仿宋" w:hAnsi="仿宋" w:eastAsia="仿宋" w:cs="仿宋"/>
          <w:sz w:val="32"/>
          <w:szCs w:val="32"/>
          <w:highlight w:val="none"/>
          <w:lang w:val="en-US" w:eastAsia="zh-CN"/>
        </w:rPr>
        <w:t>可以</w:t>
      </w:r>
      <w:r>
        <w:rPr>
          <w:rFonts w:hint="eastAsia" w:ascii="仿宋" w:hAnsi="仿宋" w:eastAsia="仿宋" w:cs="仿宋"/>
          <w:sz w:val="32"/>
          <w:szCs w:val="32"/>
          <w:highlight w:val="none"/>
        </w:rPr>
        <w:t>延长至当年8月25日，使用半年度财务报告提交申请文件完成封卷的时点</w:t>
      </w:r>
      <w:r>
        <w:rPr>
          <w:rFonts w:hint="eastAsia" w:ascii="仿宋" w:hAnsi="仿宋" w:eastAsia="仿宋" w:cs="仿宋"/>
          <w:sz w:val="32"/>
          <w:szCs w:val="32"/>
          <w:highlight w:val="none"/>
          <w:lang w:val="en-US" w:eastAsia="zh-CN"/>
        </w:rPr>
        <w:t>可以</w:t>
      </w:r>
      <w:r>
        <w:rPr>
          <w:rFonts w:hint="eastAsia" w:ascii="仿宋" w:hAnsi="仿宋" w:eastAsia="仿宋" w:cs="仿宋"/>
          <w:sz w:val="32"/>
          <w:szCs w:val="32"/>
        </w:rPr>
        <w:t>延长至次年4月25日。</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rPr>
      </w:pPr>
      <w:r>
        <w:rPr>
          <w:rFonts w:hint="eastAsia" w:ascii="仿宋" w:hAnsi="仿宋" w:eastAsia="仿宋" w:cs="仿宋"/>
          <w:sz w:val="32"/>
          <w:szCs w:val="32"/>
          <w:highlight w:val="none"/>
        </w:rPr>
        <w:t>发行人应结合自身融资计划，做好公司债券申报安排。</w:t>
      </w:r>
    </w:p>
    <w:p>
      <w:pPr>
        <w:adjustRightInd w:val="0"/>
        <w:snapToGrid w:val="0"/>
        <w:spacing w:line="560" w:lineRule="exact"/>
        <w:jc w:val="center"/>
        <w:rPr>
          <w:rFonts w:hint="eastAsia" w:ascii="黑体" w:hAnsi="黑体" w:eastAsia="黑体"/>
          <w:b/>
          <w:sz w:val="30"/>
          <w:szCs w:val="30"/>
          <w:highlight w:val="none"/>
        </w:rPr>
      </w:pPr>
      <w:bookmarkStart w:id="1" w:name="_Hlk157369326"/>
    </w:p>
    <w:p>
      <w:pPr>
        <w:adjustRightInd w:val="0"/>
        <w:snapToGrid w:val="0"/>
        <w:spacing w:line="560" w:lineRule="exact"/>
        <w:jc w:val="center"/>
        <w:rPr>
          <w:rFonts w:ascii="黑体" w:hAnsi="黑体" w:eastAsia="黑体"/>
          <w:b w:val="0"/>
          <w:bCs/>
          <w:sz w:val="32"/>
          <w:szCs w:val="32"/>
          <w:highlight w:val="none"/>
        </w:rPr>
      </w:pPr>
      <w:r>
        <w:rPr>
          <w:rFonts w:hint="eastAsia" w:ascii="黑体" w:hAnsi="黑体" w:eastAsia="黑体"/>
          <w:b w:val="0"/>
          <w:bCs/>
          <w:sz w:val="32"/>
          <w:szCs w:val="32"/>
          <w:highlight w:val="none"/>
        </w:rPr>
        <w:t>第四章 公司债券存续期信息披露</w:t>
      </w:r>
      <w:r>
        <w:rPr>
          <w:rFonts w:hint="eastAsia" w:ascii="黑体" w:hAnsi="黑体" w:eastAsia="黑体"/>
          <w:b w:val="0"/>
          <w:bCs/>
          <w:sz w:val="32"/>
          <w:szCs w:val="32"/>
          <w:highlight w:val="none"/>
          <w:lang w:val="en-US" w:eastAsia="zh-CN"/>
        </w:rPr>
        <w:t>简明</w:t>
      </w:r>
      <w:r>
        <w:rPr>
          <w:rFonts w:hint="eastAsia" w:ascii="黑体" w:hAnsi="黑体" w:eastAsia="黑体"/>
          <w:b w:val="0"/>
          <w:bCs/>
          <w:sz w:val="32"/>
          <w:szCs w:val="32"/>
          <w:highlight w:val="none"/>
        </w:rPr>
        <w:t>安排</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七</w:t>
      </w:r>
      <w:r>
        <w:rPr>
          <w:rFonts w:hint="eastAsia" w:ascii="仿宋" w:hAnsi="仿宋" w:eastAsia="仿宋" w:cs="仿宋"/>
          <w:b/>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优质发行人定期报告中发行人经营情况、评级调整情况、合并报表范围重大变化情况（涉及规则条文见附件</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highlight w:val="none"/>
        </w:rPr>
        <w:t>已经在公开发行或公开转让的股票或债券募集说明书、招股说明书、公开转让说明书、上市公告书、定期报告和临时报告等相关监督管理机构规定的信息披露渠道披露过的信息，不存在重大不利变化或其他特殊情形的，</w:t>
      </w:r>
      <w:r>
        <w:rPr>
          <w:rFonts w:hint="eastAsia" w:ascii="仿宋" w:hAnsi="仿宋" w:eastAsia="仿宋" w:cs="仿宋"/>
          <w:sz w:val="32"/>
          <w:szCs w:val="32"/>
        </w:rPr>
        <w:t>可以采用索引的方法进行披露。</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按照前款规定采用索引方式的，应在相应章节以列表形式概述章节信息披露方式和索引内容查询方式（格式见附件</w:t>
      </w:r>
      <w:r>
        <w:rPr>
          <w:rFonts w:hint="eastAsia" w:ascii="仿宋" w:hAnsi="仿宋" w:eastAsia="仿宋" w:cs="仿宋"/>
          <w:sz w:val="32"/>
          <w:szCs w:val="32"/>
          <w:lang w:val="en-US" w:eastAsia="zh-CN"/>
        </w:rPr>
        <w:t>5</w:t>
      </w:r>
      <w:r>
        <w:rPr>
          <w:rFonts w:hint="eastAsia" w:ascii="仿宋" w:hAnsi="仿宋" w:eastAsia="仿宋" w:cs="仿宋"/>
          <w:sz w:val="32"/>
          <w:szCs w:val="32"/>
        </w:rPr>
        <w:t>）。索引的内容也是定期报告的组成部分，发行人及相关人员应对其承担相应的法律责任。</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八</w:t>
      </w:r>
      <w:r>
        <w:rPr>
          <w:rFonts w:hint="eastAsia" w:ascii="仿宋" w:hAnsi="仿宋" w:eastAsia="仿宋" w:cs="仿宋"/>
          <w:b/>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知名成熟发行人、优质上市公司可以在中期报告中豁免披露资产变动情况、非经营性往来占款情况、有息负债情况、利润来源情况（涉及规则条文见附件</w:t>
      </w:r>
      <w:r>
        <w:rPr>
          <w:rFonts w:hint="eastAsia" w:ascii="仿宋" w:hAnsi="仿宋" w:eastAsia="仿宋" w:cs="仿宋"/>
          <w:sz w:val="32"/>
          <w:szCs w:val="32"/>
          <w:lang w:val="en-US" w:eastAsia="zh-CN"/>
        </w:rPr>
        <w:t>6</w:t>
      </w:r>
      <w:r>
        <w:rPr>
          <w:rFonts w:hint="eastAsia" w:ascii="仿宋" w:hAnsi="仿宋" w:eastAsia="仿宋" w:cs="仿宋"/>
          <w:sz w:val="32"/>
          <w:szCs w:val="32"/>
        </w:rPr>
        <w:t>），但是法律法规对上市公司、全国中小企业股份转让系统挂牌公司等另有规定或者相关事项在报告期内发生重大不利变化的除外。</w:t>
      </w:r>
    </w:p>
    <w:bookmarkEnd w:id="1"/>
    <w:p>
      <w:pPr>
        <w:adjustRightInd w:val="0"/>
        <w:snapToGrid w:val="0"/>
        <w:spacing w:line="560" w:lineRule="exact"/>
        <w:jc w:val="center"/>
        <w:rPr>
          <w:rFonts w:ascii="黑体" w:hAnsi="黑体" w:eastAsia="黑体"/>
          <w:b w:val="0"/>
          <w:bCs/>
          <w:sz w:val="32"/>
          <w:szCs w:val="32"/>
        </w:rPr>
      </w:pPr>
      <w:r>
        <w:rPr>
          <w:rFonts w:hint="eastAsia" w:ascii="黑体" w:hAnsi="黑体" w:eastAsia="黑体"/>
          <w:b w:val="0"/>
          <w:bCs/>
          <w:sz w:val="32"/>
          <w:szCs w:val="32"/>
        </w:rPr>
        <w:t>第</w:t>
      </w:r>
      <w:r>
        <w:rPr>
          <w:rFonts w:hint="eastAsia" w:ascii="黑体" w:hAnsi="黑体" w:eastAsia="黑体"/>
          <w:b w:val="0"/>
          <w:bCs/>
          <w:sz w:val="32"/>
          <w:szCs w:val="32"/>
          <w:lang w:val="en-US" w:eastAsia="zh-CN"/>
        </w:rPr>
        <w:t>五</w:t>
      </w:r>
      <w:r>
        <w:rPr>
          <w:rFonts w:hint="eastAsia" w:ascii="黑体" w:hAnsi="黑体" w:eastAsia="黑体"/>
          <w:b w:val="0"/>
          <w:bCs/>
          <w:sz w:val="32"/>
          <w:szCs w:val="32"/>
        </w:rPr>
        <w:t>章 附则</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十九</w:t>
      </w:r>
      <w:r>
        <w:rPr>
          <w:rFonts w:hint="eastAsia" w:ascii="仿宋" w:hAnsi="仿宋" w:eastAsia="仿宋" w:cs="仿宋"/>
          <w:b/>
          <w:sz w:val="32"/>
          <w:szCs w:val="32"/>
        </w:rPr>
        <w:t>条</w:t>
      </w:r>
      <w:r>
        <w:rPr>
          <w:rFonts w:hint="eastAsia" w:ascii="仿宋" w:hAnsi="仿宋" w:eastAsia="仿宋" w:cs="仿宋"/>
          <w:sz w:val="32"/>
          <w:szCs w:val="32"/>
        </w:rPr>
        <w:t xml:space="preserve"> 本指南由本所负责解释。</w:t>
      </w: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二十</w:t>
      </w:r>
      <w:r>
        <w:rPr>
          <w:rFonts w:hint="eastAsia" w:ascii="仿宋" w:hAnsi="仿宋" w:eastAsia="仿宋" w:cs="仿宋"/>
          <w:b/>
          <w:sz w:val="32"/>
          <w:szCs w:val="32"/>
        </w:rPr>
        <w:t xml:space="preserve">条 </w:t>
      </w:r>
      <w:r>
        <w:rPr>
          <w:rFonts w:hint="eastAsia" w:ascii="仿宋" w:hAnsi="仿宋" w:eastAsia="仿宋" w:cs="仿宋"/>
          <w:sz w:val="32"/>
          <w:szCs w:val="32"/>
        </w:rPr>
        <w:t>本指南自发布之日起施行。</w:t>
      </w:r>
    </w:p>
    <w:p>
      <w:pPr>
        <w:adjustRightInd w:val="0"/>
        <w:snapToGrid w:val="0"/>
        <w:spacing w:line="560" w:lineRule="exact"/>
        <w:jc w:val="left"/>
        <w:outlineLvl w:val="0"/>
        <w:rPr>
          <w:rFonts w:ascii="Times New Roman" w:hAnsi="Times New Roman" w:eastAsia="仿宋_GB2312"/>
          <w:color w:val="000000"/>
          <w:kern w:val="0"/>
          <w:sz w:val="32"/>
          <w:szCs w:val="30"/>
          <w:lang w:bidi="en-US"/>
        </w:rPr>
        <w:sectPr>
          <w:headerReference r:id="rId4" w:type="default"/>
          <w:footerReference r:id="rId6" w:type="default"/>
          <w:headerReference r:id="rId5" w:type="even"/>
          <w:footerReference r:id="rId7" w:type="even"/>
          <w:pgSz w:w="11906" w:h="16838"/>
          <w:pgMar w:top="2154"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pPr>
        <w:topLinePunct/>
        <w:adjustRightInd/>
        <w:snapToGrid w:val="0"/>
        <w:spacing w:line="560" w:lineRule="exact"/>
        <w:ind w:firstLine="640" w:firstLineChars="200"/>
        <w:jc w:val="both"/>
        <w:rPr>
          <w:rFonts w:hint="eastAsia" w:ascii="仿宋" w:hAnsi="仿宋" w:eastAsia="仿宋" w:cs="仿宋"/>
          <w:b/>
          <w:bCs/>
          <w:sz w:val="32"/>
          <w:szCs w:val="32"/>
        </w:rPr>
      </w:pPr>
      <w:r>
        <w:rPr>
          <w:rFonts w:hint="eastAsia" w:ascii="仿宋" w:hAnsi="仿宋" w:eastAsia="仿宋" w:cs="仿宋"/>
          <w:b w:val="0"/>
          <w:bCs w:val="0"/>
          <w:sz w:val="32"/>
          <w:szCs w:val="32"/>
        </w:rPr>
        <w:t>附件</w:t>
      </w:r>
      <w:r>
        <w:rPr>
          <w:rFonts w:hint="eastAsia" w:ascii="仿宋" w:hAnsi="仿宋" w:eastAsia="仿宋" w:cs="仿宋"/>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rPr>
      </w:pPr>
      <w:r>
        <w:rPr>
          <w:rFonts w:hint="eastAsia" w:ascii="仿宋" w:hAnsi="仿宋" w:eastAsia="仿宋" w:cs="仿宋"/>
          <w:sz w:val="32"/>
          <w:szCs w:val="40"/>
        </w:rPr>
        <w:t>1.XXX公司关于面向普通/专业投资者公开发行公司债</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仿宋" w:hAnsi="仿宋" w:eastAsia="仿宋" w:cs="仿宋"/>
          <w:sz w:val="32"/>
          <w:szCs w:val="40"/>
          <w:lang w:eastAsia="zh-CN"/>
        </w:rPr>
      </w:pPr>
      <w:r>
        <w:rPr>
          <w:rFonts w:hint="eastAsia" w:ascii="仿宋" w:hAnsi="仿宋" w:eastAsia="仿宋" w:cs="仿宋"/>
          <w:sz w:val="32"/>
          <w:szCs w:val="40"/>
        </w:rPr>
        <w:t>券/企业债券并在</w:t>
      </w:r>
      <w:r>
        <w:rPr>
          <w:rFonts w:hint="eastAsia" w:ascii="仿宋" w:hAnsi="仿宋" w:eastAsia="仿宋" w:cs="仿宋"/>
          <w:sz w:val="32"/>
          <w:szCs w:val="40"/>
          <w:lang w:eastAsia="zh-CN"/>
        </w:rPr>
        <w:t>深圳</w:t>
      </w:r>
      <w:r>
        <w:rPr>
          <w:rFonts w:hint="eastAsia" w:ascii="仿宋" w:hAnsi="仿宋" w:eastAsia="仿宋" w:cs="仿宋"/>
          <w:sz w:val="32"/>
          <w:szCs w:val="40"/>
        </w:rPr>
        <w:t>证券交易所上市的申请</w:t>
      </w:r>
      <w:r>
        <w:rPr>
          <w:rFonts w:hint="eastAsia" w:ascii="仿宋" w:hAnsi="仿宋" w:eastAsia="仿宋" w:cs="仿宋"/>
          <w:sz w:val="32"/>
          <w:szCs w:val="40"/>
          <w:lang w:eastAsia="zh-CN"/>
        </w:rPr>
        <w:t>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.XXX公司关于非公开发行公司债券挂牌</w:t>
      </w:r>
      <w:r>
        <w:rPr>
          <w:rFonts w:hint="eastAsia" w:ascii="仿宋" w:hAnsi="仿宋" w:eastAsia="仿宋" w:cs="仿宋"/>
          <w:sz w:val="32"/>
          <w:szCs w:val="40"/>
          <w:lang w:eastAsia="zh-CN"/>
        </w:rPr>
        <w:t>条件确认</w:t>
      </w:r>
      <w:r>
        <w:rPr>
          <w:rFonts w:hint="eastAsia" w:ascii="仿宋" w:hAnsi="仿宋" w:eastAsia="仿宋" w:cs="仿宋"/>
          <w:sz w:val="32"/>
          <w:szCs w:val="40"/>
        </w:rPr>
        <w:t>的申</w:t>
      </w:r>
    </w:p>
    <w:p>
      <w:pPr>
        <w:keepNext w:val="0"/>
        <w:keepLines w:val="0"/>
        <w:pageBreakBefore w:val="0"/>
        <w:widowControl/>
        <w:kinsoku/>
        <w:wordWrap/>
        <w:overflowPunct/>
        <w:topLinePunct w:val="0"/>
        <w:autoSpaceDE/>
        <w:autoSpaceDN/>
        <w:bidi w:val="0"/>
        <w:adjustRightInd/>
        <w:snapToGrid/>
        <w:spacing w:line="560" w:lineRule="exact"/>
        <w:ind w:left="0" w:leftChars="0" w:firstLine="960" w:firstLineChars="300"/>
        <w:jc w:val="left"/>
        <w:textAlignment w:val="auto"/>
        <w:rPr>
          <w:rFonts w:hint="eastAsia" w:ascii="仿宋" w:hAnsi="仿宋" w:eastAsia="仿宋" w:cs="仿宋"/>
          <w:sz w:val="32"/>
          <w:szCs w:val="40"/>
          <w:lang w:eastAsia="zh-CN"/>
        </w:rPr>
      </w:pPr>
      <w:r>
        <w:rPr>
          <w:rFonts w:hint="eastAsia" w:ascii="仿宋" w:hAnsi="仿宋" w:eastAsia="仿宋" w:cs="仿宋"/>
          <w:sz w:val="32"/>
          <w:szCs w:val="40"/>
        </w:rPr>
        <w:t>请</w:t>
      </w:r>
      <w:r>
        <w:rPr>
          <w:rFonts w:hint="eastAsia" w:ascii="仿宋" w:hAnsi="仿宋" w:eastAsia="仿宋" w:cs="仿宋"/>
          <w:sz w:val="32"/>
          <w:szCs w:val="40"/>
          <w:lang w:eastAsia="zh-CN"/>
        </w:rPr>
        <w:t>书</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.发行人基本情况简要披露参考文本</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.半年度主要财务数据变动情况分析参考文本</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.索引式披露参考格式</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.公司债券存续期监管简化安排涉及规则</w:t>
      </w:r>
    </w:p>
    <w:p>
      <w:pPr>
        <w:keepNext w:val="0"/>
        <w:keepLines w:val="0"/>
        <w:pageBreakBefore w:val="0"/>
        <w:widowControl w:val="0"/>
        <w:kinsoku/>
        <w:wordWrap/>
        <w:overflowPunct/>
        <w:topLinePunct/>
        <w:autoSpaceDE/>
        <w:autoSpaceDN/>
        <w:bidi w:val="0"/>
        <w:adjustRightInd w:val="0"/>
        <w:snapToGrid w:val="0"/>
        <w:spacing w:line="560" w:lineRule="exact"/>
        <w:ind w:firstLine="0" w:firstLineChars="0"/>
        <w:jc w:val="both"/>
        <w:textAlignment w:val="auto"/>
        <w:outlineLvl w:val="0"/>
        <w:rPr>
          <w:rFonts w:hint="eastAsia" w:ascii="仿宋" w:hAnsi="仿宋" w:eastAsia="仿宋" w:cs="仿宋"/>
          <w:b w:val="0"/>
          <w:bCs w:val="0"/>
          <w:color w:val="000000"/>
          <w:kern w:val="0"/>
          <w:sz w:val="32"/>
          <w:szCs w:val="32"/>
          <w:lang w:bidi="en-US"/>
        </w:rPr>
      </w:pPr>
      <w:r>
        <w:rPr>
          <w:rFonts w:ascii="Times New Roman" w:hAnsi="Times New Roman" w:eastAsia="仿宋_GB2312"/>
          <w:color w:val="000000"/>
          <w:kern w:val="0"/>
          <w:sz w:val="32"/>
          <w:szCs w:val="30"/>
          <w:lang w:bidi="en-US"/>
        </w:rPr>
        <w:br w:type="page"/>
      </w:r>
      <w:r>
        <w:rPr>
          <w:rFonts w:hint="eastAsia" w:ascii="黑体" w:hAnsi="黑体" w:eastAsia="黑体" w:cs="黑体"/>
          <w:b w:val="0"/>
          <w:bCs w:val="0"/>
          <w:color w:val="000000"/>
          <w:kern w:val="0"/>
          <w:sz w:val="32"/>
          <w:szCs w:val="32"/>
          <w:lang w:bidi="en-US"/>
        </w:rPr>
        <w:t>附件</w:t>
      </w:r>
      <w:r>
        <w:rPr>
          <w:rFonts w:hint="eastAsia" w:ascii="黑体" w:hAnsi="黑体" w:eastAsia="黑体" w:cs="黑体"/>
          <w:b w:val="0"/>
          <w:bCs w:val="0"/>
          <w:color w:val="000000"/>
          <w:kern w:val="0"/>
          <w:sz w:val="32"/>
          <w:szCs w:val="32"/>
          <w:lang w:val="en-US" w:eastAsia="zh-CN" w:bidi="en-US"/>
        </w:rPr>
        <w:t>1</w:t>
      </w:r>
    </w:p>
    <w:p>
      <w:pPr>
        <w:adjustRightInd w:val="0"/>
        <w:snapToGrid w:val="0"/>
        <w:spacing w:line="560" w:lineRule="exact"/>
        <w:jc w:val="left"/>
        <w:outlineLvl w:val="9"/>
        <w:rPr>
          <w:rFonts w:ascii="Times New Roman" w:hAnsi="Times New Roman" w:eastAsia="仿宋_GB2312"/>
          <w:b w:val="0"/>
          <w:bCs w:val="0"/>
          <w:color w:val="000000"/>
          <w:kern w:val="0"/>
          <w:sz w:val="32"/>
          <w:szCs w:val="30"/>
          <w:lang w:bidi="en-US"/>
        </w:rPr>
      </w:pPr>
    </w:p>
    <w:p>
      <w:pPr>
        <w:keepNext w:val="0"/>
        <w:keepLines w:val="0"/>
        <w:pageBreakBefore w:val="0"/>
        <w:widowControl w:val="0"/>
        <w:kinsoku/>
        <w:wordWrap/>
        <w:overflowPunct/>
        <w:topLinePunct/>
        <w:autoSpaceDE/>
        <w:autoSpaceDN/>
        <w:bidi w:val="0"/>
        <w:adjustRightInd/>
        <w:snapToGrid w:val="0"/>
        <w:spacing w:line="560" w:lineRule="exact"/>
        <w:ind w:firstLine="0"/>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XXX公司文件</w:t>
      </w:r>
    </w:p>
    <w:p>
      <w:pPr>
        <w:adjustRightInd w:val="0"/>
        <w:snapToGrid w:val="0"/>
        <w:jc w:val="righ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XXX[20XX]XX号</w:t>
      </w:r>
    </w:p>
    <w:p>
      <w:pPr>
        <w:adjustRightInd w:val="0"/>
        <w:snapToGrid w:val="0"/>
        <w:spacing w:before="120" w:after="120"/>
        <w:ind w:firstLine="200"/>
        <w:rPr>
          <w:rFonts w:ascii="Times New Roman" w:hAnsi="Times New Roman" w:eastAsia="仿宋_GB2312"/>
          <w:color w:val="000000"/>
          <w:sz w:val="24"/>
        </w:rPr>
      </w:pPr>
      <w:r>
        <w:rPr>
          <w:rFonts w:ascii="Times New Roman" w:hAnsi="Times New Roman" w:eastAsia="仿宋_GB2312"/>
          <w:color w:val="000000"/>
          <w:sz w:val="24"/>
        </w:rPr>
        <w:t>_________________________________________________________________</w:t>
      </w:r>
    </w:p>
    <w:p>
      <w:pPr>
        <w:adjustRightInd w:val="0"/>
        <w:snapToGrid w:val="0"/>
        <w:jc w:val="center"/>
        <w:rPr>
          <w:rFonts w:ascii="方正大标宋简体" w:hAnsi="黑体" w:eastAsia="方正大标宋简体"/>
          <w:sz w:val="42"/>
          <w:szCs w:val="42"/>
        </w:rPr>
      </w:pPr>
    </w:p>
    <w:p>
      <w:pPr>
        <w:adjustRightInd w:val="0"/>
        <w:snapToGrid w:val="0"/>
        <w:jc w:val="center"/>
        <w:rPr>
          <w:rFonts w:hint="eastAsia" w:ascii="黑体" w:hAnsi="黑体" w:eastAsia="黑体"/>
          <w:b/>
          <w:sz w:val="44"/>
          <w:szCs w:val="44"/>
          <w:lang w:eastAsia="zh-CN"/>
        </w:rPr>
      </w:pPr>
      <w:r>
        <w:rPr>
          <w:rFonts w:hint="eastAsia" w:ascii="方正小标宋简体" w:hAnsi="方正小标宋简体" w:eastAsia="方正小标宋简体" w:cs="方正小标宋简体"/>
          <w:b w:val="0"/>
          <w:bCs/>
          <w:sz w:val="44"/>
          <w:szCs w:val="44"/>
        </w:rPr>
        <w:t>XXX公司关于面向普通/专业投资者公开发行公司债券/企业债券并在</w:t>
      </w:r>
      <w:r>
        <w:rPr>
          <w:rFonts w:hint="eastAsia" w:ascii="方正小标宋简体" w:hAnsi="方正小标宋简体" w:eastAsia="方正小标宋简体" w:cs="方正小标宋简体"/>
          <w:b w:val="0"/>
          <w:bCs/>
          <w:sz w:val="44"/>
          <w:szCs w:val="44"/>
          <w:lang w:val="en-US" w:eastAsia="zh-CN"/>
        </w:rPr>
        <w:t>深圳</w:t>
      </w:r>
      <w:r>
        <w:rPr>
          <w:rFonts w:hint="eastAsia" w:ascii="方正小标宋简体" w:hAnsi="方正小标宋简体" w:eastAsia="方正小标宋简体" w:cs="方正小标宋简体"/>
          <w:b w:val="0"/>
          <w:bCs/>
          <w:sz w:val="44"/>
          <w:szCs w:val="44"/>
        </w:rPr>
        <w:t>证券交易所</w:t>
      </w:r>
      <w:r>
        <w:rPr>
          <w:rFonts w:hint="eastAsia" w:ascii="方正小标宋简体" w:hAnsi="方正小标宋简体" w:eastAsia="方正小标宋简体" w:cs="方正小标宋简体"/>
          <w:b w:val="0"/>
          <w:bCs/>
          <w:sz w:val="44"/>
          <w:szCs w:val="44"/>
          <w:highlight w:val="none"/>
        </w:rPr>
        <w:t>上市的申请</w:t>
      </w:r>
      <w:r>
        <w:rPr>
          <w:rFonts w:hint="eastAsia" w:ascii="方正小标宋简体" w:hAnsi="方正小标宋简体" w:eastAsia="方正小标宋简体" w:cs="方正小标宋简体"/>
          <w:b w:val="0"/>
          <w:bCs/>
          <w:sz w:val="44"/>
          <w:szCs w:val="44"/>
          <w:lang w:eastAsia="zh-CN"/>
        </w:rPr>
        <w:t>报告</w:t>
      </w:r>
    </w:p>
    <w:p>
      <w:pPr>
        <w:keepNext w:val="0"/>
        <w:keepLines w:val="0"/>
        <w:pageBreakBefore w:val="0"/>
        <w:widowControl w:val="0"/>
        <w:kinsoku/>
        <w:wordWrap/>
        <w:overflowPunct/>
        <w:topLinePunct/>
        <w:autoSpaceDE/>
        <w:autoSpaceDN/>
        <w:bidi w:val="0"/>
        <w:adjustRightInd/>
        <w:snapToGrid w:val="0"/>
        <w:spacing w:line="560" w:lineRule="exact"/>
        <w:ind w:firstLine="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深圳</w:t>
      </w:r>
      <w:r>
        <w:rPr>
          <w:rFonts w:hint="eastAsia" w:ascii="仿宋" w:hAnsi="仿宋" w:eastAsia="仿宋" w:cs="仿宋"/>
          <w:color w:val="000000"/>
          <w:sz w:val="32"/>
          <w:szCs w:val="32"/>
        </w:rPr>
        <w:t>证券交易所：</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中华人民共和国公司法》（以下简称《公司法》）、《中华人民共和国证券法》（以下简称《证券法》）、《公司债券发行与交易管理办法》等法律法规的规定，本公司拟申请公开发行规模不超过人民币XX亿元的公司债券/企业债券（以下简称本次债券）。本次债券经</w:t>
      </w:r>
      <w:r>
        <w:rPr>
          <w:rFonts w:hint="eastAsia" w:ascii="仿宋" w:hAnsi="仿宋" w:eastAsia="仿宋" w:cs="仿宋"/>
          <w:color w:val="000000"/>
          <w:sz w:val="32"/>
          <w:szCs w:val="32"/>
          <w:lang w:val="en-US" w:eastAsia="zh-CN"/>
        </w:rPr>
        <w:t>深圳</w:t>
      </w:r>
      <w:r>
        <w:rPr>
          <w:rFonts w:hint="eastAsia" w:ascii="仿宋" w:hAnsi="仿宋" w:eastAsia="仿宋" w:cs="仿宋"/>
          <w:color w:val="000000"/>
          <w:sz w:val="32"/>
          <w:szCs w:val="32"/>
        </w:rPr>
        <w:t>证券交易所审核同意并经中国证券监督管理委员会注册后，将组织发行并申请在</w:t>
      </w:r>
      <w:r>
        <w:rPr>
          <w:rFonts w:hint="eastAsia" w:ascii="仿宋" w:hAnsi="仿宋" w:eastAsia="仿宋" w:cs="仿宋"/>
          <w:color w:val="000000"/>
          <w:sz w:val="32"/>
          <w:szCs w:val="32"/>
          <w:lang w:val="en-US" w:eastAsia="zh-CN"/>
        </w:rPr>
        <w:t>深圳</w:t>
      </w:r>
      <w:r>
        <w:rPr>
          <w:rFonts w:hint="eastAsia" w:ascii="仿宋" w:hAnsi="仿宋" w:eastAsia="仿宋" w:cs="仿宋"/>
          <w:color w:val="000000"/>
          <w:sz w:val="32"/>
          <w:szCs w:val="32"/>
        </w:rPr>
        <w:t>证券交易所上市。现将本次债券上市申请的有关情况报告如下：</w:t>
      </w:r>
    </w:p>
    <w:p>
      <w:pPr>
        <w:tabs>
          <w:tab w:val="left" w:pos="756"/>
        </w:tabs>
        <w:spacing w:line="360" w:lineRule="auto"/>
        <w:ind w:firstLine="640" w:firstLineChars="200"/>
        <w:textAlignment w:val="baseline"/>
        <w:outlineLvl w:val="9"/>
        <w:rPr>
          <w:rFonts w:ascii="黑体" w:hAnsi="黑体" w:eastAsia="黑体"/>
          <w:b w:val="0"/>
          <w:bCs/>
          <w:kern w:val="0"/>
          <w:sz w:val="32"/>
          <w:szCs w:val="32"/>
        </w:rPr>
      </w:pPr>
      <w:r>
        <w:rPr>
          <w:rFonts w:hint="eastAsia" w:ascii="黑体" w:hAnsi="黑体" w:eastAsia="黑体"/>
          <w:b w:val="0"/>
          <w:bCs/>
          <w:kern w:val="0"/>
          <w:sz w:val="32"/>
          <w:szCs w:val="32"/>
        </w:rPr>
        <w:t>一、本次公司</w:t>
      </w:r>
      <w:r>
        <w:rPr>
          <w:rFonts w:ascii="黑体" w:hAnsi="黑体" w:eastAsia="黑体"/>
          <w:b w:val="0"/>
          <w:bCs/>
          <w:kern w:val="0"/>
          <w:sz w:val="32"/>
          <w:szCs w:val="32"/>
        </w:rPr>
        <w:t>债券发行方</w:t>
      </w:r>
      <w:r>
        <w:rPr>
          <w:rFonts w:hint="eastAsia" w:ascii="黑体" w:hAnsi="黑体" w:eastAsia="黑体"/>
          <w:b w:val="0"/>
          <w:bCs/>
          <w:kern w:val="0"/>
          <w:sz w:val="32"/>
          <w:szCs w:val="32"/>
        </w:rPr>
        <w:t>案</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pc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内部授权情况</w:t>
            </w:r>
          </w:p>
        </w:tc>
        <w:tc>
          <w:tcPr>
            <w:tcW w:w="3356" w:type="pct"/>
            <w:vAlign w:val="center"/>
          </w:tcPr>
          <w:p>
            <w:pPr>
              <w:adjustRightInd w:val="0"/>
              <w:snapToGrid w:val="0"/>
              <w:spacing w:line="240" w:lineRule="auto"/>
              <w:jc w:val="both"/>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pc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发行规模（亿元）</w:t>
            </w:r>
          </w:p>
        </w:tc>
        <w:tc>
          <w:tcPr>
            <w:tcW w:w="3356" w:type="pct"/>
            <w:vAlign w:val="center"/>
          </w:tcPr>
          <w:p>
            <w:pPr>
              <w:adjustRightInd w:val="0"/>
              <w:snapToGrid w:val="0"/>
              <w:spacing w:line="240" w:lineRule="auto"/>
              <w:jc w:val="both"/>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pc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债券品种</w:t>
            </w:r>
          </w:p>
        </w:tc>
        <w:tc>
          <w:tcPr>
            <w:tcW w:w="3356" w:type="pct"/>
            <w:vAlign w:val="center"/>
          </w:tcPr>
          <w:p>
            <w:pPr>
              <w:adjustRightInd w:val="0"/>
              <w:snapToGrid w:val="0"/>
              <w:spacing w:line="240" w:lineRule="auto"/>
              <w:jc w:val="both"/>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pc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担保情况</w:t>
            </w:r>
          </w:p>
        </w:tc>
        <w:tc>
          <w:tcPr>
            <w:tcW w:w="3356" w:type="pct"/>
            <w:vAlign w:val="center"/>
          </w:tcPr>
          <w:p>
            <w:pPr>
              <w:adjustRightInd w:val="0"/>
              <w:snapToGrid w:val="0"/>
              <w:spacing w:line="240" w:lineRule="auto"/>
              <w:jc w:val="both"/>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pc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信用级别及资信评级机构</w:t>
            </w:r>
          </w:p>
        </w:tc>
        <w:tc>
          <w:tcPr>
            <w:tcW w:w="3356" w:type="pct"/>
            <w:vAlign w:val="center"/>
          </w:tcPr>
          <w:p>
            <w:pPr>
              <w:adjustRightInd w:val="0"/>
              <w:snapToGrid w:val="0"/>
              <w:spacing w:line="240" w:lineRule="auto"/>
              <w:jc w:val="both"/>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pc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主承销商</w:t>
            </w:r>
          </w:p>
        </w:tc>
        <w:tc>
          <w:tcPr>
            <w:tcW w:w="3356" w:type="pct"/>
            <w:vAlign w:val="center"/>
          </w:tcPr>
          <w:p>
            <w:pPr>
              <w:adjustRightInd w:val="0"/>
              <w:snapToGrid w:val="0"/>
              <w:spacing w:line="240" w:lineRule="auto"/>
              <w:jc w:val="both"/>
              <w:rPr>
                <w:rFonts w:hint="eastAsia" w:ascii="宋体" w:hAnsi="宋体" w:eastAsia="宋体" w:cs="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pc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受托管理人</w:t>
            </w:r>
          </w:p>
        </w:tc>
        <w:tc>
          <w:tcPr>
            <w:tcW w:w="3356" w:type="pct"/>
            <w:vAlign w:val="center"/>
          </w:tcPr>
          <w:p>
            <w:pPr>
              <w:adjustRightInd w:val="0"/>
              <w:snapToGrid w:val="0"/>
              <w:spacing w:line="240" w:lineRule="auto"/>
              <w:jc w:val="both"/>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pc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募集资金用途</w:t>
            </w:r>
          </w:p>
        </w:tc>
        <w:tc>
          <w:tcPr>
            <w:tcW w:w="3356" w:type="pct"/>
            <w:vAlign w:val="center"/>
          </w:tcPr>
          <w:p>
            <w:pPr>
              <w:tabs>
                <w:tab w:val="left" w:pos="3600"/>
              </w:tabs>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（募集资金用途如包括借新还旧公司债券或偿还债务融资工具的，需单独列示）</w:t>
            </w:r>
          </w:p>
        </w:tc>
      </w:tr>
    </w:tbl>
    <w:p>
      <w:pPr>
        <w:tabs>
          <w:tab w:val="left" w:pos="756"/>
        </w:tabs>
        <w:spacing w:line="600" w:lineRule="exact"/>
        <w:ind w:firstLine="640" w:firstLineChars="200"/>
        <w:textAlignment w:val="baseline"/>
        <w:outlineLvl w:val="9"/>
        <w:rPr>
          <w:rFonts w:ascii="黑体" w:hAnsi="黑体" w:eastAsia="黑体"/>
          <w:b w:val="0"/>
          <w:bCs/>
          <w:kern w:val="0"/>
          <w:sz w:val="32"/>
          <w:szCs w:val="32"/>
        </w:rPr>
      </w:pPr>
      <w:r>
        <w:rPr>
          <w:rFonts w:hint="eastAsia" w:ascii="黑体" w:hAnsi="黑体" w:eastAsia="黑体"/>
          <w:b w:val="0"/>
          <w:bCs/>
          <w:kern w:val="0"/>
          <w:sz w:val="32"/>
          <w:szCs w:val="32"/>
        </w:rPr>
        <w:t>二、发行人概况</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公司中文名称</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统一社会信用代码</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注册资本</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法定代表人</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成立日期</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注册地址</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所属行业</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控股股东</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实际控制人</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是否为上市公司</w:t>
            </w:r>
          </w:p>
        </w:tc>
        <w:tc>
          <w:tcPr>
            <w:tcW w:w="6384" w:type="dxa"/>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是，股票代码为XXXXXX/否</w:t>
            </w:r>
          </w:p>
        </w:tc>
      </w:tr>
    </w:tbl>
    <w:p>
      <w:pPr>
        <w:keepNext w:val="0"/>
        <w:keepLines w:val="0"/>
        <w:pageBreakBefore w:val="0"/>
        <w:widowControl w:val="0"/>
        <w:tabs>
          <w:tab w:val="left" w:pos="756"/>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截至报告期末，发行人股权结构图如下：</w:t>
      </w:r>
    </w:p>
    <w:p>
      <w:pPr>
        <w:tabs>
          <w:tab w:val="left" w:pos="756"/>
        </w:tabs>
        <w:spacing w:line="600" w:lineRule="exact"/>
        <w:ind w:firstLine="600" w:firstLineChars="200"/>
        <w:textAlignment w:val="baseline"/>
        <w:rPr>
          <w:rFonts w:ascii="仿宋_GB2312" w:hAnsi="黑体" w:eastAsia="仿宋_GB2312"/>
          <w:kern w:val="0"/>
          <w:sz w:val="30"/>
          <w:szCs w:val="30"/>
        </w:rPr>
      </w:pPr>
    </w:p>
    <w:p>
      <w:pPr>
        <w:tabs>
          <w:tab w:val="left" w:pos="756"/>
        </w:tabs>
        <w:spacing w:line="600" w:lineRule="exact"/>
        <w:ind w:firstLine="640" w:firstLineChars="200"/>
        <w:textAlignment w:val="baseline"/>
        <w:outlineLvl w:val="9"/>
        <w:rPr>
          <w:rFonts w:ascii="黑体" w:hAnsi="黑体" w:eastAsia="黑体"/>
          <w:b w:val="0"/>
          <w:bCs/>
          <w:kern w:val="0"/>
          <w:sz w:val="32"/>
          <w:szCs w:val="32"/>
        </w:rPr>
      </w:pPr>
      <w:r>
        <w:rPr>
          <w:rFonts w:hint="eastAsia" w:ascii="黑体" w:hAnsi="黑体" w:eastAsia="黑体"/>
          <w:b w:val="0"/>
          <w:bCs/>
          <w:kern w:val="0"/>
          <w:sz w:val="32"/>
          <w:szCs w:val="32"/>
        </w:rPr>
        <w:t>三、主营业务情况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报告期内，公司主营收入构成情况如下：</w:t>
      </w:r>
    </w:p>
    <w:p>
      <w:pPr>
        <w:widowControl/>
        <w:adjustRightInd w:val="0"/>
        <w:spacing w:line="240" w:lineRule="auto"/>
        <w:jc w:val="righ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单位：亿元、%</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930"/>
        <w:gridCol w:w="930"/>
        <w:gridCol w:w="931"/>
        <w:gridCol w:w="931"/>
        <w:gridCol w:w="931"/>
        <w:gridCol w:w="931"/>
        <w:gridCol w:w="931"/>
        <w:gridCol w:w="9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3" w:type="pct"/>
            <w:vMerge w:val="restar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业务板块</w:t>
            </w:r>
          </w:p>
        </w:tc>
        <w:tc>
          <w:tcPr>
            <w:tcW w:w="1092" w:type="pct"/>
            <w:gridSpan w:val="2"/>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20XX年1-X月</w:t>
            </w:r>
          </w:p>
        </w:tc>
        <w:tc>
          <w:tcPr>
            <w:tcW w:w="1092" w:type="pct"/>
            <w:gridSpan w:val="2"/>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c>
          <w:tcPr>
            <w:tcW w:w="1092" w:type="pct"/>
            <w:gridSpan w:val="2"/>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c>
          <w:tcPr>
            <w:tcW w:w="1092" w:type="pct"/>
            <w:gridSpan w:val="2"/>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3" w:type="pct"/>
            <w:vMerge w:val="continue"/>
            <w:tcBorders>
              <w:tl2br w:val="nil"/>
              <w:tr2bl w:val="nil"/>
            </w:tcBorders>
            <w:vAlign w:val="center"/>
          </w:tcPr>
          <w:p>
            <w:pPr>
              <w:widowControl/>
              <w:spacing w:line="240" w:lineRule="auto"/>
              <w:ind w:firstLine="181"/>
              <w:jc w:val="center"/>
              <w:rPr>
                <w:rFonts w:hint="eastAsia" w:ascii="宋体" w:hAnsi="宋体" w:eastAsia="宋体" w:cs="宋体"/>
                <w:b/>
                <w:bCs/>
                <w:color w:val="000000"/>
                <w:kern w:val="0"/>
                <w:sz w:val="21"/>
                <w:szCs w:val="21"/>
              </w:rPr>
            </w:pPr>
          </w:p>
        </w:tc>
        <w:tc>
          <w:tcPr>
            <w:tcW w:w="546"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c>
          <w:tcPr>
            <w:tcW w:w="546"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占比</w:t>
            </w:r>
          </w:p>
        </w:tc>
        <w:tc>
          <w:tcPr>
            <w:tcW w:w="546"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c>
          <w:tcPr>
            <w:tcW w:w="546"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占比</w:t>
            </w:r>
          </w:p>
        </w:tc>
        <w:tc>
          <w:tcPr>
            <w:tcW w:w="546"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c>
          <w:tcPr>
            <w:tcW w:w="546"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占比</w:t>
            </w:r>
          </w:p>
        </w:tc>
        <w:tc>
          <w:tcPr>
            <w:tcW w:w="546"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c>
          <w:tcPr>
            <w:tcW w:w="546"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pct"/>
            <w:tcBorders>
              <w:tl2br w:val="nil"/>
              <w:tr2bl w:val="nil"/>
            </w:tcBorders>
            <w:vAlign w:val="center"/>
          </w:tcPr>
          <w:p>
            <w:pPr>
              <w:widowControl/>
              <w:spacing w:line="240" w:lineRule="auto"/>
              <w:jc w:val="center"/>
              <w:textAlignment w:val="center"/>
              <w:rPr>
                <w:rFonts w:hint="eastAsia" w:ascii="宋体" w:hAnsi="宋体" w:eastAsia="宋体" w:cs="宋体"/>
                <w:color w:val="000000"/>
                <w:kern w:val="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pct"/>
            <w:tcBorders>
              <w:tl2br w:val="nil"/>
              <w:tr2bl w:val="nil"/>
            </w:tcBorders>
            <w:vAlign w:val="center"/>
          </w:tcPr>
          <w:p>
            <w:pPr>
              <w:widowControl/>
              <w:spacing w:line="240" w:lineRule="auto"/>
              <w:jc w:val="center"/>
              <w:textAlignment w:val="center"/>
              <w:rPr>
                <w:rFonts w:hint="eastAsia" w:ascii="宋体" w:hAnsi="宋体" w:eastAsia="宋体" w:cs="宋体"/>
                <w:color w:val="000000"/>
                <w:kern w:val="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pct"/>
            <w:tcBorders>
              <w:tl2br w:val="nil"/>
              <w:tr2bl w:val="nil"/>
            </w:tcBorders>
            <w:vAlign w:val="center"/>
          </w:tcPr>
          <w:p>
            <w:pPr>
              <w:widowControl/>
              <w:spacing w:line="240" w:lineRule="auto"/>
              <w:jc w:val="center"/>
              <w:textAlignment w:val="center"/>
              <w:rPr>
                <w:rFonts w:hint="eastAsia" w:ascii="宋体" w:hAnsi="宋体" w:eastAsia="宋体" w:cs="宋体"/>
                <w:color w:val="000000"/>
                <w:kern w:val="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pct"/>
            <w:tcBorders>
              <w:tl2br w:val="nil"/>
              <w:tr2bl w:val="nil"/>
            </w:tcBorders>
            <w:vAlign w:val="center"/>
          </w:tcPr>
          <w:p>
            <w:pPr>
              <w:widowControl/>
              <w:spacing w:line="240" w:lineRule="auto"/>
              <w:jc w:val="center"/>
              <w:textAlignment w:val="center"/>
              <w:rPr>
                <w:rFonts w:hint="eastAsia" w:ascii="宋体" w:hAnsi="宋体" w:eastAsia="宋体" w:cs="宋体"/>
                <w:color w:val="000000"/>
                <w:kern w:val="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pct"/>
            <w:tcBorders>
              <w:tl2br w:val="nil"/>
              <w:tr2bl w:val="nil"/>
            </w:tcBorders>
            <w:vAlign w:val="center"/>
          </w:tcPr>
          <w:p>
            <w:pPr>
              <w:widowControl/>
              <w:spacing w:line="240" w:lineRule="auto"/>
              <w:ind w:firstLine="105" w:firstLineChars="5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合计</w:t>
            </w:r>
          </w:p>
        </w:tc>
        <w:tc>
          <w:tcPr>
            <w:tcW w:w="546" w:type="pct"/>
            <w:tcBorders>
              <w:tl2br w:val="nil"/>
              <w:tr2bl w:val="nil"/>
            </w:tcBorders>
            <w:vAlign w:val="center"/>
          </w:tcPr>
          <w:p>
            <w:pPr>
              <w:spacing w:line="240" w:lineRule="auto"/>
              <w:jc w:val="right"/>
              <w:rPr>
                <w:rFonts w:hint="eastAsia" w:ascii="宋体" w:hAnsi="宋体" w:eastAsia="宋体" w:cs="宋体"/>
                <w:b/>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b/>
                <w:bCs/>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b/>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b/>
                <w:bCs/>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b/>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b/>
                <w:bCs/>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b/>
                <w:color w:val="000000"/>
                <w:sz w:val="21"/>
                <w:szCs w:val="21"/>
              </w:rPr>
            </w:pPr>
          </w:p>
        </w:tc>
        <w:tc>
          <w:tcPr>
            <w:tcW w:w="546" w:type="pct"/>
            <w:tcBorders>
              <w:tl2br w:val="nil"/>
              <w:tr2bl w:val="nil"/>
            </w:tcBorders>
            <w:vAlign w:val="center"/>
          </w:tcPr>
          <w:p>
            <w:pPr>
              <w:spacing w:line="240" w:lineRule="auto"/>
              <w:jc w:val="right"/>
              <w:rPr>
                <w:rFonts w:hint="eastAsia" w:ascii="宋体" w:hAnsi="宋体" w:eastAsia="宋体" w:cs="宋体"/>
                <w:b/>
                <w:bCs/>
                <w:color w:val="000000"/>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报告期内，公司主营业务毛利润情况如下：</w:t>
      </w:r>
    </w:p>
    <w:p>
      <w:pPr>
        <w:widowControl/>
        <w:adjustRightInd w:val="0"/>
        <w:spacing w:line="240" w:lineRule="auto"/>
        <w:jc w:val="righ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单位：亿元、%</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933"/>
        <w:gridCol w:w="932"/>
        <w:gridCol w:w="932"/>
        <w:gridCol w:w="932"/>
        <w:gridCol w:w="932"/>
        <w:gridCol w:w="932"/>
        <w:gridCol w:w="932"/>
        <w:gridCol w:w="9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5" w:type="pct"/>
            <w:vMerge w:val="restar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业务板块</w:t>
            </w:r>
          </w:p>
        </w:tc>
        <w:tc>
          <w:tcPr>
            <w:tcW w:w="1094" w:type="pct"/>
            <w:gridSpan w:val="2"/>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20XX年1-X月</w:t>
            </w:r>
          </w:p>
        </w:tc>
        <w:tc>
          <w:tcPr>
            <w:tcW w:w="1094" w:type="pct"/>
            <w:gridSpan w:val="2"/>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c>
          <w:tcPr>
            <w:tcW w:w="1094" w:type="pct"/>
            <w:gridSpan w:val="2"/>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c>
          <w:tcPr>
            <w:tcW w:w="1094" w:type="pct"/>
            <w:gridSpan w:val="2"/>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25" w:type="pct"/>
            <w:vMerge w:val="continue"/>
            <w:tcBorders>
              <w:tl2br w:val="nil"/>
              <w:tr2bl w:val="nil"/>
            </w:tcBorders>
            <w:vAlign w:val="center"/>
          </w:tcPr>
          <w:p>
            <w:pPr>
              <w:widowControl/>
              <w:spacing w:line="240" w:lineRule="auto"/>
              <w:ind w:firstLine="181"/>
              <w:jc w:val="center"/>
              <w:rPr>
                <w:rFonts w:hint="eastAsia" w:ascii="宋体" w:hAnsi="宋体" w:eastAsia="宋体" w:cs="宋体"/>
                <w:b/>
                <w:bCs/>
                <w:color w:val="000000"/>
                <w:kern w:val="0"/>
                <w:sz w:val="21"/>
                <w:szCs w:val="21"/>
              </w:rPr>
            </w:pPr>
          </w:p>
        </w:tc>
        <w:tc>
          <w:tcPr>
            <w:tcW w:w="547"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c>
          <w:tcPr>
            <w:tcW w:w="547"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占比</w:t>
            </w:r>
          </w:p>
        </w:tc>
        <w:tc>
          <w:tcPr>
            <w:tcW w:w="547"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c>
          <w:tcPr>
            <w:tcW w:w="547"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占比</w:t>
            </w:r>
          </w:p>
        </w:tc>
        <w:tc>
          <w:tcPr>
            <w:tcW w:w="547"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c>
          <w:tcPr>
            <w:tcW w:w="547"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占比</w:t>
            </w:r>
          </w:p>
        </w:tc>
        <w:tc>
          <w:tcPr>
            <w:tcW w:w="547"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c>
          <w:tcPr>
            <w:tcW w:w="547"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vAlign w:val="center"/>
          </w:tcPr>
          <w:p>
            <w:pPr>
              <w:widowControl/>
              <w:spacing w:line="240" w:lineRule="auto"/>
              <w:textAlignment w:val="center"/>
              <w:rPr>
                <w:rFonts w:hint="eastAsia" w:ascii="宋体" w:hAnsi="宋体" w:eastAsia="宋体" w:cs="宋体"/>
                <w:color w:val="000000"/>
                <w:kern w:val="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vAlign w:val="center"/>
          </w:tcPr>
          <w:p>
            <w:pPr>
              <w:widowControl/>
              <w:spacing w:line="240" w:lineRule="auto"/>
              <w:textAlignment w:val="center"/>
              <w:rPr>
                <w:rFonts w:hint="eastAsia" w:ascii="宋体" w:hAnsi="宋体" w:eastAsia="宋体" w:cs="宋体"/>
                <w:color w:val="000000"/>
                <w:kern w:val="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vAlign w:val="center"/>
          </w:tcPr>
          <w:p>
            <w:pPr>
              <w:widowControl/>
              <w:spacing w:line="240" w:lineRule="auto"/>
              <w:textAlignment w:val="center"/>
              <w:rPr>
                <w:rFonts w:hint="eastAsia" w:ascii="宋体" w:hAnsi="宋体" w:eastAsia="宋体" w:cs="宋体"/>
                <w:color w:val="000000"/>
                <w:kern w:val="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vAlign w:val="center"/>
          </w:tcPr>
          <w:p>
            <w:pPr>
              <w:widowControl/>
              <w:spacing w:line="240" w:lineRule="auto"/>
              <w:textAlignment w:val="center"/>
              <w:rPr>
                <w:rFonts w:hint="eastAsia" w:ascii="宋体" w:hAnsi="宋体" w:eastAsia="宋体" w:cs="宋体"/>
                <w:color w:val="000000"/>
                <w:kern w:val="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合计</w:t>
            </w:r>
          </w:p>
        </w:tc>
        <w:tc>
          <w:tcPr>
            <w:tcW w:w="547" w:type="pct"/>
            <w:tcBorders>
              <w:tl2br w:val="nil"/>
              <w:tr2bl w:val="nil"/>
            </w:tcBorders>
            <w:vAlign w:val="center"/>
          </w:tcPr>
          <w:p>
            <w:pPr>
              <w:spacing w:line="240" w:lineRule="auto"/>
              <w:jc w:val="right"/>
              <w:rPr>
                <w:rFonts w:hint="eastAsia" w:ascii="宋体" w:hAnsi="宋体" w:eastAsia="宋体" w:cs="宋体"/>
                <w:b/>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b/>
                <w:bCs/>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b/>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b/>
                <w:bCs/>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b/>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b/>
                <w:bCs/>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b/>
                <w:color w:val="000000"/>
                <w:sz w:val="21"/>
                <w:szCs w:val="21"/>
              </w:rPr>
            </w:pPr>
          </w:p>
        </w:tc>
        <w:tc>
          <w:tcPr>
            <w:tcW w:w="547" w:type="pct"/>
            <w:tcBorders>
              <w:tl2br w:val="nil"/>
              <w:tr2bl w:val="nil"/>
            </w:tcBorders>
            <w:vAlign w:val="center"/>
          </w:tcPr>
          <w:p>
            <w:pPr>
              <w:spacing w:line="240" w:lineRule="auto"/>
              <w:jc w:val="right"/>
              <w:rPr>
                <w:rFonts w:hint="eastAsia" w:ascii="宋体" w:hAnsi="宋体" w:eastAsia="宋体" w:cs="宋体"/>
                <w:b/>
                <w:bCs/>
                <w:color w:val="000000"/>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报告期内，公司主营业务毛利率情况如下：</w:t>
      </w:r>
    </w:p>
    <w:p>
      <w:pPr>
        <w:widowControl/>
        <w:adjustRightInd w:val="0"/>
        <w:spacing w:line="240" w:lineRule="auto"/>
        <w:jc w:val="righ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710"/>
        <w:gridCol w:w="1710"/>
        <w:gridCol w:w="1710"/>
        <w:gridCol w:w="1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pct"/>
            <w:tcBorders>
              <w:tl2br w:val="nil"/>
              <w:tr2bl w:val="nil"/>
            </w:tcBorders>
            <w:shd w:val="clear" w:color="auto" w:fill="auto"/>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业务板块</w:t>
            </w:r>
          </w:p>
        </w:tc>
        <w:tc>
          <w:tcPr>
            <w:tcW w:w="1003" w:type="pct"/>
            <w:tcBorders>
              <w:tl2br w:val="nil"/>
              <w:tr2bl w:val="nil"/>
            </w:tcBorders>
            <w:shd w:val="clear" w:color="auto" w:fill="auto"/>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20XX年1-X月</w:t>
            </w:r>
          </w:p>
        </w:tc>
        <w:tc>
          <w:tcPr>
            <w:tcW w:w="1003" w:type="pct"/>
            <w:tcBorders>
              <w:tl2br w:val="nil"/>
              <w:tr2bl w:val="nil"/>
            </w:tcBorders>
            <w:shd w:val="clear" w:color="auto" w:fill="auto"/>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c>
          <w:tcPr>
            <w:tcW w:w="1003" w:type="pct"/>
            <w:tcBorders>
              <w:tl2br w:val="nil"/>
              <w:tr2bl w:val="nil"/>
            </w:tcBorders>
            <w:shd w:val="clear" w:color="auto" w:fill="auto"/>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c>
          <w:tcPr>
            <w:tcW w:w="1003" w:type="pct"/>
            <w:tcBorders>
              <w:tl2br w:val="nil"/>
              <w:tr2bl w:val="nil"/>
            </w:tcBorders>
            <w:shd w:val="clear" w:color="auto" w:fill="auto"/>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20XX年度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pct"/>
            <w:tcBorders>
              <w:tl2br w:val="nil"/>
              <w:tr2bl w:val="nil"/>
            </w:tcBorders>
            <w:shd w:val="clear" w:color="auto" w:fill="auto"/>
            <w:vAlign w:val="center"/>
          </w:tcPr>
          <w:p>
            <w:pPr>
              <w:widowControl/>
              <w:spacing w:line="240" w:lineRule="auto"/>
              <w:jc w:val="lef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pct"/>
            <w:tcBorders>
              <w:tl2br w:val="nil"/>
              <w:tr2bl w:val="nil"/>
            </w:tcBorders>
            <w:shd w:val="clear" w:color="auto" w:fill="auto"/>
            <w:vAlign w:val="center"/>
          </w:tcPr>
          <w:p>
            <w:pPr>
              <w:widowControl/>
              <w:spacing w:line="240" w:lineRule="auto"/>
              <w:jc w:val="lef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pct"/>
            <w:tcBorders>
              <w:tl2br w:val="nil"/>
              <w:tr2bl w:val="nil"/>
            </w:tcBorders>
            <w:shd w:val="clear" w:color="auto" w:fill="auto"/>
            <w:vAlign w:val="center"/>
          </w:tcPr>
          <w:p>
            <w:pPr>
              <w:widowControl/>
              <w:spacing w:line="240" w:lineRule="auto"/>
              <w:jc w:val="lef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pct"/>
            <w:tcBorders>
              <w:tl2br w:val="nil"/>
              <w:tr2bl w:val="nil"/>
            </w:tcBorders>
            <w:shd w:val="clear" w:color="auto" w:fill="auto"/>
            <w:vAlign w:val="center"/>
          </w:tcPr>
          <w:p>
            <w:pPr>
              <w:widowControl/>
              <w:spacing w:line="240" w:lineRule="auto"/>
              <w:jc w:val="lef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7" w:type="pct"/>
            <w:tcBorders>
              <w:tl2br w:val="nil"/>
              <w:tr2bl w:val="nil"/>
            </w:tcBorders>
            <w:shd w:val="clear" w:color="auto" w:fill="auto"/>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综合毛利率</w:t>
            </w: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b/>
                <w:bCs/>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b/>
                <w:bCs/>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b/>
                <w:bCs/>
                <w:color w:val="000000"/>
                <w:sz w:val="21"/>
                <w:szCs w:val="21"/>
              </w:rPr>
            </w:pPr>
          </w:p>
        </w:tc>
        <w:tc>
          <w:tcPr>
            <w:tcW w:w="1003" w:type="pct"/>
            <w:tcBorders>
              <w:tl2br w:val="nil"/>
              <w:tr2bl w:val="nil"/>
            </w:tcBorders>
            <w:shd w:val="clear" w:color="auto" w:fill="auto"/>
            <w:vAlign w:val="center"/>
          </w:tcPr>
          <w:p>
            <w:pPr>
              <w:widowControl/>
              <w:spacing w:line="240" w:lineRule="auto"/>
              <w:jc w:val="right"/>
              <w:rPr>
                <w:rFonts w:hint="eastAsia" w:ascii="宋体" w:hAnsi="宋体" w:eastAsia="宋体" w:cs="宋体"/>
                <w:b/>
                <w:bCs/>
                <w:color w:val="000000"/>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就发行人主营业务收入或毛利润占比或变动幅度较大的板块运营情况简要进行分析说明。（要求语言精简、概括、突出重点，避免直接复制募集说明书，无特殊情况每个业务板块不超过300字）</w:t>
      </w:r>
    </w:p>
    <w:p>
      <w:pPr>
        <w:widowControl/>
        <w:adjustRightInd w:val="0"/>
        <w:snapToGrid w:val="0"/>
        <w:spacing w:line="560" w:lineRule="exact"/>
        <w:ind w:firstLine="640" w:firstLineChars="200"/>
        <w:rPr>
          <w:rFonts w:hint="eastAsia" w:ascii="黑体" w:hAnsi="黑体" w:eastAsia="黑体" w:cs="黑体"/>
          <w:b w:val="0"/>
          <w:bCs/>
          <w:color w:val="000000"/>
          <w:kern w:val="0"/>
          <w:sz w:val="32"/>
          <w:szCs w:val="32"/>
          <w:lang w:bidi="en-US"/>
        </w:rPr>
      </w:pPr>
      <w:r>
        <w:rPr>
          <w:rFonts w:hint="eastAsia" w:ascii="黑体" w:hAnsi="黑体" w:eastAsia="黑体" w:cs="黑体"/>
          <w:b w:val="0"/>
          <w:bCs/>
          <w:color w:val="000000"/>
          <w:kern w:val="0"/>
          <w:sz w:val="32"/>
          <w:szCs w:val="32"/>
          <w:lang w:bidi="en-US"/>
        </w:rPr>
        <w:t>四、发行人主要财务数据和财务指标</w:t>
      </w:r>
    </w:p>
    <w:p>
      <w:pPr>
        <w:keepNext w:val="0"/>
        <w:keepLines w:val="0"/>
        <w:pageBreakBefore w:val="0"/>
        <w:widowControl w:val="0"/>
        <w:tabs>
          <w:tab w:val="left" w:pos="0"/>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发行人合并报表主要财务数据和财务指标如下表所示：</w:t>
      </w:r>
    </w:p>
    <w:tbl>
      <w:tblPr>
        <w:tblStyle w:val="12"/>
        <w:tblW w:w="93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5"/>
        <w:gridCol w:w="1140"/>
        <w:gridCol w:w="1104"/>
        <w:gridCol w:w="1127"/>
        <w:gridCol w:w="1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965" w:type="dxa"/>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项目</w:t>
            </w:r>
          </w:p>
        </w:tc>
        <w:tc>
          <w:tcPr>
            <w:tcW w:w="1140" w:type="dxa"/>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color w:val="000000"/>
                <w:kern w:val="0"/>
                <w:sz w:val="21"/>
                <w:szCs w:val="21"/>
                <w:lang w:eastAsia="en-US" w:bidi="en-US"/>
              </w:rPr>
              <w:t>20</w:t>
            </w:r>
            <w:r>
              <w:rPr>
                <w:rFonts w:hint="eastAsia" w:ascii="宋体" w:hAnsi="宋体" w:eastAsia="宋体" w:cs="宋体"/>
                <w:b/>
                <w:bCs/>
                <w:color w:val="000000"/>
                <w:kern w:val="0"/>
                <w:sz w:val="21"/>
                <w:szCs w:val="21"/>
                <w:lang w:bidi="en-US"/>
              </w:rPr>
              <w:t>XX</w:t>
            </w:r>
            <w:r>
              <w:rPr>
                <w:rFonts w:hint="eastAsia" w:ascii="宋体" w:hAnsi="宋体" w:eastAsia="宋体" w:cs="宋体"/>
                <w:b/>
                <w:bCs/>
                <w:color w:val="000000"/>
                <w:kern w:val="0"/>
                <w:sz w:val="21"/>
                <w:szCs w:val="21"/>
                <w:lang w:eastAsia="en-US" w:bidi="en-US"/>
              </w:rPr>
              <w:t>年</w:t>
            </w:r>
            <w:r>
              <w:rPr>
                <w:rFonts w:hint="eastAsia" w:ascii="宋体" w:hAnsi="宋体" w:eastAsia="宋体" w:cs="宋体"/>
                <w:b/>
                <w:bCs/>
                <w:color w:val="000000"/>
                <w:kern w:val="0"/>
                <w:sz w:val="21"/>
                <w:szCs w:val="21"/>
                <w:lang w:val="en-US" w:eastAsia="zh-CN" w:bidi="en-US"/>
              </w:rPr>
              <w:t>1</w:t>
            </w:r>
            <w:r>
              <w:rPr>
                <w:rFonts w:hint="eastAsia" w:ascii="宋体" w:hAnsi="宋体" w:eastAsia="宋体" w:cs="宋体"/>
                <w:b/>
                <w:bCs/>
                <w:color w:val="000000"/>
                <w:kern w:val="0"/>
                <w:sz w:val="21"/>
                <w:szCs w:val="21"/>
                <w:lang w:eastAsia="en-US" w:bidi="en-US"/>
              </w:rPr>
              <w:t>-X月</w:t>
            </w:r>
          </w:p>
        </w:tc>
        <w:tc>
          <w:tcPr>
            <w:tcW w:w="1104" w:type="dxa"/>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color w:val="000000"/>
                <w:kern w:val="0"/>
                <w:sz w:val="21"/>
                <w:szCs w:val="21"/>
                <w:lang w:eastAsia="en-US" w:bidi="en-US"/>
              </w:rPr>
              <w:t>20</w:t>
            </w:r>
            <w:r>
              <w:rPr>
                <w:rFonts w:hint="eastAsia" w:ascii="宋体" w:hAnsi="宋体" w:eastAsia="宋体" w:cs="宋体"/>
                <w:b/>
                <w:bCs/>
                <w:color w:val="000000"/>
                <w:kern w:val="0"/>
                <w:sz w:val="21"/>
                <w:szCs w:val="21"/>
                <w:lang w:bidi="en-US"/>
              </w:rPr>
              <w:t>XX</w:t>
            </w:r>
            <w:r>
              <w:rPr>
                <w:rFonts w:hint="eastAsia" w:ascii="宋体" w:hAnsi="宋体" w:eastAsia="宋体" w:cs="宋体"/>
                <w:b/>
                <w:bCs/>
                <w:color w:val="000000"/>
                <w:kern w:val="0"/>
                <w:sz w:val="21"/>
                <w:szCs w:val="21"/>
                <w:lang w:eastAsia="en-US" w:bidi="en-US"/>
              </w:rPr>
              <w:t>年</w:t>
            </w:r>
          </w:p>
        </w:tc>
        <w:tc>
          <w:tcPr>
            <w:tcW w:w="1127" w:type="dxa"/>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color w:val="000000"/>
                <w:kern w:val="0"/>
                <w:sz w:val="21"/>
                <w:szCs w:val="21"/>
                <w:lang w:eastAsia="en-US" w:bidi="en-US"/>
              </w:rPr>
              <w:t>20</w:t>
            </w:r>
            <w:r>
              <w:rPr>
                <w:rFonts w:hint="eastAsia" w:ascii="宋体" w:hAnsi="宋体" w:eastAsia="宋体" w:cs="宋体"/>
                <w:b/>
                <w:bCs/>
                <w:color w:val="000000"/>
                <w:kern w:val="0"/>
                <w:sz w:val="21"/>
                <w:szCs w:val="21"/>
                <w:lang w:bidi="en-US"/>
              </w:rPr>
              <w:t>XX</w:t>
            </w:r>
            <w:r>
              <w:rPr>
                <w:rFonts w:hint="eastAsia" w:ascii="宋体" w:hAnsi="宋体" w:eastAsia="宋体" w:cs="宋体"/>
                <w:b/>
                <w:bCs/>
                <w:color w:val="000000"/>
                <w:kern w:val="0"/>
                <w:sz w:val="21"/>
                <w:szCs w:val="21"/>
                <w:lang w:eastAsia="en-US" w:bidi="en-US"/>
              </w:rPr>
              <w:t>年</w:t>
            </w:r>
          </w:p>
        </w:tc>
        <w:tc>
          <w:tcPr>
            <w:tcW w:w="1041" w:type="dxa"/>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color w:val="000000"/>
                <w:kern w:val="0"/>
                <w:sz w:val="21"/>
                <w:szCs w:val="21"/>
                <w:lang w:eastAsia="en-US" w:bidi="en-US"/>
              </w:rPr>
              <w:t>20</w:t>
            </w:r>
            <w:r>
              <w:rPr>
                <w:rFonts w:hint="eastAsia" w:ascii="宋体" w:hAnsi="宋体" w:eastAsia="宋体" w:cs="宋体"/>
                <w:b/>
                <w:bCs/>
                <w:color w:val="000000"/>
                <w:kern w:val="0"/>
                <w:sz w:val="21"/>
                <w:szCs w:val="21"/>
                <w:lang w:bidi="en-US"/>
              </w:rPr>
              <w:t>XX</w:t>
            </w:r>
            <w:r>
              <w:rPr>
                <w:rFonts w:hint="eastAsia" w:ascii="宋体" w:hAnsi="宋体" w:eastAsia="宋体" w:cs="宋体"/>
                <w:b/>
                <w:bCs/>
                <w:color w:val="000000"/>
                <w:kern w:val="0"/>
                <w:sz w:val="21"/>
                <w:szCs w:val="21"/>
                <w:lang w:eastAsia="en-US" w:bidi="en-US"/>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总资产（亿元）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总负债（亿元）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全部债务（亿元）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所有者权益（亿元）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营业总收入（亿元）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净利润（亿元）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扣除非经常性损益后净利润（亿元）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归属于母公司所有者的净利润</w:t>
            </w:r>
            <w:r>
              <w:rPr>
                <w:rFonts w:hint="eastAsia" w:ascii="宋体" w:hAnsi="宋体" w:eastAsia="宋体" w:cs="宋体"/>
                <w:kern w:val="0"/>
                <w:sz w:val="21"/>
                <w:szCs w:val="21"/>
              </w:rPr>
              <w:t>（亿元）</w:t>
            </w:r>
          </w:p>
        </w:tc>
        <w:tc>
          <w:tcPr>
            <w:tcW w:w="1140" w:type="dxa"/>
            <w:vAlign w:val="center"/>
          </w:tcPr>
          <w:p>
            <w:pPr>
              <w:widowControl/>
              <w:adjustRightInd w:val="0"/>
              <w:snapToGrid w:val="0"/>
              <w:spacing w:line="240" w:lineRule="auto"/>
              <w:jc w:val="both"/>
              <w:rPr>
                <w:rFonts w:hint="eastAsia" w:ascii="宋体" w:hAnsi="宋体" w:eastAsia="宋体" w:cs="宋体"/>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经营活动产生现金流量净额（亿元）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投资活动产生现金流量净额（亿元）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筹资活动产生现金流量净额（亿元）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速动比率</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资产负债率（%）</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营业毛利率（%）</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平均总资产回报率（%）</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加权平均净资产收益率（%）</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EBITDA（亿元）</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EBITDA利息倍数</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应收账款周转率</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vAlign w:val="center"/>
          </w:tcPr>
          <w:p>
            <w:pPr>
              <w:widowControl/>
              <w:adjustRightInd w:val="0"/>
              <w:snapToGri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存货周转率</w:t>
            </w:r>
          </w:p>
        </w:tc>
        <w:tc>
          <w:tcPr>
            <w:tcW w:w="1140"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04"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127" w:type="dxa"/>
            <w:vAlign w:val="center"/>
          </w:tcPr>
          <w:p>
            <w:pPr>
              <w:widowControl/>
              <w:adjustRightInd w:val="0"/>
              <w:snapToGrid w:val="0"/>
              <w:spacing w:line="240" w:lineRule="auto"/>
              <w:jc w:val="both"/>
              <w:rPr>
                <w:rFonts w:hint="eastAsia" w:ascii="宋体" w:hAnsi="宋体" w:eastAsia="宋体" w:cs="宋体"/>
                <w:kern w:val="0"/>
                <w:sz w:val="21"/>
                <w:szCs w:val="21"/>
              </w:rPr>
            </w:pPr>
          </w:p>
        </w:tc>
        <w:tc>
          <w:tcPr>
            <w:tcW w:w="1041" w:type="dxa"/>
            <w:vAlign w:val="center"/>
          </w:tcPr>
          <w:p>
            <w:pPr>
              <w:widowControl/>
              <w:adjustRightInd w:val="0"/>
              <w:snapToGrid w:val="0"/>
              <w:spacing w:line="240" w:lineRule="auto"/>
              <w:jc w:val="both"/>
              <w:rPr>
                <w:rFonts w:hint="eastAsia" w:ascii="宋体" w:hAnsi="宋体" w:eastAsia="宋体" w:cs="宋体"/>
                <w:kern w:val="0"/>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面向普通投资者公开发行公司债券的，应当按照《</w:t>
      </w:r>
      <w:r>
        <w:rPr>
          <w:rFonts w:hint="eastAsia" w:ascii="仿宋" w:hAnsi="仿宋" w:eastAsia="仿宋" w:cs="仿宋"/>
          <w:sz w:val="32"/>
          <w:szCs w:val="32"/>
          <w:lang w:val="en-US" w:eastAsia="zh-CN"/>
        </w:rPr>
        <w:t>申报文件编制指引</w:t>
      </w:r>
      <w:r>
        <w:rPr>
          <w:rFonts w:hint="eastAsia" w:ascii="仿宋" w:hAnsi="仿宋" w:eastAsia="仿宋" w:cs="仿宋"/>
          <w:sz w:val="32"/>
          <w:szCs w:val="32"/>
        </w:rPr>
        <w:t>》要求，列示主要</w:t>
      </w:r>
      <w:r>
        <w:rPr>
          <w:rFonts w:hint="eastAsia" w:ascii="仿宋" w:hAnsi="仿宋" w:eastAsia="仿宋" w:cs="仿宋"/>
          <w:sz w:val="32"/>
          <w:szCs w:val="32"/>
          <w:lang w:eastAsia="zh-CN"/>
        </w:rPr>
        <w:t>财务</w:t>
      </w:r>
      <w:r>
        <w:rPr>
          <w:rFonts w:hint="eastAsia" w:ascii="仿宋" w:hAnsi="仿宋" w:eastAsia="仿宋" w:cs="仿宋"/>
          <w:sz w:val="32"/>
          <w:szCs w:val="32"/>
        </w:rPr>
        <w:t>数据和财务指标。</w:t>
      </w:r>
    </w:p>
    <w:p>
      <w:pPr>
        <w:spacing w:line="600" w:lineRule="exact"/>
        <w:ind w:firstLine="640" w:firstLineChars="200"/>
        <w:outlineLvl w:val="9"/>
        <w:rPr>
          <w:rFonts w:hint="eastAsia" w:ascii="楷体" w:hAnsi="楷体" w:eastAsia="楷体" w:cs="楷体"/>
          <w:b w:val="0"/>
          <w:bCs/>
          <w:sz w:val="32"/>
          <w:szCs w:val="32"/>
        </w:rPr>
      </w:pPr>
      <w:r>
        <w:rPr>
          <w:rFonts w:hint="eastAsia" w:ascii="楷体" w:hAnsi="楷体" w:eastAsia="楷体" w:cs="楷体"/>
          <w:b w:val="0"/>
          <w:bCs/>
          <w:sz w:val="32"/>
          <w:szCs w:val="32"/>
        </w:rPr>
        <w:t>（一）资产结构分析（合并口径）</w:t>
      </w:r>
    </w:p>
    <w:p>
      <w:pPr>
        <w:keepNext w:val="0"/>
        <w:keepLines w:val="0"/>
        <w:pageBreakBefore w:val="0"/>
        <w:widowControl w:val="0"/>
        <w:tabs>
          <w:tab w:val="left" w:pos="756"/>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报告期各期末，发行人资产构成情况如下（表格可根据发行人实际情况调整）：</w:t>
      </w:r>
    </w:p>
    <w:p>
      <w:pPr>
        <w:widowControl/>
        <w:adjustRightInd w:val="0"/>
        <w:spacing w:line="360" w:lineRule="exact"/>
        <w:jc w:val="right"/>
        <w:textAlignment w:val="baseline"/>
        <w:rPr>
          <w:rFonts w:ascii="宋体" w:hAnsi="宋体" w:eastAsia="宋体" w:cs="Times New Roman"/>
          <w:color w:val="000000"/>
          <w:kern w:val="0"/>
          <w:szCs w:val="21"/>
        </w:rPr>
      </w:pPr>
      <w:r>
        <w:rPr>
          <w:rFonts w:hint="eastAsia" w:ascii="宋体" w:hAnsi="宋体" w:eastAsia="宋体" w:cs="Times New Roman"/>
          <w:color w:val="000000"/>
          <w:kern w:val="0"/>
          <w:szCs w:val="21"/>
        </w:rPr>
        <w:t>单位：亿元、</w:t>
      </w:r>
      <w:r>
        <w:rPr>
          <w:rFonts w:ascii="宋体" w:hAnsi="宋体" w:eastAsia="宋体" w:cs="Times New Roman"/>
          <w:color w:val="000000"/>
          <w:kern w:val="0"/>
          <w:szCs w:val="21"/>
        </w:rPr>
        <w:t>%</w:t>
      </w:r>
    </w:p>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1847"/>
        <w:gridCol w:w="609"/>
        <w:gridCol w:w="842"/>
        <w:gridCol w:w="840"/>
        <w:gridCol w:w="842"/>
        <w:gridCol w:w="840"/>
        <w:gridCol w:w="842"/>
        <w:gridCol w:w="840"/>
        <w:gridCol w:w="834"/>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Merge w:val="restar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项目</w:t>
            </w:r>
          </w:p>
        </w:tc>
        <w:tc>
          <w:tcPr>
            <w:tcW w:w="870" w:type="pct"/>
            <w:gridSpan w:val="2"/>
            <w:vAlign w:val="center"/>
          </w:tcPr>
          <w:p>
            <w:pPr>
              <w:widowControl/>
              <w:spacing w:line="360" w:lineRule="exact"/>
              <w:jc w:val="center"/>
              <w:rPr>
                <w:rFonts w:hint="eastAsia" w:ascii="宋体" w:hAnsi="宋体" w:eastAsia="宋体" w:cs="Times New Roman"/>
                <w:b/>
                <w:bCs/>
                <w:color w:val="000000"/>
                <w:kern w:val="0"/>
                <w:szCs w:val="21"/>
                <w:lang w:eastAsia="zh-CN"/>
              </w:rPr>
            </w:pPr>
            <w:r>
              <w:rPr>
                <w:rFonts w:hint="eastAsia" w:ascii="宋体" w:hAnsi="宋体" w:eastAsia="宋体" w:cs="Times New Roman"/>
                <w:b/>
                <w:bCs/>
                <w:color w:val="000000"/>
                <w:kern w:val="0"/>
                <w:szCs w:val="21"/>
              </w:rPr>
              <w:t>20</w:t>
            </w:r>
            <w:r>
              <w:rPr>
                <w:rFonts w:hint="eastAsia" w:ascii="宋体" w:hAnsi="宋体" w:eastAsia="宋体" w:cs="Times New Roman"/>
                <w:b/>
                <w:bCs/>
                <w:color w:val="000000"/>
                <w:kern w:val="0"/>
                <w:szCs w:val="21"/>
                <w:lang w:val="en-US" w:eastAsia="zh-CN"/>
              </w:rPr>
              <w:t>XX</w:t>
            </w:r>
            <w:r>
              <w:rPr>
                <w:rFonts w:hint="eastAsia" w:ascii="宋体" w:hAnsi="宋体" w:eastAsia="宋体" w:cs="Times New Roman"/>
                <w:b/>
                <w:bCs/>
                <w:color w:val="000000"/>
                <w:kern w:val="0"/>
                <w:szCs w:val="21"/>
              </w:rPr>
              <w:t>年X月</w:t>
            </w:r>
            <w:r>
              <w:rPr>
                <w:rFonts w:hint="eastAsia" w:ascii="宋体" w:hAnsi="宋体" w:eastAsia="宋体" w:cs="Times New Roman"/>
                <w:b/>
                <w:bCs/>
                <w:color w:val="000000"/>
                <w:kern w:val="0"/>
                <w:szCs w:val="21"/>
                <w:lang w:eastAsia="zh-CN"/>
              </w:rPr>
              <w:t>末</w:t>
            </w:r>
          </w:p>
        </w:tc>
        <w:tc>
          <w:tcPr>
            <w:tcW w:w="1009" w:type="pct"/>
            <w:gridSpan w:val="2"/>
            <w:vAlign w:val="center"/>
          </w:tcPr>
          <w:p>
            <w:pPr>
              <w:widowControl/>
              <w:spacing w:line="360" w:lineRule="exact"/>
              <w:jc w:val="center"/>
              <w:rPr>
                <w:rFonts w:hint="eastAsia" w:ascii="宋体" w:hAnsi="宋体" w:eastAsia="宋体" w:cs="Times New Roman"/>
                <w:b/>
                <w:bCs/>
                <w:color w:val="000000"/>
                <w:kern w:val="0"/>
                <w:szCs w:val="21"/>
                <w:lang w:eastAsia="zh-CN"/>
              </w:rPr>
            </w:pPr>
            <w:r>
              <w:rPr>
                <w:rFonts w:hint="eastAsia" w:ascii="宋体" w:hAnsi="宋体" w:eastAsia="宋体" w:cs="Times New Roman"/>
                <w:b/>
                <w:bCs/>
                <w:color w:val="000000"/>
                <w:kern w:val="0"/>
                <w:szCs w:val="21"/>
              </w:rPr>
              <w:t>20</w:t>
            </w:r>
            <w:r>
              <w:rPr>
                <w:rFonts w:hint="eastAsia" w:ascii="宋体" w:hAnsi="宋体" w:eastAsia="宋体" w:cs="Times New Roman"/>
                <w:b/>
                <w:bCs/>
                <w:color w:val="000000"/>
                <w:kern w:val="0"/>
                <w:szCs w:val="21"/>
                <w:lang w:val="en-US" w:eastAsia="zh-CN"/>
              </w:rPr>
              <w:t>XX</w:t>
            </w:r>
            <w:r>
              <w:rPr>
                <w:rFonts w:hint="eastAsia" w:ascii="宋体" w:hAnsi="宋体" w:eastAsia="宋体" w:cs="Times New Roman"/>
                <w:b/>
                <w:bCs/>
                <w:color w:val="000000"/>
                <w:kern w:val="0"/>
                <w:szCs w:val="21"/>
              </w:rPr>
              <w:t>年</w:t>
            </w:r>
            <w:r>
              <w:rPr>
                <w:rFonts w:hint="eastAsia" w:ascii="宋体" w:hAnsi="宋体" w:eastAsia="宋体" w:cs="Times New Roman"/>
                <w:b/>
                <w:bCs/>
                <w:color w:val="000000"/>
                <w:kern w:val="0"/>
                <w:szCs w:val="21"/>
                <w:lang w:eastAsia="zh-CN"/>
              </w:rPr>
              <w:t>末</w:t>
            </w:r>
          </w:p>
        </w:tc>
        <w:tc>
          <w:tcPr>
            <w:tcW w:w="1009" w:type="pct"/>
            <w:gridSpan w:val="2"/>
            <w:vAlign w:val="center"/>
          </w:tcPr>
          <w:p>
            <w:pPr>
              <w:widowControl/>
              <w:spacing w:line="360" w:lineRule="exact"/>
              <w:jc w:val="center"/>
              <w:rPr>
                <w:rFonts w:hint="eastAsia" w:ascii="宋体" w:hAnsi="宋体" w:eastAsia="宋体" w:cs="Times New Roman"/>
                <w:b/>
                <w:bCs/>
                <w:color w:val="000000"/>
                <w:kern w:val="0"/>
                <w:szCs w:val="21"/>
                <w:lang w:eastAsia="zh-CN"/>
              </w:rPr>
            </w:pPr>
            <w:r>
              <w:rPr>
                <w:rFonts w:hint="eastAsia" w:ascii="宋体" w:hAnsi="宋体" w:eastAsia="宋体" w:cs="Times New Roman"/>
                <w:b/>
                <w:bCs/>
                <w:color w:val="000000"/>
                <w:kern w:val="0"/>
                <w:szCs w:val="21"/>
              </w:rPr>
              <w:t>20</w:t>
            </w:r>
            <w:r>
              <w:rPr>
                <w:rFonts w:hint="eastAsia" w:ascii="宋体" w:hAnsi="宋体" w:eastAsia="宋体" w:cs="Times New Roman"/>
                <w:b/>
                <w:bCs/>
                <w:color w:val="000000"/>
                <w:kern w:val="0"/>
                <w:szCs w:val="21"/>
                <w:lang w:val="en-US" w:eastAsia="zh-CN"/>
              </w:rPr>
              <w:t>XX</w:t>
            </w:r>
            <w:r>
              <w:rPr>
                <w:rFonts w:hint="eastAsia" w:ascii="宋体" w:hAnsi="宋体" w:eastAsia="宋体" w:cs="Times New Roman"/>
                <w:b/>
                <w:bCs/>
                <w:color w:val="000000"/>
                <w:kern w:val="0"/>
                <w:szCs w:val="21"/>
              </w:rPr>
              <w:t>年</w:t>
            </w:r>
            <w:r>
              <w:rPr>
                <w:rFonts w:hint="eastAsia" w:ascii="宋体" w:hAnsi="宋体" w:eastAsia="宋体" w:cs="Times New Roman"/>
                <w:b/>
                <w:bCs/>
                <w:color w:val="000000"/>
                <w:kern w:val="0"/>
                <w:szCs w:val="21"/>
                <w:lang w:eastAsia="zh-CN"/>
              </w:rPr>
              <w:t>末</w:t>
            </w:r>
          </w:p>
        </w:tc>
        <w:tc>
          <w:tcPr>
            <w:tcW w:w="1004" w:type="pct"/>
            <w:gridSpan w:val="2"/>
            <w:vAlign w:val="center"/>
          </w:tcPr>
          <w:p>
            <w:pPr>
              <w:widowControl/>
              <w:spacing w:line="360" w:lineRule="exact"/>
              <w:jc w:val="center"/>
              <w:rPr>
                <w:rFonts w:hint="eastAsia" w:ascii="宋体" w:hAnsi="宋体" w:eastAsia="宋体" w:cs="Times New Roman"/>
                <w:b/>
                <w:bCs/>
                <w:color w:val="000000"/>
                <w:kern w:val="0"/>
                <w:szCs w:val="21"/>
                <w:lang w:eastAsia="zh-CN"/>
              </w:rPr>
            </w:pPr>
            <w:r>
              <w:rPr>
                <w:rFonts w:hint="eastAsia" w:ascii="宋体" w:hAnsi="宋体" w:eastAsia="宋体" w:cs="Times New Roman"/>
                <w:b/>
                <w:bCs/>
                <w:color w:val="000000"/>
                <w:kern w:val="0"/>
                <w:szCs w:val="21"/>
              </w:rPr>
              <w:t>20</w:t>
            </w:r>
            <w:r>
              <w:rPr>
                <w:rFonts w:hint="eastAsia" w:ascii="宋体" w:hAnsi="宋体" w:eastAsia="宋体" w:cs="Times New Roman"/>
                <w:b/>
                <w:bCs/>
                <w:color w:val="000000"/>
                <w:kern w:val="0"/>
                <w:szCs w:val="21"/>
                <w:lang w:val="en-US" w:eastAsia="zh-CN"/>
              </w:rPr>
              <w:t>XX</w:t>
            </w:r>
            <w:r>
              <w:rPr>
                <w:rFonts w:hint="eastAsia" w:ascii="宋体" w:hAnsi="宋体" w:eastAsia="宋体" w:cs="Times New Roman"/>
                <w:b/>
                <w:bCs/>
                <w:color w:val="000000"/>
                <w:kern w:val="0"/>
                <w:szCs w:val="21"/>
              </w:rPr>
              <w:t>年</w:t>
            </w:r>
            <w:r>
              <w:rPr>
                <w:rFonts w:hint="eastAsia" w:ascii="宋体" w:hAnsi="宋体" w:eastAsia="宋体" w:cs="Times New Roman"/>
                <w:b/>
                <w:bCs/>
                <w:color w:val="000000"/>
                <w:kern w:val="0"/>
                <w:szCs w:val="21"/>
                <w:lang w:eastAsia="zh-CN"/>
              </w:rPr>
              <w:t>末</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Merge w:val="continue"/>
            <w:vAlign w:val="center"/>
          </w:tcPr>
          <w:p>
            <w:pPr>
              <w:widowControl/>
              <w:spacing w:line="360" w:lineRule="exact"/>
              <w:rPr>
                <w:rFonts w:ascii="宋体" w:hAnsi="宋体" w:eastAsia="宋体" w:cs="Times New Roman"/>
                <w:b/>
                <w:szCs w:val="21"/>
              </w:rPr>
            </w:pPr>
          </w:p>
        </w:tc>
        <w:tc>
          <w:tcPr>
            <w:tcW w:w="365" w:type="pc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金额</w:t>
            </w:r>
          </w:p>
        </w:tc>
        <w:tc>
          <w:tcPr>
            <w:tcW w:w="505" w:type="pc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占比</w:t>
            </w:r>
          </w:p>
        </w:tc>
        <w:tc>
          <w:tcPr>
            <w:tcW w:w="504" w:type="pc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金额</w:t>
            </w:r>
          </w:p>
        </w:tc>
        <w:tc>
          <w:tcPr>
            <w:tcW w:w="505" w:type="pc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占比</w:t>
            </w:r>
          </w:p>
        </w:tc>
        <w:tc>
          <w:tcPr>
            <w:tcW w:w="504" w:type="pc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金额</w:t>
            </w:r>
          </w:p>
        </w:tc>
        <w:tc>
          <w:tcPr>
            <w:tcW w:w="505" w:type="pc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占比</w:t>
            </w:r>
          </w:p>
        </w:tc>
        <w:tc>
          <w:tcPr>
            <w:tcW w:w="504" w:type="pc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金额</w:t>
            </w:r>
          </w:p>
        </w:tc>
        <w:tc>
          <w:tcPr>
            <w:tcW w:w="500" w:type="pct"/>
            <w:vAlign w:val="center"/>
          </w:tcPr>
          <w:p>
            <w:pPr>
              <w:spacing w:line="360" w:lineRule="exact"/>
              <w:jc w:val="center"/>
              <w:rPr>
                <w:rFonts w:ascii="宋体" w:hAnsi="宋体" w:eastAsia="宋体" w:cs="Times New Roman"/>
                <w:b/>
                <w:szCs w:val="21"/>
              </w:rPr>
            </w:pPr>
            <w:r>
              <w:rPr>
                <w:rFonts w:hint="eastAsia" w:ascii="宋体" w:hAnsi="宋体" w:eastAsia="宋体" w:cs="Times New Roman"/>
                <w:b/>
                <w:szCs w:val="21"/>
              </w:rPr>
              <w:t>占比</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货币资金</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应收账款</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预付款项</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其他应收款</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存货</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其他流动资产</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jc w:val="right"/>
              <w:rPr>
                <w:rFonts w:ascii="宋体" w:hAnsi="宋体" w:eastAsia="宋体" w:cs="Times New Roman"/>
                <w:b/>
                <w:szCs w:val="21"/>
              </w:rPr>
            </w:pPr>
            <w:r>
              <w:rPr>
                <w:rFonts w:hint="eastAsia" w:ascii="宋体" w:hAnsi="宋体" w:eastAsia="宋体" w:cs="Times New Roman"/>
                <w:b/>
                <w:szCs w:val="21"/>
              </w:rPr>
              <w:t>流动资产合计</w:t>
            </w:r>
          </w:p>
        </w:tc>
        <w:tc>
          <w:tcPr>
            <w:tcW w:w="365"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0" w:type="pct"/>
            <w:vAlign w:val="center"/>
          </w:tcPr>
          <w:p>
            <w:pPr>
              <w:spacing w:line="360" w:lineRule="exact"/>
              <w:jc w:val="right"/>
              <w:rPr>
                <w:rFonts w:ascii="宋体" w:hAnsi="宋体" w:eastAsia="宋体" w:cs="Times New Roman"/>
                <w:b/>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可供出售金融资产</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投资性房地产</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固定资产</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在建工程</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无形资产</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长期待摊费用</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递延所得税资产</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rPr>
                <w:rFonts w:ascii="宋体" w:hAnsi="宋体" w:eastAsia="宋体" w:cs="Times New Roman"/>
                <w:szCs w:val="21"/>
              </w:rPr>
            </w:pPr>
            <w:r>
              <w:rPr>
                <w:rFonts w:hint="eastAsia" w:ascii="宋体" w:hAnsi="宋体" w:eastAsia="宋体" w:cs="Times New Roman"/>
                <w:szCs w:val="21"/>
              </w:rPr>
              <w:t>其他非流动资产</w:t>
            </w:r>
          </w:p>
        </w:tc>
        <w:tc>
          <w:tcPr>
            <w:tcW w:w="365"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5" w:type="pct"/>
            <w:vAlign w:val="center"/>
          </w:tcPr>
          <w:p>
            <w:pPr>
              <w:spacing w:line="360" w:lineRule="exact"/>
              <w:jc w:val="right"/>
              <w:rPr>
                <w:rFonts w:ascii="宋体" w:hAnsi="宋体" w:eastAsia="宋体" w:cs="Times New Roman"/>
                <w:szCs w:val="21"/>
              </w:rPr>
            </w:pPr>
          </w:p>
        </w:tc>
        <w:tc>
          <w:tcPr>
            <w:tcW w:w="504" w:type="pct"/>
            <w:vAlign w:val="center"/>
          </w:tcPr>
          <w:p>
            <w:pPr>
              <w:spacing w:line="360" w:lineRule="exact"/>
              <w:jc w:val="right"/>
              <w:rPr>
                <w:rFonts w:ascii="宋体" w:hAnsi="宋体" w:eastAsia="宋体" w:cs="Times New Roman"/>
                <w:szCs w:val="21"/>
              </w:rPr>
            </w:pPr>
          </w:p>
        </w:tc>
        <w:tc>
          <w:tcPr>
            <w:tcW w:w="500" w:type="pct"/>
            <w:vAlign w:val="center"/>
          </w:tcPr>
          <w:p>
            <w:pPr>
              <w:spacing w:line="360" w:lineRule="exact"/>
              <w:jc w:val="right"/>
              <w:rPr>
                <w:rFonts w:ascii="宋体" w:hAnsi="宋体" w:eastAsia="宋体"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jc w:val="right"/>
              <w:rPr>
                <w:rFonts w:ascii="宋体" w:hAnsi="宋体" w:eastAsia="宋体" w:cs="Times New Roman"/>
                <w:b/>
                <w:szCs w:val="21"/>
              </w:rPr>
            </w:pPr>
            <w:r>
              <w:rPr>
                <w:rFonts w:hint="eastAsia" w:ascii="宋体" w:hAnsi="宋体" w:eastAsia="宋体" w:cs="Times New Roman"/>
                <w:b/>
                <w:szCs w:val="21"/>
              </w:rPr>
              <w:t>非流动资产合计</w:t>
            </w:r>
          </w:p>
        </w:tc>
        <w:tc>
          <w:tcPr>
            <w:tcW w:w="365"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0" w:type="pct"/>
            <w:vAlign w:val="center"/>
          </w:tcPr>
          <w:p>
            <w:pPr>
              <w:spacing w:line="360" w:lineRule="exact"/>
              <w:jc w:val="right"/>
              <w:rPr>
                <w:rFonts w:ascii="宋体" w:hAnsi="宋体" w:eastAsia="宋体" w:cs="Times New Roman"/>
                <w:b/>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108" w:type="pct"/>
            <w:vAlign w:val="center"/>
          </w:tcPr>
          <w:p>
            <w:pPr>
              <w:spacing w:line="360" w:lineRule="exact"/>
              <w:jc w:val="right"/>
              <w:rPr>
                <w:rFonts w:ascii="宋体" w:hAnsi="宋体" w:eastAsia="宋体" w:cs="Times New Roman"/>
                <w:b/>
                <w:szCs w:val="21"/>
              </w:rPr>
            </w:pPr>
            <w:r>
              <w:rPr>
                <w:rFonts w:hint="eastAsia" w:ascii="宋体" w:hAnsi="宋体" w:eastAsia="宋体" w:cs="Times New Roman"/>
                <w:b/>
                <w:szCs w:val="21"/>
              </w:rPr>
              <w:t>资产合计</w:t>
            </w:r>
          </w:p>
        </w:tc>
        <w:tc>
          <w:tcPr>
            <w:tcW w:w="365"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5" w:type="pct"/>
            <w:vAlign w:val="center"/>
          </w:tcPr>
          <w:p>
            <w:pPr>
              <w:spacing w:line="360" w:lineRule="exact"/>
              <w:jc w:val="right"/>
              <w:rPr>
                <w:rFonts w:ascii="宋体" w:hAnsi="宋体" w:eastAsia="宋体" w:cs="Times New Roman"/>
                <w:b/>
                <w:szCs w:val="21"/>
              </w:rPr>
            </w:pPr>
          </w:p>
        </w:tc>
        <w:tc>
          <w:tcPr>
            <w:tcW w:w="504" w:type="pct"/>
            <w:vAlign w:val="center"/>
          </w:tcPr>
          <w:p>
            <w:pPr>
              <w:spacing w:line="360" w:lineRule="exact"/>
              <w:jc w:val="right"/>
              <w:rPr>
                <w:rFonts w:ascii="宋体" w:hAnsi="宋体" w:eastAsia="宋体" w:cs="Times New Roman"/>
                <w:b/>
                <w:szCs w:val="21"/>
              </w:rPr>
            </w:pPr>
          </w:p>
        </w:tc>
        <w:tc>
          <w:tcPr>
            <w:tcW w:w="500" w:type="pct"/>
            <w:vAlign w:val="center"/>
          </w:tcPr>
          <w:p>
            <w:pPr>
              <w:spacing w:line="360" w:lineRule="exact"/>
              <w:jc w:val="right"/>
              <w:rPr>
                <w:rFonts w:ascii="宋体" w:hAnsi="宋体" w:eastAsia="宋体" w:cs="Times New Roman"/>
                <w:b/>
                <w:szCs w:val="21"/>
              </w:rPr>
            </w:pPr>
          </w:p>
        </w:tc>
      </w:tr>
    </w:tbl>
    <w:p>
      <w:pPr>
        <w:keepNext w:val="0"/>
        <w:keepLines w:val="0"/>
        <w:pageBreakBefore w:val="0"/>
        <w:widowControl w:val="0"/>
        <w:tabs>
          <w:tab w:val="left" w:pos="0"/>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针对占比较高（一般为占最近一年末总资产比例10%以上）、绝对金额较大或变动幅度较大（一般为变化幅度超过30%）的资产科目进行简要分析说明。（要求语言精简、概括、突出重点，避免直接复制募集说明书，无特殊情况每个科目不超过200字）</w:t>
      </w:r>
    </w:p>
    <w:p>
      <w:pPr>
        <w:spacing w:line="600" w:lineRule="exact"/>
        <w:ind w:firstLine="640" w:firstLineChars="200"/>
        <w:outlineLvl w:val="9"/>
        <w:rPr>
          <w:rFonts w:hint="eastAsia" w:ascii="楷体" w:hAnsi="楷体" w:eastAsia="楷体" w:cs="楷体"/>
          <w:b w:val="0"/>
          <w:bCs/>
          <w:sz w:val="32"/>
          <w:szCs w:val="32"/>
        </w:rPr>
      </w:pPr>
      <w:r>
        <w:rPr>
          <w:rFonts w:hint="eastAsia" w:ascii="楷体" w:hAnsi="楷体" w:eastAsia="楷体" w:cs="楷体"/>
          <w:b w:val="0"/>
          <w:bCs/>
          <w:sz w:val="32"/>
          <w:szCs w:val="32"/>
        </w:rPr>
        <w:t>（二）负债及所有者权益结构分析（合并口径）</w:t>
      </w:r>
    </w:p>
    <w:p>
      <w:pPr>
        <w:keepNext w:val="0"/>
        <w:keepLines w:val="0"/>
        <w:pageBreakBefore w:val="0"/>
        <w:widowControl w:val="0"/>
        <w:tabs>
          <w:tab w:val="left" w:pos="756"/>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报告期各期末，发行人负债构成情况如下（表格可根据发行人实际情况调整）：</w:t>
      </w:r>
    </w:p>
    <w:p>
      <w:pPr>
        <w:widowControl/>
        <w:adjustRightInd w:val="0"/>
        <w:spacing w:line="360" w:lineRule="exact"/>
        <w:jc w:val="right"/>
        <w:textAlignment w:val="baseline"/>
        <w:rPr>
          <w:rFonts w:ascii="宋体" w:hAnsi="宋体" w:eastAsia="宋体" w:cs="Times New Roman"/>
          <w:color w:val="000000"/>
          <w:kern w:val="0"/>
          <w:szCs w:val="21"/>
        </w:rPr>
      </w:pPr>
      <w:r>
        <w:rPr>
          <w:rFonts w:hint="eastAsia" w:ascii="宋体" w:hAnsi="宋体" w:eastAsia="宋体" w:cs="Times New Roman"/>
          <w:color w:val="000000"/>
          <w:kern w:val="0"/>
          <w:szCs w:val="21"/>
        </w:rPr>
        <w:t>单位：亿元、%</w:t>
      </w:r>
    </w:p>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89"/>
        <w:gridCol w:w="861"/>
        <w:gridCol w:w="861"/>
        <w:gridCol w:w="861"/>
        <w:gridCol w:w="859"/>
        <w:gridCol w:w="863"/>
        <w:gridCol w:w="859"/>
        <w:gridCol w:w="861"/>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vMerge w:val="restart"/>
            <w:shd w:val="clear" w:color="auto" w:fill="auto"/>
            <w:noWrap/>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项目</w:t>
            </w:r>
          </w:p>
        </w:tc>
        <w:tc>
          <w:tcPr>
            <w:tcW w:w="909" w:type="pct"/>
            <w:gridSpan w:val="2"/>
            <w:vAlign w:val="center"/>
          </w:tcPr>
          <w:p>
            <w:pPr>
              <w:widowControl/>
              <w:spacing w:line="360" w:lineRule="exact"/>
              <w:jc w:val="center"/>
              <w:rPr>
                <w:rFonts w:hint="eastAsia" w:ascii="宋体" w:hAnsi="宋体" w:eastAsia="宋体" w:cs="Times New Roman"/>
                <w:b/>
                <w:bCs/>
                <w:color w:val="000000"/>
                <w:kern w:val="0"/>
                <w:szCs w:val="21"/>
                <w:lang w:eastAsia="zh-CN"/>
              </w:rPr>
            </w:pPr>
            <w:r>
              <w:rPr>
                <w:rFonts w:hint="eastAsia" w:ascii="宋体" w:hAnsi="宋体" w:eastAsia="宋体" w:cs="Times New Roman"/>
                <w:b/>
                <w:bCs/>
                <w:color w:val="000000"/>
                <w:kern w:val="0"/>
                <w:szCs w:val="21"/>
              </w:rPr>
              <w:t>20</w:t>
            </w:r>
            <w:r>
              <w:rPr>
                <w:rFonts w:hint="eastAsia" w:ascii="宋体" w:hAnsi="宋体" w:eastAsia="宋体" w:cs="Times New Roman"/>
                <w:b/>
                <w:bCs/>
                <w:color w:val="000000"/>
                <w:kern w:val="0"/>
                <w:szCs w:val="21"/>
                <w:lang w:val="en-US" w:eastAsia="zh-CN"/>
              </w:rPr>
              <w:t>XX</w:t>
            </w:r>
            <w:r>
              <w:rPr>
                <w:rFonts w:hint="eastAsia" w:ascii="宋体" w:hAnsi="宋体" w:eastAsia="宋体" w:cs="Times New Roman"/>
                <w:b/>
                <w:bCs/>
                <w:color w:val="000000"/>
                <w:kern w:val="0"/>
                <w:szCs w:val="21"/>
              </w:rPr>
              <w:t>年X月</w:t>
            </w:r>
            <w:r>
              <w:rPr>
                <w:rFonts w:hint="eastAsia" w:ascii="宋体" w:hAnsi="宋体" w:eastAsia="宋体" w:cs="Times New Roman"/>
                <w:b/>
                <w:bCs/>
                <w:color w:val="000000"/>
                <w:kern w:val="0"/>
                <w:szCs w:val="21"/>
                <w:lang w:eastAsia="zh-CN"/>
              </w:rPr>
              <w:t>末</w:t>
            </w:r>
          </w:p>
        </w:tc>
        <w:tc>
          <w:tcPr>
            <w:tcW w:w="1010" w:type="pct"/>
            <w:gridSpan w:val="2"/>
            <w:shd w:val="clear" w:color="auto" w:fill="auto"/>
            <w:vAlign w:val="center"/>
          </w:tcPr>
          <w:p>
            <w:pPr>
              <w:widowControl/>
              <w:spacing w:line="360" w:lineRule="exact"/>
              <w:jc w:val="center"/>
              <w:rPr>
                <w:rFonts w:ascii="宋体" w:hAnsi="宋体" w:eastAsia="宋体" w:cs="Times New Roman"/>
                <w:b/>
                <w:bCs/>
                <w:color w:val="000000"/>
                <w:kern w:val="0"/>
                <w:szCs w:val="21"/>
              </w:rPr>
            </w:pPr>
            <w:r>
              <w:rPr>
                <w:rFonts w:hint="eastAsia" w:ascii="宋体" w:hAnsi="宋体" w:eastAsia="宋体" w:cs="Times New Roman"/>
                <w:b/>
                <w:bCs/>
                <w:color w:val="000000"/>
                <w:kern w:val="0"/>
                <w:szCs w:val="21"/>
              </w:rPr>
              <w:t>20</w:t>
            </w:r>
            <w:r>
              <w:rPr>
                <w:rFonts w:hint="eastAsia" w:ascii="宋体" w:hAnsi="宋体" w:eastAsia="宋体" w:cs="Times New Roman"/>
                <w:b/>
                <w:bCs/>
                <w:color w:val="000000"/>
                <w:kern w:val="0"/>
                <w:szCs w:val="21"/>
                <w:lang w:val="en-US" w:eastAsia="zh-CN"/>
              </w:rPr>
              <w:t>XX</w:t>
            </w:r>
            <w:r>
              <w:rPr>
                <w:rFonts w:hint="eastAsia" w:ascii="宋体" w:hAnsi="宋体" w:eastAsia="宋体" w:cs="Times New Roman"/>
                <w:b/>
                <w:bCs/>
                <w:color w:val="000000"/>
                <w:kern w:val="0"/>
                <w:szCs w:val="21"/>
              </w:rPr>
              <w:t>年</w:t>
            </w:r>
            <w:r>
              <w:rPr>
                <w:rFonts w:hint="eastAsia" w:ascii="宋体" w:hAnsi="宋体" w:eastAsia="宋体" w:cs="Times New Roman"/>
                <w:b/>
                <w:bCs/>
                <w:color w:val="000000"/>
                <w:kern w:val="0"/>
                <w:szCs w:val="21"/>
                <w:lang w:eastAsia="zh-CN"/>
              </w:rPr>
              <w:t>末</w:t>
            </w:r>
          </w:p>
        </w:tc>
        <w:tc>
          <w:tcPr>
            <w:tcW w:w="1010" w:type="pct"/>
            <w:gridSpan w:val="2"/>
            <w:shd w:val="clear" w:color="auto" w:fill="auto"/>
            <w:vAlign w:val="center"/>
          </w:tcPr>
          <w:p>
            <w:pPr>
              <w:widowControl/>
              <w:spacing w:line="360" w:lineRule="exact"/>
              <w:jc w:val="center"/>
              <w:rPr>
                <w:rFonts w:ascii="宋体" w:hAnsi="宋体" w:eastAsia="宋体" w:cs="Times New Roman"/>
                <w:b/>
                <w:bCs/>
                <w:color w:val="000000"/>
                <w:kern w:val="0"/>
                <w:szCs w:val="21"/>
              </w:rPr>
            </w:pPr>
            <w:r>
              <w:rPr>
                <w:rFonts w:hint="eastAsia" w:ascii="宋体" w:hAnsi="宋体" w:eastAsia="宋体" w:cs="Times New Roman"/>
                <w:b/>
                <w:bCs/>
                <w:color w:val="000000"/>
                <w:kern w:val="0"/>
                <w:szCs w:val="21"/>
              </w:rPr>
              <w:t>20</w:t>
            </w:r>
            <w:r>
              <w:rPr>
                <w:rFonts w:hint="eastAsia" w:ascii="宋体" w:hAnsi="宋体" w:eastAsia="宋体" w:cs="Times New Roman"/>
                <w:b/>
                <w:bCs/>
                <w:color w:val="000000"/>
                <w:kern w:val="0"/>
                <w:szCs w:val="21"/>
                <w:lang w:val="en-US" w:eastAsia="zh-CN"/>
              </w:rPr>
              <w:t>XX</w:t>
            </w:r>
            <w:r>
              <w:rPr>
                <w:rFonts w:hint="eastAsia" w:ascii="宋体" w:hAnsi="宋体" w:eastAsia="宋体" w:cs="Times New Roman"/>
                <w:b/>
                <w:bCs/>
                <w:color w:val="000000"/>
                <w:kern w:val="0"/>
                <w:szCs w:val="21"/>
              </w:rPr>
              <w:t>年</w:t>
            </w:r>
            <w:r>
              <w:rPr>
                <w:rFonts w:hint="eastAsia" w:ascii="宋体" w:hAnsi="宋体" w:eastAsia="宋体" w:cs="Times New Roman"/>
                <w:b/>
                <w:bCs/>
                <w:color w:val="000000"/>
                <w:kern w:val="0"/>
                <w:szCs w:val="21"/>
                <w:lang w:eastAsia="zh-CN"/>
              </w:rPr>
              <w:t>末</w:t>
            </w:r>
          </w:p>
        </w:tc>
        <w:tc>
          <w:tcPr>
            <w:tcW w:w="1009" w:type="pct"/>
            <w:gridSpan w:val="2"/>
            <w:shd w:val="clear" w:color="auto" w:fill="auto"/>
            <w:vAlign w:val="center"/>
          </w:tcPr>
          <w:p>
            <w:pPr>
              <w:widowControl/>
              <w:spacing w:line="360" w:lineRule="exact"/>
              <w:jc w:val="center"/>
              <w:rPr>
                <w:rFonts w:ascii="宋体" w:hAnsi="宋体" w:eastAsia="宋体" w:cs="Times New Roman"/>
                <w:b/>
                <w:bCs/>
                <w:color w:val="000000"/>
                <w:kern w:val="0"/>
                <w:szCs w:val="21"/>
              </w:rPr>
            </w:pPr>
            <w:r>
              <w:rPr>
                <w:rFonts w:hint="eastAsia" w:ascii="宋体" w:hAnsi="宋体" w:eastAsia="宋体" w:cs="Times New Roman"/>
                <w:b/>
                <w:bCs/>
                <w:color w:val="000000"/>
                <w:kern w:val="0"/>
                <w:szCs w:val="21"/>
              </w:rPr>
              <w:t>20</w:t>
            </w:r>
            <w:r>
              <w:rPr>
                <w:rFonts w:hint="eastAsia" w:ascii="宋体" w:hAnsi="宋体" w:eastAsia="宋体" w:cs="Times New Roman"/>
                <w:b/>
                <w:bCs/>
                <w:color w:val="000000"/>
                <w:kern w:val="0"/>
                <w:szCs w:val="21"/>
                <w:lang w:val="en-US" w:eastAsia="zh-CN"/>
              </w:rPr>
              <w:t>XX</w:t>
            </w:r>
            <w:r>
              <w:rPr>
                <w:rFonts w:hint="eastAsia" w:ascii="宋体" w:hAnsi="宋体" w:eastAsia="宋体" w:cs="Times New Roman"/>
                <w:b/>
                <w:bCs/>
                <w:color w:val="000000"/>
                <w:kern w:val="0"/>
                <w:szCs w:val="21"/>
              </w:rPr>
              <w:t>年</w:t>
            </w:r>
            <w:r>
              <w:rPr>
                <w:rFonts w:hint="eastAsia" w:ascii="宋体" w:hAnsi="宋体" w:eastAsia="宋体" w:cs="Times New Roman"/>
                <w:b/>
                <w:bCs/>
                <w:color w:val="000000"/>
                <w:kern w:val="0"/>
                <w:szCs w:val="21"/>
                <w:lang w:eastAsia="zh-CN"/>
              </w:rPr>
              <w:t>末</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vMerge w:val="continue"/>
            <w:vAlign w:val="center"/>
          </w:tcPr>
          <w:p>
            <w:pPr>
              <w:widowControl/>
              <w:spacing w:line="360" w:lineRule="exact"/>
              <w:jc w:val="left"/>
              <w:rPr>
                <w:rFonts w:ascii="宋体" w:hAnsi="宋体" w:eastAsia="宋体" w:cs="宋体"/>
                <w:b/>
                <w:bCs/>
                <w:color w:val="000000"/>
                <w:kern w:val="0"/>
                <w:szCs w:val="21"/>
              </w:rPr>
            </w:pPr>
          </w:p>
        </w:tc>
        <w:tc>
          <w:tcPr>
            <w:tcW w:w="404" w:type="pct"/>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金额</w:t>
            </w:r>
          </w:p>
        </w:tc>
        <w:tc>
          <w:tcPr>
            <w:tcW w:w="505" w:type="pct"/>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占比</w:t>
            </w:r>
          </w:p>
        </w:tc>
        <w:tc>
          <w:tcPr>
            <w:tcW w:w="505" w:type="pct"/>
            <w:shd w:val="clear" w:color="auto" w:fill="auto"/>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金额</w:t>
            </w:r>
          </w:p>
        </w:tc>
        <w:tc>
          <w:tcPr>
            <w:tcW w:w="505" w:type="pct"/>
            <w:shd w:val="clear" w:color="auto" w:fill="auto"/>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占比</w:t>
            </w:r>
          </w:p>
        </w:tc>
        <w:tc>
          <w:tcPr>
            <w:tcW w:w="504" w:type="pct"/>
            <w:shd w:val="clear" w:color="auto" w:fill="auto"/>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金额</w:t>
            </w:r>
          </w:p>
        </w:tc>
        <w:tc>
          <w:tcPr>
            <w:tcW w:w="506" w:type="pct"/>
            <w:shd w:val="clear" w:color="auto" w:fill="auto"/>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占比</w:t>
            </w:r>
          </w:p>
        </w:tc>
        <w:tc>
          <w:tcPr>
            <w:tcW w:w="504" w:type="pct"/>
            <w:shd w:val="clear" w:color="auto" w:fill="auto"/>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金额</w:t>
            </w:r>
          </w:p>
        </w:tc>
        <w:tc>
          <w:tcPr>
            <w:tcW w:w="505" w:type="pct"/>
            <w:shd w:val="clear" w:color="auto" w:fill="auto"/>
            <w:vAlign w:val="center"/>
          </w:tcPr>
          <w:p>
            <w:pPr>
              <w:widowControl/>
              <w:spacing w:line="3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占比</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短期借款</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应付账款</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预收款项</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应付利息</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应付股利</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其他应付款</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一年内到期的非流动负债</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流动负债合计</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长期借款</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专项应付款</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递延收益</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递延所得税负债</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noWrap/>
            <w:vAlign w:val="center"/>
          </w:tcPr>
          <w:p>
            <w:pPr>
              <w:widowControl/>
              <w:spacing w:line="360" w:lineRule="exact"/>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非流动负债合计</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6"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4"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pct"/>
            <w:shd w:val="clear" w:color="auto" w:fill="auto"/>
            <w:vAlign w:val="center"/>
          </w:tcPr>
          <w:p>
            <w:pPr>
              <w:widowControl/>
              <w:spacing w:line="360" w:lineRule="exact"/>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负债总计</w:t>
            </w:r>
          </w:p>
        </w:tc>
        <w:tc>
          <w:tcPr>
            <w:tcW w:w="404" w:type="pct"/>
            <w:vAlign w:val="center"/>
          </w:tcPr>
          <w:p>
            <w:pPr>
              <w:widowControl/>
              <w:spacing w:line="360" w:lineRule="exact"/>
              <w:jc w:val="right"/>
              <w:rPr>
                <w:rFonts w:ascii="宋体" w:hAnsi="宋体" w:eastAsia="宋体" w:cs="Times New Roman"/>
                <w:color w:val="000000"/>
                <w:kern w:val="0"/>
                <w:szCs w:val="21"/>
              </w:rPr>
            </w:pPr>
          </w:p>
        </w:tc>
        <w:tc>
          <w:tcPr>
            <w:tcW w:w="505" w:type="pct"/>
            <w:vAlign w:val="center"/>
          </w:tcPr>
          <w:p>
            <w:pPr>
              <w:widowControl/>
              <w:spacing w:line="360" w:lineRule="exact"/>
              <w:jc w:val="right"/>
              <w:rPr>
                <w:rFonts w:ascii="宋体" w:hAnsi="宋体" w:eastAsia="宋体" w:cs="Times New Roman"/>
                <w:b/>
                <w:color w:val="000000"/>
                <w:kern w:val="0"/>
                <w:szCs w:val="21"/>
              </w:rPr>
            </w:pPr>
          </w:p>
        </w:tc>
        <w:tc>
          <w:tcPr>
            <w:tcW w:w="505" w:type="pct"/>
            <w:shd w:val="clear" w:color="auto" w:fill="auto"/>
            <w:vAlign w:val="center"/>
          </w:tcPr>
          <w:p>
            <w:pPr>
              <w:widowControl/>
              <w:spacing w:line="360" w:lineRule="exact"/>
              <w:jc w:val="right"/>
              <w:rPr>
                <w:rFonts w:ascii="宋体" w:hAnsi="宋体" w:eastAsia="宋体" w:cs="Times New Roman"/>
                <w:color w:val="000000"/>
                <w:kern w:val="0"/>
                <w:szCs w:val="21"/>
              </w:rPr>
            </w:pPr>
          </w:p>
        </w:tc>
        <w:tc>
          <w:tcPr>
            <w:tcW w:w="505" w:type="pct"/>
            <w:shd w:val="clear" w:color="auto" w:fill="auto"/>
            <w:vAlign w:val="center"/>
          </w:tcPr>
          <w:p>
            <w:pPr>
              <w:widowControl/>
              <w:spacing w:line="360" w:lineRule="exact"/>
              <w:jc w:val="right"/>
              <w:rPr>
                <w:rFonts w:ascii="宋体" w:hAnsi="宋体" w:eastAsia="宋体" w:cs="宋体"/>
                <w:b/>
                <w:bCs/>
                <w:color w:val="000000"/>
                <w:kern w:val="0"/>
                <w:szCs w:val="21"/>
              </w:rPr>
            </w:pPr>
          </w:p>
        </w:tc>
        <w:tc>
          <w:tcPr>
            <w:tcW w:w="504" w:type="pct"/>
            <w:shd w:val="clear" w:color="auto" w:fill="auto"/>
            <w:vAlign w:val="center"/>
          </w:tcPr>
          <w:p>
            <w:pPr>
              <w:widowControl/>
              <w:spacing w:line="360" w:lineRule="exact"/>
              <w:jc w:val="right"/>
              <w:rPr>
                <w:rFonts w:ascii="宋体" w:hAnsi="宋体" w:eastAsia="宋体" w:cs="宋体"/>
                <w:b/>
                <w:bCs/>
                <w:color w:val="000000"/>
                <w:kern w:val="0"/>
                <w:szCs w:val="21"/>
              </w:rPr>
            </w:pPr>
          </w:p>
        </w:tc>
        <w:tc>
          <w:tcPr>
            <w:tcW w:w="506" w:type="pct"/>
            <w:shd w:val="clear" w:color="auto" w:fill="auto"/>
            <w:vAlign w:val="center"/>
          </w:tcPr>
          <w:p>
            <w:pPr>
              <w:widowControl/>
              <w:spacing w:line="360" w:lineRule="exact"/>
              <w:jc w:val="right"/>
              <w:rPr>
                <w:rFonts w:ascii="宋体" w:hAnsi="宋体" w:eastAsia="宋体" w:cs="宋体"/>
                <w:b/>
                <w:bCs/>
                <w:color w:val="000000"/>
                <w:kern w:val="0"/>
                <w:szCs w:val="21"/>
              </w:rPr>
            </w:pPr>
          </w:p>
        </w:tc>
        <w:tc>
          <w:tcPr>
            <w:tcW w:w="504" w:type="pct"/>
            <w:shd w:val="clear" w:color="auto" w:fill="auto"/>
            <w:vAlign w:val="center"/>
          </w:tcPr>
          <w:p>
            <w:pPr>
              <w:widowControl/>
              <w:spacing w:line="360" w:lineRule="exact"/>
              <w:jc w:val="right"/>
              <w:rPr>
                <w:rFonts w:ascii="宋体" w:hAnsi="宋体" w:eastAsia="宋体" w:cs="宋体"/>
                <w:b/>
                <w:bCs/>
                <w:color w:val="000000"/>
                <w:kern w:val="0"/>
                <w:szCs w:val="21"/>
              </w:rPr>
            </w:pPr>
          </w:p>
        </w:tc>
        <w:tc>
          <w:tcPr>
            <w:tcW w:w="505" w:type="pct"/>
            <w:shd w:val="clear" w:color="auto" w:fill="auto"/>
            <w:vAlign w:val="center"/>
          </w:tcPr>
          <w:p>
            <w:pPr>
              <w:widowControl/>
              <w:spacing w:line="360" w:lineRule="exact"/>
              <w:jc w:val="right"/>
              <w:rPr>
                <w:rFonts w:ascii="宋体" w:hAnsi="宋体" w:eastAsia="宋体" w:cs="宋体"/>
                <w:b/>
                <w:bCs/>
                <w:color w:val="000000"/>
                <w:kern w:val="0"/>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针对占比较高（一般为占最近一年末总资产比例10%以上）、绝对金额较大或变动幅度较大（一般为变化幅度超过30%）的负债科目进行简要分析说明。（要求语言精简、概括、突出重点，避免直接复制募集说明书，无特殊情况每个科目不超过200字）</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2.有息负债情况：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（1）文字简述发行人报告期末有息负债规模及其在负债总额中所占比重，并说明一年内到期的有息负债金额及其占有息负债总额的比重。</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（2）文字简述报告期末有息负债中银行借款所占比重，及银行借款加上债务融资工具余额所占比重。</w:t>
      </w:r>
    </w:p>
    <w:p>
      <w:pPr>
        <w:keepNext w:val="0"/>
        <w:keepLines w:val="0"/>
        <w:pageBreakBefore w:val="0"/>
        <w:widowControl w:val="0"/>
        <w:tabs>
          <w:tab w:val="left" w:pos="756"/>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sz w:val="32"/>
          <w:szCs w:val="32"/>
        </w:rPr>
        <w:t>（3）</w:t>
      </w:r>
      <w:r>
        <w:rPr>
          <w:rFonts w:hint="eastAsia" w:ascii="仿宋" w:hAnsi="仿宋" w:eastAsia="仿宋" w:cs="仿宋"/>
          <w:kern w:val="0"/>
          <w:sz w:val="32"/>
          <w:szCs w:val="32"/>
        </w:rPr>
        <w:t>发行</w:t>
      </w:r>
      <w:r>
        <w:rPr>
          <w:rFonts w:hint="eastAsia" w:ascii="仿宋" w:hAnsi="仿宋" w:eastAsia="仿宋" w:cs="仿宋"/>
          <w:kern w:val="0"/>
          <w:sz w:val="32"/>
          <w:szCs w:val="32"/>
          <w:highlight w:val="none"/>
        </w:rPr>
        <w:t>人原则上</w:t>
      </w:r>
      <w:r>
        <w:rPr>
          <w:rFonts w:hint="eastAsia" w:ascii="仿宋" w:hAnsi="仿宋" w:eastAsia="仿宋" w:cs="仿宋"/>
          <w:kern w:val="0"/>
          <w:sz w:val="32"/>
          <w:szCs w:val="32"/>
        </w:rPr>
        <w:t>应</w:t>
      </w:r>
      <w:r>
        <w:rPr>
          <w:rFonts w:hint="eastAsia" w:ascii="仿宋" w:hAnsi="仿宋" w:eastAsia="仿宋" w:cs="仿宋"/>
          <w:sz w:val="32"/>
          <w:szCs w:val="32"/>
          <w:lang w:val="en-US" w:eastAsia="zh-CN"/>
        </w:rPr>
        <w:t>当</w:t>
      </w:r>
      <w:r>
        <w:rPr>
          <w:rFonts w:hint="eastAsia" w:ascii="仿宋" w:hAnsi="仿宋" w:eastAsia="仿宋" w:cs="仿宋"/>
          <w:kern w:val="0"/>
          <w:sz w:val="32"/>
          <w:szCs w:val="32"/>
        </w:rPr>
        <w:t>提供如下有息负债结构的变动情况：</w:t>
      </w:r>
    </w:p>
    <w:p>
      <w:pPr>
        <w:adjustRightInd w:val="0"/>
        <w:snapToGrid w:val="0"/>
        <w:spacing w:before="120" w:after="120" w:line="240" w:lineRule="auto"/>
        <w:ind w:firstLine="420" w:firstLineChars="200"/>
        <w:contextualSpacing/>
        <w:jc w:val="right"/>
        <w:rPr>
          <w:rFonts w:hint="eastAsia" w:ascii="宋体" w:hAnsi="宋体" w:eastAsia="宋体" w:cs="宋体"/>
          <w:color w:val="000000"/>
          <w:sz w:val="21"/>
          <w:szCs w:val="21"/>
        </w:rPr>
      </w:pPr>
      <w:r>
        <w:rPr>
          <w:rFonts w:hint="eastAsia" w:ascii="宋体" w:hAnsi="宋体" w:eastAsia="宋体" w:cs="宋体"/>
          <w:color w:val="000000"/>
          <w:sz w:val="21"/>
          <w:szCs w:val="21"/>
        </w:rPr>
        <w:t>单位：亿元，%</w:t>
      </w:r>
    </w:p>
    <w:tbl>
      <w:tblPr>
        <w:tblStyle w:val="12"/>
        <w:tblW w:w="100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875"/>
        <w:gridCol w:w="708"/>
        <w:gridCol w:w="851"/>
        <w:gridCol w:w="709"/>
        <w:gridCol w:w="850"/>
        <w:gridCol w:w="709"/>
        <w:gridCol w:w="709"/>
        <w:gridCol w:w="708"/>
        <w:gridCol w:w="779"/>
        <w:gridCol w:w="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vMerge w:val="restart"/>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1583" w:type="dxa"/>
            <w:gridSpan w:val="2"/>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一年以内（含1年）</w:t>
            </w:r>
          </w:p>
        </w:tc>
        <w:tc>
          <w:tcPr>
            <w:tcW w:w="1560" w:type="dxa"/>
            <w:gridSpan w:val="2"/>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20XX年X月</w:t>
            </w:r>
            <w:r>
              <w:rPr>
                <w:rFonts w:hint="eastAsia" w:ascii="宋体" w:hAnsi="宋体" w:eastAsia="宋体" w:cs="宋体"/>
                <w:b/>
                <w:bCs/>
                <w:color w:val="000000"/>
                <w:kern w:val="0"/>
                <w:sz w:val="21"/>
                <w:szCs w:val="21"/>
                <w:lang w:eastAsia="zh-CN"/>
              </w:rPr>
              <w:t>末</w:t>
            </w:r>
          </w:p>
        </w:tc>
        <w:tc>
          <w:tcPr>
            <w:tcW w:w="1559" w:type="dxa"/>
            <w:gridSpan w:val="2"/>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20XX年</w:t>
            </w:r>
            <w:r>
              <w:rPr>
                <w:rFonts w:hint="eastAsia" w:ascii="宋体" w:hAnsi="宋体" w:eastAsia="宋体" w:cs="宋体"/>
                <w:b/>
                <w:bCs/>
                <w:color w:val="000000"/>
                <w:kern w:val="0"/>
                <w:sz w:val="21"/>
                <w:szCs w:val="21"/>
                <w:lang w:eastAsia="zh-CN"/>
              </w:rPr>
              <w:t>末</w:t>
            </w:r>
          </w:p>
        </w:tc>
        <w:tc>
          <w:tcPr>
            <w:tcW w:w="1417" w:type="dxa"/>
            <w:gridSpan w:val="2"/>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20XX年</w:t>
            </w:r>
            <w:r>
              <w:rPr>
                <w:rFonts w:hint="eastAsia" w:ascii="宋体" w:hAnsi="宋体" w:eastAsia="宋体" w:cs="宋体"/>
                <w:b/>
                <w:bCs/>
                <w:color w:val="000000"/>
                <w:kern w:val="0"/>
                <w:sz w:val="21"/>
                <w:szCs w:val="21"/>
                <w:lang w:eastAsia="zh-CN"/>
              </w:rPr>
              <w:t>末</w:t>
            </w:r>
          </w:p>
        </w:tc>
        <w:tc>
          <w:tcPr>
            <w:tcW w:w="1488" w:type="dxa"/>
            <w:gridSpan w:val="2"/>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20XX年</w:t>
            </w:r>
            <w:r>
              <w:rPr>
                <w:rFonts w:hint="eastAsia" w:ascii="宋体" w:hAnsi="宋体" w:eastAsia="宋体" w:cs="宋体"/>
                <w:b/>
                <w:bCs/>
                <w:color w:val="000000"/>
                <w:kern w:val="0"/>
                <w:sz w:val="21"/>
                <w:szCs w:val="21"/>
                <w:lang w:eastAsia="zh-CN"/>
              </w:rPr>
              <w:t>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55" w:type="dxa"/>
            <w:vMerge w:val="continue"/>
            <w:tcBorders>
              <w:tl2br w:val="nil"/>
              <w:tr2bl w:val="nil"/>
            </w:tcBorders>
            <w:noWrap/>
            <w:vAlign w:val="center"/>
          </w:tcPr>
          <w:p>
            <w:pPr>
              <w:spacing w:line="240" w:lineRule="auto"/>
              <w:jc w:val="center"/>
              <w:rPr>
                <w:rFonts w:hint="eastAsia" w:ascii="宋体" w:hAnsi="宋体" w:eastAsia="宋体" w:cs="宋体"/>
                <w:b/>
                <w:bCs/>
                <w:color w:val="000000"/>
                <w:sz w:val="21"/>
                <w:szCs w:val="21"/>
              </w:rPr>
            </w:pPr>
          </w:p>
        </w:tc>
        <w:tc>
          <w:tcPr>
            <w:tcW w:w="875"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金额</w:t>
            </w:r>
          </w:p>
        </w:tc>
        <w:tc>
          <w:tcPr>
            <w:tcW w:w="708"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占比</w:t>
            </w:r>
          </w:p>
        </w:tc>
        <w:tc>
          <w:tcPr>
            <w:tcW w:w="851"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金额</w:t>
            </w:r>
          </w:p>
        </w:tc>
        <w:tc>
          <w:tcPr>
            <w:tcW w:w="709"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占比</w:t>
            </w:r>
          </w:p>
        </w:tc>
        <w:tc>
          <w:tcPr>
            <w:tcW w:w="850"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金额</w:t>
            </w:r>
          </w:p>
        </w:tc>
        <w:tc>
          <w:tcPr>
            <w:tcW w:w="709"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占比</w:t>
            </w:r>
          </w:p>
        </w:tc>
        <w:tc>
          <w:tcPr>
            <w:tcW w:w="709"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金额</w:t>
            </w:r>
          </w:p>
        </w:tc>
        <w:tc>
          <w:tcPr>
            <w:tcW w:w="708"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占比</w:t>
            </w:r>
          </w:p>
        </w:tc>
        <w:tc>
          <w:tcPr>
            <w:tcW w:w="779"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金额</w:t>
            </w:r>
          </w:p>
        </w:tc>
        <w:tc>
          <w:tcPr>
            <w:tcW w:w="709" w:type="dxa"/>
            <w:tcBorders>
              <w:tl2br w:val="nil"/>
              <w:tr2bl w:val="nil"/>
            </w:tcBorders>
            <w:noWrap/>
            <w:vAlign w:val="center"/>
          </w:tcPr>
          <w:p>
            <w:pPr>
              <w:widowControl/>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银行贷款</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其中担保贷款</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其中：政策性银行</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国有六大行</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bookmarkStart w:id="31" w:name="_GoBack"/>
            <w:bookmarkEnd w:id="31"/>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股份制银行</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地方城商行</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地方农商行</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其他银行</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债券融资</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其中：公司债券</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企业债券</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债务融资工具</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非标融资</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其中：信托融资</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融资租赁</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保险融资计划</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区域股权市场融资</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其他融资</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其中：请按企业实际情况列举具体构成</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地方专项债券转贷等</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455" w:type="dxa"/>
            <w:tcBorders>
              <w:tl2br w:val="nil"/>
              <w:tr2bl w:val="nil"/>
            </w:tcBorders>
            <w:noWrap/>
            <w:vAlign w:val="center"/>
          </w:tcPr>
          <w:p>
            <w:pPr>
              <w:widowControl/>
              <w:spacing w:line="24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合计</w:t>
            </w:r>
          </w:p>
        </w:tc>
        <w:tc>
          <w:tcPr>
            <w:tcW w:w="875"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1"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850"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8"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7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c>
          <w:tcPr>
            <w:tcW w:w="709" w:type="dxa"/>
            <w:tcBorders>
              <w:tl2br w:val="nil"/>
              <w:tr2bl w:val="nil"/>
            </w:tcBorders>
            <w:noWrap/>
            <w:vAlign w:val="center"/>
          </w:tcPr>
          <w:p>
            <w:pPr>
              <w:spacing w:line="240" w:lineRule="auto"/>
              <w:jc w:val="center"/>
              <w:rPr>
                <w:rFonts w:hint="eastAsia" w:ascii="宋体" w:hAnsi="宋体" w:eastAsia="宋体" w:cs="宋体"/>
                <w:color w:val="000000"/>
                <w:sz w:val="21"/>
                <w:szCs w:val="21"/>
              </w:rPr>
            </w:pPr>
          </w:p>
        </w:tc>
      </w:tr>
    </w:tbl>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kern w:val="0"/>
          <w:sz w:val="32"/>
          <w:szCs w:val="32"/>
        </w:rPr>
        <w:t>其中</w:t>
      </w:r>
      <w:r>
        <w:rPr>
          <w:rFonts w:hint="eastAsia" w:ascii="仿宋" w:hAnsi="仿宋" w:eastAsia="仿宋" w:cs="仿宋"/>
          <w:sz w:val="32"/>
          <w:szCs w:val="32"/>
        </w:rPr>
        <w:t>截至募集说明书签署日</w:t>
      </w:r>
      <w:r>
        <w:rPr>
          <w:rFonts w:hint="eastAsia" w:ascii="仿宋" w:hAnsi="仿宋" w:eastAsia="仿宋" w:cs="仿宋"/>
          <w:kern w:val="0"/>
          <w:sz w:val="32"/>
          <w:szCs w:val="32"/>
        </w:rPr>
        <w:t>，发行人</w:t>
      </w:r>
      <w:r>
        <w:rPr>
          <w:rFonts w:hint="eastAsia" w:ascii="仿宋" w:hAnsi="仿宋" w:eastAsia="仿宋" w:cs="仿宋"/>
          <w:sz w:val="32"/>
          <w:szCs w:val="32"/>
        </w:rPr>
        <w:t>及其合并范围内子公司已发行尚未兑付的债券情况如下：</w:t>
      </w:r>
    </w:p>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单位：亿元、年、%</w:t>
      </w:r>
    </w:p>
    <w:tbl>
      <w:tblPr>
        <w:tblStyle w:val="12"/>
        <w:tblW w:w="54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4"/>
        <w:gridCol w:w="1941"/>
        <w:gridCol w:w="986"/>
        <w:gridCol w:w="992"/>
        <w:gridCol w:w="992"/>
        <w:gridCol w:w="851"/>
        <w:gridCol w:w="1134"/>
        <w:gridCol w:w="924"/>
        <w:gridCol w:w="8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19" w:type="dxa"/>
            <w:gridSpan w:val="2"/>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941"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债券简称</w:t>
            </w:r>
          </w:p>
        </w:tc>
        <w:tc>
          <w:tcPr>
            <w:tcW w:w="986"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发行</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日期</w:t>
            </w:r>
          </w:p>
        </w:tc>
        <w:tc>
          <w:tcPr>
            <w:tcW w:w="992"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回售</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日期</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（如有）</w:t>
            </w:r>
          </w:p>
        </w:tc>
        <w:tc>
          <w:tcPr>
            <w:tcW w:w="992"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到期</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日期</w:t>
            </w:r>
          </w:p>
        </w:tc>
        <w:tc>
          <w:tcPr>
            <w:tcW w:w="851"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债券</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期限</w:t>
            </w:r>
          </w:p>
        </w:tc>
        <w:tc>
          <w:tcPr>
            <w:tcW w:w="1134"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发行</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规模</w:t>
            </w:r>
          </w:p>
        </w:tc>
        <w:tc>
          <w:tcPr>
            <w:tcW w:w="924"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发行</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利率</w:t>
            </w:r>
          </w:p>
        </w:tc>
        <w:tc>
          <w:tcPr>
            <w:tcW w:w="833"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余额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公募公司债券小计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私募公司债券小计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公司债券小计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债务融资工具小计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企业债券小计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其他小计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合计</w:t>
            </w:r>
          </w:p>
        </w:tc>
        <w:tc>
          <w:tcPr>
            <w:tcW w:w="986"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12"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3.截至募集说明书签署日，发行人及其合并范围内子公司在境内各债券市场已获注册/备案尚未发行的债券产品情况如下：</w:t>
      </w:r>
    </w:p>
    <w:p>
      <w:pPr>
        <w:widowControl/>
        <w:adjustRightInd w:val="0"/>
        <w:spacing w:line="240" w:lineRule="auto"/>
        <w:jc w:val="right"/>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单位：亿元</w:t>
      </w:r>
    </w:p>
    <w:tbl>
      <w:tblPr>
        <w:tblStyle w:val="12"/>
        <w:tblW w:w="495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1988"/>
        <w:gridCol w:w="1988"/>
        <w:gridCol w:w="1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pct"/>
            <w:tcBorders>
              <w:tl2br w:val="nil"/>
              <w:tr2bl w:val="nil"/>
            </w:tcBorders>
            <w:shd w:val="clear" w:color="auto" w:fill="auto"/>
            <w:vAlign w:val="center"/>
          </w:tcPr>
          <w:p>
            <w:pPr>
              <w:widowControl/>
              <w:adjustRightInd w:val="0"/>
              <w:snapToGrid w:val="0"/>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获取批文主体名称</w:t>
            </w:r>
          </w:p>
        </w:tc>
        <w:tc>
          <w:tcPr>
            <w:tcW w:w="1177" w:type="pct"/>
            <w:tcBorders>
              <w:tl2br w:val="nil"/>
              <w:tr2bl w:val="nil"/>
            </w:tcBorders>
            <w:shd w:val="clear" w:color="auto" w:fill="auto"/>
            <w:noWrap/>
            <w:vAlign w:val="center"/>
          </w:tcPr>
          <w:p>
            <w:pPr>
              <w:widowControl/>
              <w:adjustRightInd w:val="0"/>
              <w:snapToGrid w:val="0"/>
              <w:spacing w:line="240" w:lineRule="auto"/>
              <w:jc w:val="center"/>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债券产品类型</w:t>
            </w:r>
          </w:p>
        </w:tc>
        <w:tc>
          <w:tcPr>
            <w:tcW w:w="1177" w:type="pct"/>
            <w:tcBorders>
              <w:tl2br w:val="nil"/>
              <w:tr2bl w:val="nil"/>
            </w:tcBorders>
            <w:vAlign w:val="center"/>
          </w:tcPr>
          <w:p>
            <w:pPr>
              <w:widowControl/>
              <w:adjustRightInd w:val="0"/>
              <w:snapToGrid w:val="0"/>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剩余未发行额度</w:t>
            </w:r>
          </w:p>
        </w:tc>
        <w:tc>
          <w:tcPr>
            <w:tcW w:w="1178" w:type="pct"/>
            <w:tcBorders>
              <w:tl2br w:val="nil"/>
              <w:tr2bl w:val="nil"/>
            </w:tcBorders>
            <w:shd w:val="clear" w:color="auto" w:fill="auto"/>
            <w:noWrap/>
            <w:vAlign w:val="center"/>
          </w:tcPr>
          <w:p>
            <w:pPr>
              <w:widowControl/>
              <w:adjustRightInd w:val="0"/>
              <w:snapToGrid w:val="0"/>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批文到期日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pct"/>
            <w:tcBorders>
              <w:tl2br w:val="nil"/>
              <w:tr2bl w:val="nil"/>
            </w:tcBorders>
            <w:shd w:val="clear" w:color="auto" w:fill="auto"/>
            <w:noWrap/>
            <w:vAlign w:val="center"/>
          </w:tcPr>
          <w:p>
            <w:pPr>
              <w:widowControl/>
              <w:adjustRightInd w:val="0"/>
              <w:snapToGrid w:val="0"/>
              <w:spacing w:line="240" w:lineRule="auto"/>
              <w:jc w:val="left"/>
              <w:rPr>
                <w:rFonts w:hint="eastAsia" w:ascii="宋体" w:hAnsi="宋体" w:eastAsia="宋体" w:cs="宋体"/>
                <w:color w:val="000000"/>
                <w:kern w:val="0"/>
                <w:sz w:val="21"/>
                <w:szCs w:val="21"/>
              </w:rPr>
            </w:pPr>
          </w:p>
        </w:tc>
        <w:tc>
          <w:tcPr>
            <w:tcW w:w="1177"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7" w:type="pct"/>
            <w:tcBorders>
              <w:tl2br w:val="nil"/>
              <w:tr2bl w:val="nil"/>
            </w:tcBorders>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8"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pct"/>
            <w:tcBorders>
              <w:tl2br w:val="nil"/>
              <w:tr2bl w:val="nil"/>
            </w:tcBorders>
            <w:shd w:val="clear" w:color="auto" w:fill="auto"/>
            <w:noWrap/>
            <w:vAlign w:val="center"/>
          </w:tcPr>
          <w:p>
            <w:pPr>
              <w:widowControl/>
              <w:adjustRightInd w:val="0"/>
              <w:snapToGrid w:val="0"/>
              <w:spacing w:line="240" w:lineRule="auto"/>
              <w:jc w:val="left"/>
              <w:rPr>
                <w:rFonts w:hint="eastAsia" w:ascii="宋体" w:hAnsi="宋体" w:eastAsia="宋体" w:cs="宋体"/>
                <w:color w:val="000000"/>
                <w:kern w:val="0"/>
                <w:sz w:val="21"/>
                <w:szCs w:val="21"/>
              </w:rPr>
            </w:pPr>
          </w:p>
        </w:tc>
        <w:tc>
          <w:tcPr>
            <w:tcW w:w="1177"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7" w:type="pct"/>
            <w:tcBorders>
              <w:tl2br w:val="nil"/>
              <w:tr2bl w:val="nil"/>
            </w:tcBorders>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8"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pct"/>
            <w:tcBorders>
              <w:tl2br w:val="nil"/>
              <w:tr2bl w:val="nil"/>
            </w:tcBorders>
            <w:shd w:val="clear" w:color="auto" w:fill="auto"/>
            <w:noWrap/>
            <w:vAlign w:val="center"/>
          </w:tcPr>
          <w:p>
            <w:pPr>
              <w:widowControl/>
              <w:adjustRightInd w:val="0"/>
              <w:snapToGrid w:val="0"/>
              <w:spacing w:line="240" w:lineRule="auto"/>
              <w:ind w:right="210"/>
              <w:jc w:val="left"/>
              <w:rPr>
                <w:rFonts w:hint="eastAsia" w:ascii="宋体" w:hAnsi="宋体" w:eastAsia="宋体" w:cs="宋体"/>
                <w:color w:val="000000"/>
                <w:kern w:val="0"/>
                <w:sz w:val="21"/>
                <w:szCs w:val="21"/>
              </w:rPr>
            </w:pPr>
          </w:p>
        </w:tc>
        <w:tc>
          <w:tcPr>
            <w:tcW w:w="1177"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7" w:type="pct"/>
            <w:tcBorders>
              <w:tl2br w:val="nil"/>
              <w:tr2bl w:val="nil"/>
            </w:tcBorders>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8"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pct"/>
            <w:tcBorders>
              <w:tl2br w:val="nil"/>
              <w:tr2bl w:val="nil"/>
            </w:tcBorders>
            <w:shd w:val="clear" w:color="auto" w:fill="auto"/>
            <w:noWrap/>
            <w:vAlign w:val="center"/>
          </w:tcPr>
          <w:p>
            <w:pPr>
              <w:widowControl/>
              <w:adjustRightInd w:val="0"/>
              <w:snapToGrid w:val="0"/>
              <w:spacing w:line="240" w:lineRule="auto"/>
              <w:ind w:right="210"/>
              <w:jc w:val="left"/>
              <w:rPr>
                <w:rFonts w:hint="eastAsia" w:ascii="宋体" w:hAnsi="宋体" w:eastAsia="宋体" w:cs="宋体"/>
                <w:color w:val="000000"/>
                <w:kern w:val="0"/>
                <w:sz w:val="21"/>
                <w:szCs w:val="21"/>
              </w:rPr>
            </w:pPr>
          </w:p>
        </w:tc>
        <w:tc>
          <w:tcPr>
            <w:tcW w:w="1177"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7" w:type="pct"/>
            <w:tcBorders>
              <w:tl2br w:val="nil"/>
              <w:tr2bl w:val="nil"/>
            </w:tcBorders>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8"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8" w:type="pct"/>
            <w:tcBorders>
              <w:tl2br w:val="nil"/>
              <w:tr2bl w:val="nil"/>
            </w:tcBorders>
            <w:shd w:val="clear" w:color="auto" w:fill="auto"/>
            <w:noWrap/>
            <w:vAlign w:val="center"/>
          </w:tcPr>
          <w:p>
            <w:pPr>
              <w:widowControl/>
              <w:adjustRightInd w:val="0"/>
              <w:snapToGrid w:val="0"/>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77"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7" w:type="pct"/>
            <w:tcBorders>
              <w:tl2br w:val="nil"/>
              <w:tr2bl w:val="nil"/>
            </w:tcBorders>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c>
          <w:tcPr>
            <w:tcW w:w="1178" w:type="pct"/>
            <w:tcBorders>
              <w:tl2br w:val="nil"/>
              <w:tr2bl w:val="nil"/>
            </w:tcBorders>
            <w:shd w:val="clear" w:color="auto" w:fill="auto"/>
            <w:noWrap/>
            <w:vAlign w:val="center"/>
          </w:tcPr>
          <w:p>
            <w:pPr>
              <w:widowControl/>
              <w:adjustRightInd w:val="0"/>
              <w:snapToGrid w:val="0"/>
              <w:spacing w:line="240" w:lineRule="auto"/>
              <w:jc w:val="right"/>
              <w:rPr>
                <w:rFonts w:hint="eastAsia" w:ascii="宋体" w:hAnsi="宋体" w:eastAsia="宋体" w:cs="宋体"/>
                <w:color w:val="000000"/>
                <w:kern w:val="0"/>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发行人报告期内是否存在申请公司信用类债券被终止、退卷的情况，如有，请详细说明并补充原因。请主承销商提供核查意见。</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4.请说明截至募集说明书签署日，发行人及发行人所属集团债券融资情况：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（1）发行人债券融资情况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截至募集说明书签署日，发行人存量债券余额为XX亿元，其中公司债券XX亿元，债务融资工具XX亿元，企业债券XX亿元。</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发行人已注册未发行债券额度为XX亿元，其中公司债券XX亿元，募集资金用途中XX亿元为偿还公司债券，XX亿元偿还有息债务，XX亿元补充流动资金或项目建设；债务融资工具XX亿元；企业债券XX亿元。</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除本次申报外，发行人在沪深北三所在审公司债券XX只，申报规模XX亿元，募集资金用途中XX亿元为偿还公司债券，XX亿元偿还有息债务，XX亿元补充流动资金或项目建设。（若在审项目较多，可以列表形式列示。）</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（2）发行人所属集团债券融资情况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①发行人控股股东为政府机构/XX，因此发行人自身即为集团发债主体。</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②发行人所属一级企业集团为XX公司，下属主要融资主体X家，截至募集说明书签署日，集团合计存量债券余额为XX亿元，其中公司债券XX亿元，债务融资工具XX亿元，企业债券XX亿元。</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集团合计已注册未发行债券额度为XX亿元，其中公司债券XX亿元，募集资金用途中XX亿元为偿还公司债券，XX亿元偿还有息债务，XX亿元补充流动资金或项目建设；债务融资工具XX亿元;企业债券XX亿元。</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除本次申报外，集团合计在沪深北三所在审公司债券XX只，申报规模XX亿元，募集资金用途中XX亿元为偿还公司债券，XX亿元偿还有息债务，XX亿元补充流动资金或项目建设。（若在审项目较多，可以列表形式列示。）</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5.资产受限情况（如有）</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截至报告期末，发行人受限资产金额为XX亿元，占总资产的比例为XX%。占比较大的，说明主要构成及受限原因。</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6.对外担保情况（如有）</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截至报告期末，发行人对外担保金额为XX亿元，占净资产的比例为XX%。说明是否存在代偿风险，对于对外担保超过净资产或被担保对象较为集中的，说明被担保对象的基本情况及资信情况。</w:t>
      </w:r>
    </w:p>
    <w:p>
      <w:pPr>
        <w:tabs>
          <w:tab w:val="left" w:pos="756"/>
        </w:tabs>
        <w:spacing w:line="560" w:lineRule="exact"/>
        <w:ind w:firstLine="640" w:firstLineChars="200"/>
        <w:textAlignment w:val="baseline"/>
        <w:outlineLvl w:val="9"/>
        <w:rPr>
          <w:rFonts w:hint="eastAsia" w:ascii="黑体" w:hAnsi="黑体" w:eastAsia="黑体" w:cs="Times New Roman"/>
          <w:b w:val="0"/>
          <w:kern w:val="0"/>
          <w:sz w:val="32"/>
          <w:szCs w:val="32"/>
        </w:rPr>
      </w:pPr>
      <w:r>
        <w:rPr>
          <w:rFonts w:hint="eastAsia" w:ascii="黑体" w:hAnsi="黑体" w:eastAsia="黑体" w:cs="Times New Roman"/>
          <w:b w:val="0"/>
          <w:kern w:val="0"/>
          <w:sz w:val="32"/>
          <w:szCs w:val="32"/>
        </w:rPr>
        <w:t>五、评级报告关注的主要风险（如有）</w:t>
      </w:r>
    </w:p>
    <w:p>
      <w:pPr>
        <w:tabs>
          <w:tab w:val="left" w:pos="0"/>
        </w:tabs>
        <w:spacing w:line="560" w:lineRule="exact"/>
        <w:ind w:firstLine="640" w:firstLineChars="200"/>
        <w:outlineLvl w:val="9"/>
        <w:rPr>
          <w:rFonts w:hint="eastAsia" w:ascii="楷体" w:hAnsi="楷体" w:eastAsia="楷体" w:cs="Times New Roman"/>
          <w:bCs/>
          <w:sz w:val="32"/>
          <w:szCs w:val="32"/>
        </w:rPr>
      </w:pPr>
      <w:r>
        <w:rPr>
          <w:rFonts w:hint="eastAsia" w:ascii="楷体" w:hAnsi="楷体" w:eastAsia="楷体" w:cs="Times New Roman"/>
          <w:bCs/>
          <w:sz w:val="32"/>
          <w:szCs w:val="32"/>
        </w:rPr>
        <w:t>（一）</w:t>
      </w:r>
    </w:p>
    <w:p>
      <w:pPr>
        <w:tabs>
          <w:tab w:val="left" w:pos="0"/>
        </w:tabs>
        <w:spacing w:line="560" w:lineRule="exact"/>
        <w:ind w:firstLine="640" w:firstLineChars="200"/>
        <w:outlineLvl w:val="9"/>
        <w:rPr>
          <w:rFonts w:hint="eastAsia" w:ascii="楷体" w:hAnsi="楷体" w:eastAsia="楷体" w:cs="Times New Roman"/>
          <w:bCs/>
          <w:sz w:val="32"/>
          <w:szCs w:val="32"/>
        </w:rPr>
      </w:pPr>
      <w:r>
        <w:rPr>
          <w:rFonts w:hint="eastAsia" w:ascii="楷体" w:hAnsi="楷体" w:eastAsia="楷体" w:cs="Times New Roman"/>
          <w:bCs/>
          <w:sz w:val="32"/>
          <w:szCs w:val="32"/>
        </w:rPr>
        <w:t>（二）</w:t>
      </w:r>
    </w:p>
    <w:p>
      <w:pPr>
        <w:tabs>
          <w:tab w:val="left" w:pos="0"/>
        </w:tabs>
        <w:spacing w:line="560" w:lineRule="exact"/>
        <w:ind w:firstLine="640" w:firstLineChars="200"/>
        <w:outlineLvl w:val="9"/>
        <w:rPr>
          <w:rFonts w:hint="eastAsia" w:ascii="楷体" w:hAnsi="楷体" w:eastAsia="楷体" w:cs="Times New Roman"/>
          <w:bCs/>
          <w:sz w:val="32"/>
          <w:szCs w:val="32"/>
        </w:rPr>
      </w:pPr>
      <w:r>
        <w:rPr>
          <w:rFonts w:hint="eastAsia" w:ascii="楷体" w:hAnsi="楷体" w:eastAsia="楷体" w:cs="Times New Roman"/>
          <w:bCs/>
          <w:sz w:val="32"/>
          <w:szCs w:val="32"/>
        </w:rPr>
        <w:t>（三）</w:t>
      </w:r>
    </w:p>
    <w:p>
      <w:pPr>
        <w:tabs>
          <w:tab w:val="left" w:pos="756"/>
        </w:tabs>
        <w:spacing w:line="560" w:lineRule="exact"/>
        <w:ind w:firstLine="640" w:firstLineChars="200"/>
        <w:textAlignment w:val="baseline"/>
        <w:outlineLvl w:val="9"/>
        <w:rPr>
          <w:rFonts w:hint="eastAsia" w:ascii="黑体" w:hAnsi="黑体" w:eastAsia="黑体" w:cs="Times New Roman"/>
          <w:b w:val="0"/>
          <w:kern w:val="0"/>
          <w:sz w:val="32"/>
          <w:szCs w:val="32"/>
        </w:rPr>
      </w:pPr>
      <w:r>
        <w:rPr>
          <w:rFonts w:hint="eastAsia" w:ascii="黑体" w:hAnsi="黑体" w:eastAsia="黑体" w:cs="Times New Roman"/>
          <w:b w:val="0"/>
          <w:kern w:val="0"/>
          <w:sz w:val="32"/>
          <w:szCs w:val="32"/>
        </w:rPr>
        <w:t>六、增信措施情况（如有）</w:t>
      </w:r>
    </w:p>
    <w:p>
      <w:pPr>
        <w:tabs>
          <w:tab w:val="left" w:pos="0"/>
        </w:tabs>
        <w:spacing w:line="560" w:lineRule="exact"/>
        <w:ind w:firstLine="640" w:firstLineChars="200"/>
        <w:outlineLvl w:val="9"/>
        <w:rPr>
          <w:rFonts w:hint="eastAsia" w:ascii="楷体" w:hAnsi="楷体" w:eastAsia="楷体" w:cs="Times New Roman"/>
          <w:bCs/>
          <w:sz w:val="32"/>
          <w:szCs w:val="32"/>
        </w:rPr>
      </w:pPr>
      <w:r>
        <w:rPr>
          <w:rFonts w:hint="eastAsia" w:ascii="楷体" w:hAnsi="楷体" w:eastAsia="楷体" w:cs="Times New Roman"/>
          <w:bCs/>
          <w:sz w:val="32"/>
          <w:szCs w:val="32"/>
        </w:rPr>
        <w:t>（一）担保人概况</w:t>
      </w:r>
    </w:p>
    <w:p>
      <w:pPr>
        <w:tabs>
          <w:tab w:val="left" w:pos="756"/>
        </w:tabs>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若担保人为专业担保机构，</w:t>
      </w:r>
      <w:r>
        <w:rPr>
          <w:rFonts w:hint="eastAsia" w:ascii="仿宋" w:hAnsi="仿宋" w:eastAsia="仿宋" w:cs="仿宋"/>
          <w:sz w:val="32"/>
          <w:szCs w:val="32"/>
          <w:lang w:eastAsia="zh-CN"/>
        </w:rPr>
        <w:t>应当</w:t>
      </w:r>
      <w:r>
        <w:rPr>
          <w:rFonts w:hint="eastAsia" w:ascii="仿宋" w:hAnsi="仿宋" w:eastAsia="仿宋" w:cs="仿宋"/>
          <w:sz w:val="32"/>
          <w:szCs w:val="32"/>
        </w:rPr>
        <w:t>列示担保人净资产放大倍数、担保人对发行人担保余额占非合并口径净资产的比例。</w:t>
      </w:r>
    </w:p>
    <w:p>
      <w:pPr>
        <w:tabs>
          <w:tab w:val="left" w:pos="756"/>
        </w:tabs>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担保人为本次债券增信的集中度指标及放大倍数均满足《融资担保公司监督管理条例》四项配套制度（银保监发〔2018〕1 号）及《关于印发融资担保公司监督管理补充规定的通知》（银保监发〔2019〕37 号）等文件的要求。</w:t>
      </w:r>
    </w:p>
    <w:p>
      <w:pPr>
        <w:tabs>
          <w:tab w:val="left" w:pos="756"/>
        </w:tabs>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若担保人为非专业担保机构，说明其与发行人之间的关系，简述担保人财务状况以及担保规模等情况。</w:t>
      </w:r>
    </w:p>
    <w:p>
      <w:pPr>
        <w:tabs>
          <w:tab w:val="left" w:pos="0"/>
        </w:tabs>
        <w:spacing w:line="560" w:lineRule="exact"/>
        <w:ind w:firstLine="640" w:firstLineChars="200"/>
        <w:outlineLvl w:val="9"/>
        <w:rPr>
          <w:rFonts w:hint="eastAsia"/>
        </w:rPr>
      </w:pPr>
      <w:r>
        <w:rPr>
          <w:rFonts w:hint="eastAsia" w:ascii="楷体" w:hAnsi="楷体" w:eastAsia="楷体" w:cs="Times New Roman"/>
          <w:bCs/>
          <w:sz w:val="32"/>
          <w:szCs w:val="32"/>
        </w:rPr>
        <w:t>（二）担保函的主要内容</w:t>
      </w:r>
    </w:p>
    <w:p>
      <w:pPr>
        <w:tabs>
          <w:tab w:val="left" w:pos="756"/>
        </w:tabs>
        <w:spacing w:line="600" w:lineRule="exact"/>
        <w:ind w:firstLine="640" w:firstLineChars="200"/>
        <w:textAlignment w:val="baseline"/>
        <w:outlineLvl w:val="9"/>
        <w:rPr>
          <w:rFonts w:hint="eastAsia" w:ascii="黑体" w:hAnsi="黑体" w:eastAsia="黑体"/>
          <w:b w:val="0"/>
          <w:bCs/>
          <w:kern w:val="0"/>
          <w:sz w:val="32"/>
          <w:szCs w:val="32"/>
        </w:rPr>
      </w:pPr>
      <w:r>
        <w:rPr>
          <w:rFonts w:hint="eastAsia" w:ascii="黑体" w:hAnsi="黑体" w:eastAsia="黑体"/>
          <w:bCs/>
          <w:kern w:val="0"/>
          <w:sz w:val="32"/>
          <w:szCs w:val="32"/>
          <w:lang w:eastAsia="zh-CN"/>
        </w:rPr>
        <w:t>七</w:t>
      </w:r>
      <w:r>
        <w:rPr>
          <w:rFonts w:hint="eastAsia" w:ascii="黑体" w:hAnsi="黑体" w:eastAsia="黑体"/>
          <w:b w:val="0"/>
          <w:bCs/>
          <w:kern w:val="0"/>
          <w:sz w:val="32"/>
          <w:szCs w:val="32"/>
        </w:rPr>
        <w:t>、本次债券发行、上市的合规性</w:t>
      </w:r>
    </w:p>
    <w:p>
      <w:pPr>
        <w:tabs>
          <w:tab w:val="left" w:pos="756"/>
        </w:tabs>
        <w:spacing w:line="600" w:lineRule="exact"/>
        <w:ind w:firstLine="640" w:firstLineChars="200"/>
        <w:textAlignment w:val="baseline"/>
        <w:outlineLvl w:val="9"/>
        <w:rPr>
          <w:rFonts w:hint="eastAsia" w:ascii="楷体" w:hAnsi="楷体" w:eastAsia="楷体" w:cs="楷体"/>
          <w:b w:val="0"/>
          <w:bCs/>
          <w:sz w:val="32"/>
          <w:szCs w:val="32"/>
        </w:rPr>
      </w:pPr>
      <w:r>
        <w:rPr>
          <w:rFonts w:hint="eastAsia" w:ascii="楷体" w:hAnsi="楷体" w:eastAsia="楷体" w:cs="楷体"/>
          <w:b w:val="0"/>
          <w:bCs/>
          <w:sz w:val="32"/>
          <w:szCs w:val="32"/>
        </w:rPr>
        <w:t>（一）公开发行条件核查</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0"/>
        <w:gridCol w:w="1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auto"/>
            <w:vAlign w:val="top"/>
          </w:tcPr>
          <w:p>
            <w:pPr>
              <w:spacing w:line="240" w:lineRule="auto"/>
              <w:jc w:val="left"/>
              <w:rPr>
                <w:rFonts w:hint="eastAsia" w:ascii="宋体" w:hAnsi="宋体" w:eastAsia="宋体" w:cs="宋体"/>
                <w:b/>
                <w:sz w:val="21"/>
                <w:szCs w:val="21"/>
              </w:rPr>
            </w:pPr>
            <w:r>
              <w:rPr>
                <w:rFonts w:hint="eastAsia" w:ascii="宋体" w:hAnsi="宋体" w:eastAsia="宋体" w:cs="宋体"/>
                <w:b/>
                <w:sz w:val="21"/>
                <w:szCs w:val="21"/>
              </w:rPr>
              <w:t>一、是否符合公司债券法定发行条件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1、具备健全且运行良好的组织机构。</w:t>
            </w:r>
          </w:p>
        </w:tc>
        <w:tc>
          <w:tcPr>
            <w:tcW w:w="114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2、是否符合最近三年平均可分配利润是否足以支付公司债券一年的利息的要求。</w:t>
            </w:r>
          </w:p>
        </w:tc>
        <w:tc>
          <w:tcPr>
            <w:tcW w:w="114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□否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3、最近三年实现的可分配利润持续为正。（如为企业债券需加上此条）</w:t>
            </w:r>
          </w:p>
        </w:tc>
        <w:tc>
          <w:tcPr>
            <w:tcW w:w="114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 xml:space="preserve">□是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4、具有合理的资产负债结构和正常的现金流量。</w:t>
            </w:r>
          </w:p>
        </w:tc>
        <w:tc>
          <w:tcPr>
            <w:tcW w:w="1145" w:type="pct"/>
            <w:shd w:val="clear" w:color="auto" w:fill="auto"/>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□是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5、是否满足公开发行公司债券筹集的资金，必须按照公司债券募集办法所列资金用途使用，不得用于弥补亏损和非生产性支出。</w:t>
            </w:r>
          </w:p>
        </w:tc>
        <w:tc>
          <w:tcPr>
            <w:tcW w:w="1145" w:type="pct"/>
            <w:shd w:val="clear" w:color="auto" w:fill="auto"/>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6、是否存在对已公开发行的公司债券或者其他债务有违约或者延迟支付本息的事实，仍处于继续状态的情形。</w:t>
            </w:r>
          </w:p>
        </w:tc>
        <w:tc>
          <w:tcPr>
            <w:tcW w:w="1145" w:type="pct"/>
            <w:shd w:val="clear" w:color="auto" w:fill="auto"/>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7、是否存在违反《证券法》规定，改变公开发行公司债券所募资金的用途的情形。</w:t>
            </w:r>
          </w:p>
        </w:tc>
        <w:tc>
          <w:tcPr>
            <w:tcW w:w="114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8、最近三年财务会计报告是否均被出具无保留意见审计报告。</w:t>
            </w:r>
          </w:p>
        </w:tc>
        <w:tc>
          <w:tcPr>
            <w:tcW w:w="114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5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9、是否存在严重损害投资者合法权益和社会公共利益的其他情形。</w:t>
            </w:r>
          </w:p>
        </w:tc>
        <w:tc>
          <w:tcPr>
            <w:tcW w:w="114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auto"/>
            <w:vAlign w:val="top"/>
          </w:tcPr>
          <w:p>
            <w:pPr>
              <w:spacing w:line="240" w:lineRule="auto"/>
              <w:jc w:val="left"/>
              <w:rPr>
                <w:rFonts w:hint="eastAsia" w:ascii="宋体" w:hAnsi="宋体" w:eastAsia="宋体" w:cs="宋体"/>
                <w:b/>
                <w:sz w:val="21"/>
                <w:szCs w:val="21"/>
              </w:rPr>
            </w:pPr>
            <w:r>
              <w:rPr>
                <w:rFonts w:hint="eastAsia" w:ascii="宋体" w:hAnsi="宋体" w:eastAsia="宋体" w:cs="宋体"/>
                <w:b/>
                <w:sz w:val="21"/>
                <w:szCs w:val="21"/>
              </w:rPr>
              <w:t>二、申请文件的有关情况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55" w:type="pct"/>
            <w:shd w:val="clear" w:color="auto" w:fill="auto"/>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1、申请文件是否符合24号准则等相关齐备性要求。</w:t>
            </w:r>
          </w:p>
        </w:tc>
        <w:tc>
          <w:tcPr>
            <w:tcW w:w="114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55" w:type="pct"/>
            <w:shd w:val="clear" w:color="auto" w:fill="auto"/>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2、申请文件是否符合《公司信用类债券信息披露管理办法》相关要求。</w:t>
            </w:r>
          </w:p>
        </w:tc>
        <w:tc>
          <w:tcPr>
            <w:tcW w:w="1145" w:type="pct"/>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bl>
    <w:p>
      <w:pPr>
        <w:tabs>
          <w:tab w:val="left" w:pos="756"/>
        </w:tabs>
        <w:spacing w:line="600" w:lineRule="exact"/>
        <w:ind w:firstLine="640" w:firstLineChars="200"/>
        <w:textAlignment w:val="baseline"/>
        <w:outlineLvl w:val="9"/>
        <w:rPr>
          <w:rFonts w:hint="eastAsia" w:ascii="楷体" w:hAnsi="楷体" w:eastAsia="楷体" w:cs="楷体"/>
          <w:b w:val="0"/>
          <w:bCs/>
          <w:sz w:val="32"/>
          <w:szCs w:val="32"/>
        </w:rPr>
      </w:pPr>
      <w:r>
        <w:rPr>
          <w:rFonts w:hint="eastAsia" w:ascii="楷体" w:hAnsi="楷体" w:eastAsia="楷体" w:cs="楷体"/>
          <w:b w:val="0"/>
          <w:bCs/>
          <w:sz w:val="32"/>
          <w:szCs w:val="32"/>
        </w:rPr>
        <w:t>（二）地方政府债务相关核查</w:t>
      </w:r>
    </w:p>
    <w:p>
      <w:pPr>
        <w:keepNext w:val="0"/>
        <w:keepLines w:val="0"/>
        <w:pageBreakBefore w:val="0"/>
        <w:widowControl w:val="0"/>
        <w:tabs>
          <w:tab w:val="left" w:pos="756"/>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简要概括发行人关于地方政府债务相关承诺，结论性概括主承销商相关核查意见。</w:t>
      </w:r>
    </w:p>
    <w:p>
      <w:pPr>
        <w:keepNext w:val="0"/>
        <w:keepLines w:val="0"/>
        <w:pageBreakBefore w:val="0"/>
        <w:widowControl w:val="0"/>
        <w:tabs>
          <w:tab w:val="left" w:pos="756"/>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如：经主承销商核查，发行人及本次债券符合地方政府性债务管理相关规定。发行人承诺本次债券不涉及新增地方政府债务，不用于偿还地方政府债务或违规用于公益性项目建设，并声明地方政府对本次债券不承担任何偿债责任。</w:t>
      </w:r>
    </w:p>
    <w:p>
      <w:pPr>
        <w:tabs>
          <w:tab w:val="left" w:pos="756"/>
        </w:tabs>
        <w:spacing w:line="600" w:lineRule="exact"/>
        <w:ind w:firstLine="640" w:firstLineChars="200"/>
        <w:textAlignment w:val="baseline"/>
        <w:outlineLvl w:val="9"/>
        <w:rPr>
          <w:rFonts w:hint="eastAsia" w:ascii="楷体" w:hAnsi="楷体" w:eastAsia="楷体" w:cs="楷体"/>
          <w:b w:val="0"/>
          <w:bCs/>
          <w:sz w:val="32"/>
          <w:szCs w:val="32"/>
        </w:rPr>
      </w:pPr>
      <w:r>
        <w:rPr>
          <w:rFonts w:hint="eastAsia" w:ascii="楷体" w:hAnsi="楷体" w:eastAsia="楷体" w:cs="楷体"/>
          <w:b w:val="0"/>
          <w:bCs/>
          <w:sz w:val="32"/>
          <w:szCs w:val="32"/>
        </w:rPr>
        <w:t>（三）房地产企业专项核查</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1.若发行人不从事任何房地产业务的，请明确：发行人不属于房地产行业，不从事房地产业务，不涉及房地产企业专项核查。</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2.若发行人属于房地产行业的，请进行以下说明：</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最近一年，发行人房地产业务收入占营业收入的XX%，发行人行业分类为房地产业-住宅地产/商业地产/保障房地产。根据《深圳证券交易所关于试行房地产、产能过剩行业公司债券分类监管的函》的要求，核查情况如下：</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（1）基础范围（请说明发行人符合基础范围的依据）。</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（2）综合指标评价（以表格形式列示综合指标评价结果）。</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经主承销商核查，发行人属于正常类/关注类/风险类房地产企业。</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（3）若发行人属于关注类/风险类房地产企业，请说明相关增信、信息披露和偿债安排等内容。</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发行人已于募集说明书中承诺本次债券募集资金不用于购置土地。</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3.发行人不属于房地产行业，但报告期内有房地产业务收入的</w:t>
      </w:r>
      <w:r>
        <w:rPr>
          <w:rFonts w:hint="eastAsia" w:ascii="仿宋" w:hAnsi="仿宋" w:eastAsia="仿宋" w:cs="仿宋"/>
          <w:sz w:val="32"/>
          <w:szCs w:val="32"/>
          <w:lang w:eastAsia="zh-CN"/>
        </w:rPr>
        <w:t>，</w:t>
      </w:r>
      <w:r>
        <w:rPr>
          <w:rFonts w:hint="eastAsia" w:ascii="仿宋" w:hAnsi="仿宋" w:eastAsia="仿宋" w:cs="仿宋"/>
          <w:sz w:val="32"/>
          <w:szCs w:val="32"/>
        </w:rPr>
        <w:t>请明确下列事项：</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b/>
          <w:sz w:val="32"/>
          <w:szCs w:val="32"/>
        </w:rPr>
      </w:pPr>
      <w:r>
        <w:rPr>
          <w:rFonts w:hint="eastAsia" w:ascii="仿宋" w:hAnsi="仿宋" w:eastAsia="仿宋" w:cs="仿宋"/>
          <w:sz w:val="32"/>
          <w:szCs w:val="32"/>
        </w:rPr>
        <w:t>发行人不属于房地产行业，但报告期内有房地产业务收入。最近一年，发行人房地产业务收入XX亿元，占当年度营业收入的XX%。</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经主承销商和发行人律师核查，报告期内，发行人不存在以下情形：</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（1）违反“国办发〔2013〕17号”规定的重大违法违规行为，或经自然资源部查处且尚未按规定整改；</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（2）房地产市场调控期间，在重点调控的热点城市竞拍“地王”，哄抬地价等行为；</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（3）因扰乱房地产市场秩序被住建部、自然资源部等主管部门查处的情形。</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发行人目前暂无将募集资金用于房地产业务的安排</w:t>
      </w:r>
      <w:r>
        <w:rPr>
          <w:rFonts w:hint="eastAsia" w:ascii="仿宋" w:hAnsi="仿宋" w:eastAsia="仿宋" w:cs="仿宋"/>
          <w:sz w:val="32"/>
          <w:szCs w:val="32"/>
          <w:lang w:eastAsia="zh-CN"/>
        </w:rPr>
        <w:t>。</w:t>
      </w:r>
    </w:p>
    <w:p>
      <w:pPr>
        <w:tabs>
          <w:tab w:val="left" w:pos="756"/>
        </w:tabs>
        <w:spacing w:line="600" w:lineRule="exact"/>
        <w:ind w:firstLine="640" w:firstLineChars="200"/>
        <w:textAlignment w:val="baseline"/>
        <w:outlineLvl w:val="9"/>
        <w:rPr>
          <w:rFonts w:hint="eastAsia" w:ascii="楷体" w:hAnsi="楷体" w:eastAsia="楷体" w:cs="楷体"/>
          <w:b w:val="0"/>
          <w:bCs/>
          <w:sz w:val="32"/>
          <w:szCs w:val="32"/>
        </w:rPr>
      </w:pPr>
      <w:r>
        <w:rPr>
          <w:rFonts w:hint="eastAsia" w:ascii="楷体" w:hAnsi="楷体" w:eastAsia="楷体" w:cs="楷体"/>
          <w:b w:val="0"/>
          <w:bCs/>
          <w:sz w:val="32"/>
          <w:szCs w:val="32"/>
        </w:rPr>
        <w:t>（四）大额资金拆借或非经营性占用核查</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请结合主承销商核查意见在此处说明大额资金拆借或非经营性占用核查相关情况。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color w:val="000000"/>
          <w:kern w:val="0"/>
          <w:sz w:val="32"/>
          <w:szCs w:val="32"/>
          <w:lang w:bidi="en-US"/>
        </w:rPr>
      </w:pPr>
      <w:r>
        <w:rPr>
          <w:rFonts w:hint="eastAsia" w:ascii="仿宋" w:hAnsi="仿宋" w:eastAsia="仿宋" w:cs="仿宋"/>
          <w:color w:val="000000"/>
          <w:kern w:val="0"/>
          <w:sz w:val="32"/>
          <w:szCs w:val="32"/>
          <w:lang w:bidi="en-US"/>
        </w:rPr>
        <w:t>综上所述，本次债券符合《证券法》《公司债券发行与交易管理办法》《</w:t>
      </w:r>
      <w:r>
        <w:rPr>
          <w:rFonts w:hint="eastAsia" w:ascii="仿宋" w:hAnsi="仿宋" w:eastAsia="仿宋" w:cs="仿宋"/>
          <w:color w:val="000000"/>
          <w:kern w:val="0"/>
          <w:sz w:val="32"/>
          <w:szCs w:val="32"/>
          <w:lang w:val="en-US" w:eastAsia="zh-CN" w:bidi="en-US"/>
        </w:rPr>
        <w:t>深圳</w:t>
      </w:r>
      <w:r>
        <w:rPr>
          <w:rFonts w:hint="eastAsia" w:ascii="仿宋" w:hAnsi="仿宋" w:eastAsia="仿宋" w:cs="仿宋"/>
          <w:color w:val="000000"/>
          <w:kern w:val="0"/>
          <w:sz w:val="32"/>
          <w:szCs w:val="32"/>
          <w:lang w:bidi="en-US"/>
        </w:rPr>
        <w:t>证券交易所公司债券上市规则》等规定的发行、上市条件及信息披露要求。</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color w:val="000000"/>
          <w:kern w:val="0"/>
          <w:sz w:val="32"/>
          <w:szCs w:val="32"/>
          <w:lang w:bidi="en-US"/>
        </w:rPr>
      </w:pPr>
      <w:r>
        <w:rPr>
          <w:rFonts w:hint="eastAsia" w:ascii="仿宋" w:hAnsi="仿宋" w:eastAsia="仿宋" w:cs="仿宋"/>
          <w:color w:val="000000"/>
          <w:kern w:val="0"/>
          <w:sz w:val="32"/>
          <w:szCs w:val="32"/>
          <w:lang w:bidi="en-US"/>
        </w:rPr>
        <w:t>特此申请，请予以审核。</w:t>
      </w:r>
    </w:p>
    <w:p>
      <w:pPr>
        <w:keepNext w:val="0"/>
        <w:keepLines w:val="0"/>
        <w:pageBreakBefore w:val="0"/>
        <w:widowControl w:val="0"/>
        <w:kinsoku/>
        <w:wordWrap/>
        <w:overflowPunct/>
        <w:topLinePunct/>
        <w:autoSpaceDE/>
        <w:autoSpaceDN/>
        <w:bidi w:val="0"/>
        <w:adjustRightInd/>
        <w:snapToGrid w:val="0"/>
        <w:spacing w:beforeLines="50" w:afterLines="50" w:line="560" w:lineRule="exact"/>
        <w:ind w:firstLine="640" w:firstLineChars="200"/>
        <w:jc w:val="right"/>
        <w:textAlignment w:val="auto"/>
        <w:rPr>
          <w:rFonts w:hint="eastAsia" w:ascii="仿宋" w:hAnsi="仿宋" w:eastAsia="仿宋" w:cs="仿宋"/>
          <w:color w:val="000000"/>
          <w:kern w:val="0"/>
          <w:sz w:val="32"/>
          <w:szCs w:val="32"/>
          <w:lang w:bidi="en-US"/>
        </w:rPr>
      </w:pPr>
      <w:r>
        <w:rPr>
          <w:rFonts w:hint="eastAsia" w:ascii="仿宋" w:hAnsi="仿宋" w:eastAsia="仿宋" w:cs="仿宋"/>
          <w:color w:val="000000"/>
          <w:kern w:val="0"/>
          <w:sz w:val="32"/>
          <w:szCs w:val="32"/>
          <w:lang w:bidi="en-US"/>
        </w:rPr>
        <w:t xml:space="preserve">  发行人（公章）</w:t>
      </w:r>
    </w:p>
    <w:p>
      <w:pPr>
        <w:keepNext w:val="0"/>
        <w:keepLines w:val="0"/>
        <w:pageBreakBefore w:val="0"/>
        <w:widowControl w:val="0"/>
        <w:kinsoku/>
        <w:wordWrap/>
        <w:overflowPunct/>
        <w:topLinePunct/>
        <w:autoSpaceDE/>
        <w:autoSpaceDN/>
        <w:bidi w:val="0"/>
        <w:adjustRightInd/>
        <w:snapToGrid w:val="0"/>
        <w:spacing w:beforeLines="50" w:afterLines="50" w:line="560" w:lineRule="exact"/>
        <w:ind w:firstLine="640" w:firstLineChars="200"/>
        <w:jc w:val="both"/>
        <w:textAlignment w:val="auto"/>
        <w:rPr>
          <w:rFonts w:hint="eastAsia" w:ascii="仿宋" w:hAnsi="仿宋" w:eastAsia="仿宋" w:cs="仿宋"/>
          <w:color w:val="000000"/>
          <w:kern w:val="0"/>
          <w:sz w:val="32"/>
          <w:szCs w:val="32"/>
          <w:lang w:bidi="en-US"/>
        </w:rPr>
      </w:pPr>
      <w:r>
        <w:rPr>
          <w:rFonts w:hint="eastAsia" w:ascii="仿宋" w:hAnsi="仿宋" w:eastAsia="仿宋" w:cs="仿宋"/>
          <w:color w:val="000000"/>
          <w:kern w:val="0"/>
          <w:sz w:val="32"/>
          <w:szCs w:val="32"/>
          <w:lang w:bidi="en-US"/>
        </w:rPr>
        <w:t xml:space="preserve">                                   年   月   日 </w:t>
      </w:r>
    </w:p>
    <w:p>
      <w:pPr>
        <w:widowControl/>
        <w:jc w:val="left"/>
        <w:rPr>
          <w:rFonts w:ascii="仿宋_GB2312" w:eastAsia="仿宋_GB2312"/>
          <w:sz w:val="30"/>
          <w:szCs w:val="30"/>
        </w:rPr>
      </w:pPr>
      <w:r>
        <w:rPr>
          <w:rFonts w:ascii="仿宋_GB2312" w:eastAsia="仿宋_GB2312"/>
          <w:sz w:val="30"/>
          <w:szCs w:val="30"/>
        </w:rPr>
        <w:br w:type="page"/>
      </w:r>
    </w:p>
    <w:p>
      <w:pPr>
        <w:keepNext w:val="0"/>
        <w:keepLines w:val="0"/>
        <w:pageBreakBefore w:val="0"/>
        <w:widowControl w:val="0"/>
        <w:kinsoku/>
        <w:wordWrap/>
        <w:overflowPunct/>
        <w:topLinePunct/>
        <w:autoSpaceDE/>
        <w:autoSpaceDN/>
        <w:bidi w:val="0"/>
        <w:adjustRightInd/>
        <w:snapToGrid w:val="0"/>
        <w:spacing w:line="560" w:lineRule="exact"/>
        <w:ind w:firstLine="0"/>
        <w:jc w:val="both"/>
        <w:textAlignment w:val="auto"/>
        <w:outlineLvl w:val="0"/>
        <w:rPr>
          <w:rFonts w:hint="eastAsia" w:ascii="黑体" w:hAnsi="黑体" w:eastAsia="黑体" w:cs="黑体"/>
          <w:b w:val="0"/>
          <w:bCs w:val="0"/>
          <w:color w:val="000000"/>
          <w:kern w:val="0"/>
          <w:sz w:val="32"/>
          <w:szCs w:val="32"/>
          <w:lang w:bidi="en-US"/>
        </w:rPr>
      </w:pPr>
      <w:r>
        <w:rPr>
          <w:rFonts w:hint="eastAsia" w:ascii="黑体" w:hAnsi="黑体" w:eastAsia="黑体" w:cs="黑体"/>
          <w:b w:val="0"/>
          <w:bCs w:val="0"/>
          <w:color w:val="000000"/>
          <w:kern w:val="0"/>
          <w:sz w:val="32"/>
          <w:szCs w:val="32"/>
          <w:lang w:bidi="en-US"/>
        </w:rPr>
        <w:t>附件</w:t>
      </w:r>
      <w:r>
        <w:rPr>
          <w:rFonts w:hint="eastAsia" w:ascii="黑体" w:hAnsi="黑体" w:eastAsia="黑体" w:cs="黑体"/>
          <w:b w:val="0"/>
          <w:bCs w:val="0"/>
          <w:color w:val="000000"/>
          <w:kern w:val="0"/>
          <w:sz w:val="32"/>
          <w:szCs w:val="32"/>
          <w:lang w:val="en-US" w:eastAsia="zh-CN" w:bidi="en-US"/>
        </w:rPr>
        <w:t>2</w:t>
      </w:r>
    </w:p>
    <w:p>
      <w:pPr>
        <w:adjustRightInd w:val="0"/>
        <w:snapToGrid w:val="0"/>
        <w:spacing w:line="560" w:lineRule="exact"/>
        <w:jc w:val="left"/>
        <w:outlineLvl w:val="9"/>
        <w:rPr>
          <w:rFonts w:hint="eastAsia" w:ascii="仿宋" w:hAnsi="仿宋" w:eastAsia="仿宋" w:cs="仿宋"/>
          <w:b/>
          <w:bCs/>
          <w:color w:val="000000"/>
          <w:kern w:val="0"/>
          <w:sz w:val="32"/>
          <w:szCs w:val="30"/>
          <w:lang w:bidi="en-US"/>
        </w:rPr>
      </w:pPr>
    </w:p>
    <w:p>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XXX公司文件</w:t>
      </w:r>
    </w:p>
    <w:p>
      <w:pPr>
        <w:ind w:firstLine="482"/>
        <w:jc w:val="right"/>
        <w:rPr>
          <w:rFonts w:hint="eastAsia" w:ascii="仿宋" w:hAnsi="仿宋" w:eastAsia="仿宋" w:cs="仿宋"/>
          <w:b/>
          <w:bCs/>
          <w:kern w:val="0"/>
          <w:sz w:val="28"/>
          <w:szCs w:val="28"/>
        </w:rPr>
      </w:pPr>
      <w:r>
        <w:rPr>
          <w:rFonts w:hint="eastAsia" w:ascii="仿宋" w:hAnsi="仿宋" w:eastAsia="仿宋" w:cs="仿宋"/>
          <w:b/>
          <w:bCs/>
          <w:kern w:val="0"/>
          <w:sz w:val="28"/>
          <w:szCs w:val="28"/>
        </w:rPr>
        <w:t>XXX[20XX]XX号</w:t>
      </w:r>
    </w:p>
    <w:p>
      <w:pPr>
        <w:spacing w:before="120" w:after="120"/>
        <w:ind w:firstLine="200"/>
        <w:rPr>
          <w:rFonts w:ascii="Times New Roman" w:eastAsia="仿宋_GB2312"/>
          <w:sz w:val="24"/>
        </w:rPr>
      </w:pPr>
      <w:r>
        <w:rPr>
          <w:rFonts w:ascii="Times New Roman" w:eastAsia="仿宋_GB2312"/>
          <w:sz w:val="24"/>
        </w:rPr>
        <w:t>_________________________________________________________________</w:t>
      </w:r>
    </w:p>
    <w:p>
      <w:pPr>
        <w:widowControl/>
        <w:spacing w:line="560" w:lineRule="exact"/>
        <w:jc w:val="center"/>
        <w:rPr>
          <w:rFonts w:hint="eastAsia" w:ascii="方正小标宋简体" w:hAnsi="方正小标宋简体" w:eastAsia="方正小标宋简体" w:cs="方正小标宋简体"/>
          <w:b w:val="0"/>
          <w:bCs w:val="0"/>
          <w:sz w:val="44"/>
          <w:szCs w:val="44"/>
        </w:rPr>
      </w:pPr>
    </w:p>
    <w:p>
      <w:pPr>
        <w:widowControl/>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XXX公司关于非公开发行</w:t>
      </w:r>
      <w:r>
        <w:rPr>
          <w:rFonts w:hint="eastAsia" w:ascii="方正小标宋简体" w:hAnsi="方正小标宋简体" w:eastAsia="方正小标宋简体" w:cs="方正小标宋简体"/>
          <w:b w:val="0"/>
          <w:bCs w:val="0"/>
          <w:sz w:val="44"/>
          <w:szCs w:val="44"/>
          <w:lang w:val="en-US" w:eastAsia="zh-CN"/>
        </w:rPr>
        <w:t>公司债券</w:t>
      </w:r>
      <w:r>
        <w:rPr>
          <w:rFonts w:hint="eastAsia" w:ascii="方正小标宋简体" w:hAnsi="方正小标宋简体" w:eastAsia="方正小标宋简体" w:cs="方正小标宋简体"/>
          <w:b w:val="0"/>
          <w:bCs w:val="0"/>
          <w:sz w:val="44"/>
          <w:szCs w:val="44"/>
        </w:rPr>
        <w:t>挂牌</w:t>
      </w:r>
    </w:p>
    <w:p>
      <w:pPr>
        <w:widowControl/>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条件确认</w:t>
      </w:r>
      <w:r>
        <w:rPr>
          <w:rFonts w:hint="eastAsia" w:ascii="方正小标宋简体" w:hAnsi="方正小标宋简体" w:eastAsia="方正小标宋简体" w:cs="方正小标宋简体"/>
          <w:b w:val="0"/>
          <w:bCs w:val="0"/>
          <w:sz w:val="44"/>
          <w:szCs w:val="44"/>
        </w:rPr>
        <w:t>的申请</w:t>
      </w:r>
      <w:r>
        <w:rPr>
          <w:rFonts w:hint="eastAsia" w:ascii="方正小标宋简体" w:hAnsi="方正小标宋简体" w:eastAsia="方正小标宋简体" w:cs="方正小标宋简体"/>
          <w:b w:val="0"/>
          <w:bCs w:val="0"/>
          <w:sz w:val="44"/>
          <w:szCs w:val="44"/>
          <w:lang w:eastAsia="zh-CN"/>
        </w:rPr>
        <w:t>书</w:t>
      </w:r>
    </w:p>
    <w:p>
      <w:pPr>
        <w:widowControl/>
        <w:spacing w:line="560" w:lineRule="exact"/>
        <w:rPr>
          <w:rFonts w:ascii="仿宋_GB2312" w:eastAsia="仿宋_GB2312"/>
          <w:kern w:val="0"/>
          <w:sz w:val="30"/>
          <w:lang w:bidi="en-US"/>
        </w:rPr>
      </w:pPr>
    </w:p>
    <w:p>
      <w:pPr>
        <w:keepNext w:val="0"/>
        <w:keepLines w:val="0"/>
        <w:pageBreakBefore w:val="0"/>
        <w:widowControl w:val="0"/>
        <w:kinsoku/>
        <w:wordWrap/>
        <w:overflowPunct/>
        <w:topLinePunct/>
        <w:autoSpaceDE/>
        <w:autoSpaceDN/>
        <w:bidi w:val="0"/>
        <w:adjustRightInd/>
        <w:snapToGrid w:val="0"/>
        <w:spacing w:line="560" w:lineRule="exact"/>
        <w:ind w:firstLine="0"/>
        <w:jc w:val="both"/>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val="en-US" w:eastAsia="zh-CN" w:bidi="en-US"/>
        </w:rPr>
        <w:t>深圳</w:t>
      </w:r>
      <w:r>
        <w:rPr>
          <w:rFonts w:hint="eastAsia" w:ascii="仿宋" w:hAnsi="仿宋" w:eastAsia="仿宋" w:cs="仿宋"/>
          <w:kern w:val="0"/>
          <w:sz w:val="32"/>
          <w:szCs w:val="32"/>
          <w:lang w:bidi="en-US"/>
        </w:rPr>
        <w:t>证券交易所：</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根据《中华人民共和国公司法》（以下简称《公司法》）、《中华人民共和国证券法》（以下简称《证券法》）、《公司债券发行与交易管理办法》（以下简称《管理办法》）等法律法规的规定，本公司拟向</w:t>
      </w:r>
      <w:r>
        <w:rPr>
          <w:rFonts w:hint="eastAsia" w:ascii="仿宋" w:hAnsi="仿宋" w:eastAsia="仿宋" w:cs="仿宋"/>
          <w:kern w:val="0"/>
          <w:sz w:val="32"/>
          <w:szCs w:val="32"/>
          <w:lang w:val="en-US" w:eastAsia="zh-CN" w:bidi="en-US"/>
        </w:rPr>
        <w:t>深圳</w:t>
      </w:r>
      <w:r>
        <w:rPr>
          <w:rFonts w:hint="eastAsia" w:ascii="仿宋" w:hAnsi="仿宋" w:eastAsia="仿宋" w:cs="仿宋"/>
          <w:kern w:val="0"/>
          <w:sz w:val="32"/>
          <w:szCs w:val="32"/>
          <w:lang w:bidi="en-US"/>
        </w:rPr>
        <w:t>证券交易所申请非公开发行规模不超过人民币XX亿元的公司债券（以下简称本次债券），首期发行XX亿元（如有，以下简称本期债券），并申请在贵所挂牌转让。现将本次债券挂牌转让的有关情况报告如下：</w:t>
      </w:r>
    </w:p>
    <w:p>
      <w:pPr>
        <w:widowControl/>
        <w:spacing w:line="560" w:lineRule="exact"/>
        <w:ind w:firstLine="640" w:firstLineChars="200"/>
        <w:rPr>
          <w:rFonts w:hint="eastAsia" w:ascii="黑体" w:hAnsi="黑体" w:eastAsia="黑体" w:cs="黑体"/>
          <w:b w:val="0"/>
          <w:bCs/>
          <w:kern w:val="0"/>
          <w:sz w:val="32"/>
          <w:szCs w:val="32"/>
          <w:lang w:bidi="en-US"/>
        </w:rPr>
      </w:pPr>
      <w:r>
        <w:rPr>
          <w:rFonts w:hint="eastAsia" w:ascii="黑体" w:hAnsi="黑体" w:eastAsia="黑体" w:cs="黑体"/>
          <w:b w:val="0"/>
          <w:bCs/>
          <w:kern w:val="0"/>
          <w:sz w:val="32"/>
          <w:szCs w:val="32"/>
          <w:lang w:bidi="en-US"/>
        </w:rPr>
        <w:t>一、发行人概况</w:t>
      </w:r>
    </w:p>
    <w:p>
      <w:pPr>
        <w:tabs>
          <w:tab w:val="left" w:pos="756"/>
        </w:tabs>
        <w:spacing w:line="560" w:lineRule="exact"/>
        <w:ind w:firstLine="640" w:firstLineChars="200"/>
        <w:textAlignment w:val="baseline"/>
        <w:rPr>
          <w:rFonts w:hint="eastAsia" w:ascii="楷体" w:hAnsi="楷体" w:eastAsia="楷体" w:cs="楷体"/>
          <w:b w:val="0"/>
          <w:bCs/>
          <w:sz w:val="32"/>
          <w:szCs w:val="32"/>
        </w:rPr>
      </w:pPr>
      <w:r>
        <w:rPr>
          <w:rFonts w:hint="eastAsia" w:ascii="楷体" w:hAnsi="楷体" w:eastAsia="楷体" w:cs="楷体"/>
          <w:b w:val="0"/>
          <w:bCs/>
          <w:sz w:val="32"/>
          <w:szCs w:val="32"/>
        </w:rPr>
        <w:t>（一）发行人基本情况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6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38" w:type="pct"/>
            <w:tcBorders>
              <w:top w:val="single" w:color="auto" w:sz="12" w:space="0"/>
              <w:left w:val="single" w:color="auto" w:sz="12" w:space="0"/>
            </w:tcBorders>
            <w:vAlign w:val="center"/>
          </w:tcPr>
          <w:p>
            <w:pPr>
              <w:adjustRightInd w:val="0"/>
              <w:spacing w:line="240" w:lineRule="auto"/>
              <w:jc w:val="both"/>
              <w:rPr>
                <w:rFonts w:hint="eastAsia" w:ascii="宋体" w:hAnsi="宋体" w:eastAsia="宋体" w:cs="宋体"/>
                <w:b w:val="0"/>
                <w:bCs/>
                <w:sz w:val="21"/>
                <w:szCs w:val="21"/>
              </w:rPr>
            </w:pPr>
            <w:r>
              <w:rPr>
                <w:rFonts w:hint="eastAsia" w:ascii="宋体" w:hAnsi="宋体" w:eastAsia="宋体" w:cs="宋体"/>
                <w:b w:val="0"/>
                <w:bCs/>
                <w:sz w:val="21"/>
                <w:szCs w:val="21"/>
              </w:rPr>
              <w:t>中文名称</w:t>
            </w:r>
          </w:p>
        </w:tc>
        <w:tc>
          <w:tcPr>
            <w:tcW w:w="3762" w:type="pct"/>
            <w:tcBorders>
              <w:top w:val="single" w:color="auto" w:sz="12" w:space="0"/>
              <w:right w:val="single" w:color="auto" w:sz="12" w:space="0"/>
            </w:tcBorders>
            <w:vAlign w:val="center"/>
          </w:tcPr>
          <w:p>
            <w:pPr>
              <w:adjustRightInd w:val="0"/>
              <w:spacing w:line="240" w:lineRule="auto"/>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38" w:type="pct"/>
            <w:tcBorders>
              <w:left w:val="single" w:color="auto" w:sz="12" w:space="0"/>
            </w:tcBorders>
            <w:vAlign w:val="center"/>
          </w:tcPr>
          <w:p>
            <w:pPr>
              <w:adjustRightInd w:val="0"/>
              <w:spacing w:line="240" w:lineRule="auto"/>
              <w:jc w:val="both"/>
              <w:rPr>
                <w:rFonts w:hint="eastAsia" w:ascii="宋体" w:hAnsi="宋体" w:eastAsia="宋体" w:cs="宋体"/>
                <w:b w:val="0"/>
                <w:bCs/>
                <w:sz w:val="21"/>
                <w:szCs w:val="21"/>
              </w:rPr>
            </w:pPr>
            <w:r>
              <w:rPr>
                <w:rFonts w:hint="eastAsia" w:ascii="宋体" w:hAnsi="宋体" w:eastAsia="宋体" w:cs="宋体"/>
                <w:b w:val="0"/>
                <w:bCs/>
                <w:sz w:val="21"/>
                <w:szCs w:val="21"/>
              </w:rPr>
              <w:t>法定代表人</w:t>
            </w:r>
          </w:p>
        </w:tc>
        <w:tc>
          <w:tcPr>
            <w:tcW w:w="3762" w:type="pct"/>
            <w:tcBorders>
              <w:right w:val="single" w:color="auto" w:sz="12" w:space="0"/>
            </w:tcBorders>
            <w:vAlign w:val="center"/>
          </w:tcPr>
          <w:p>
            <w:pPr>
              <w:adjustRightInd w:val="0"/>
              <w:spacing w:line="240" w:lineRule="auto"/>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38" w:type="pct"/>
            <w:tcBorders>
              <w:left w:val="single" w:color="auto" w:sz="12" w:space="0"/>
            </w:tcBorders>
            <w:vAlign w:val="center"/>
          </w:tcPr>
          <w:p>
            <w:pPr>
              <w:adjustRightInd w:val="0"/>
              <w:spacing w:line="240" w:lineRule="auto"/>
              <w:jc w:val="both"/>
              <w:rPr>
                <w:rFonts w:hint="eastAsia" w:ascii="宋体" w:hAnsi="宋体" w:eastAsia="宋体" w:cs="宋体"/>
                <w:b w:val="0"/>
                <w:bCs/>
                <w:sz w:val="21"/>
                <w:szCs w:val="21"/>
              </w:rPr>
            </w:pPr>
            <w:r>
              <w:rPr>
                <w:rFonts w:hint="eastAsia" w:ascii="宋体" w:hAnsi="宋体" w:eastAsia="宋体" w:cs="宋体"/>
                <w:b w:val="0"/>
                <w:bCs/>
                <w:sz w:val="21"/>
                <w:szCs w:val="21"/>
              </w:rPr>
              <w:t>注册资本</w:t>
            </w:r>
          </w:p>
        </w:tc>
        <w:tc>
          <w:tcPr>
            <w:tcW w:w="3762" w:type="pct"/>
            <w:tcBorders>
              <w:right w:val="single" w:color="auto" w:sz="12" w:space="0"/>
            </w:tcBorders>
            <w:vAlign w:val="center"/>
          </w:tcPr>
          <w:p>
            <w:pPr>
              <w:adjustRightInd w:val="0"/>
              <w:spacing w:line="240" w:lineRule="auto"/>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38" w:type="pct"/>
            <w:tcBorders>
              <w:left w:val="single" w:color="auto" w:sz="12" w:space="0"/>
            </w:tcBorders>
            <w:vAlign w:val="center"/>
          </w:tcPr>
          <w:p>
            <w:pPr>
              <w:adjustRightInd w:val="0"/>
              <w:spacing w:line="240" w:lineRule="auto"/>
              <w:jc w:val="both"/>
              <w:rPr>
                <w:rFonts w:hint="eastAsia" w:ascii="宋体" w:hAnsi="宋体" w:eastAsia="宋体" w:cs="宋体"/>
                <w:b w:val="0"/>
                <w:bCs/>
                <w:sz w:val="21"/>
                <w:szCs w:val="21"/>
              </w:rPr>
            </w:pPr>
            <w:r>
              <w:rPr>
                <w:rFonts w:hint="eastAsia" w:ascii="宋体" w:hAnsi="宋体" w:eastAsia="宋体" w:cs="宋体"/>
                <w:b w:val="0"/>
                <w:bCs/>
                <w:sz w:val="21"/>
                <w:szCs w:val="21"/>
              </w:rPr>
              <w:t>成立日期</w:t>
            </w:r>
          </w:p>
        </w:tc>
        <w:tc>
          <w:tcPr>
            <w:tcW w:w="3762" w:type="pct"/>
            <w:tcBorders>
              <w:right w:val="single" w:color="auto" w:sz="12" w:space="0"/>
            </w:tcBorders>
            <w:vAlign w:val="center"/>
          </w:tcPr>
          <w:p>
            <w:pPr>
              <w:adjustRightInd w:val="0"/>
              <w:spacing w:line="240" w:lineRule="auto"/>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38" w:type="pct"/>
            <w:tcBorders>
              <w:left w:val="single" w:color="auto" w:sz="12" w:space="0"/>
            </w:tcBorders>
            <w:vAlign w:val="center"/>
          </w:tcPr>
          <w:p>
            <w:pPr>
              <w:adjustRightInd w:val="0"/>
              <w:spacing w:line="240" w:lineRule="auto"/>
              <w:jc w:val="both"/>
              <w:rPr>
                <w:rFonts w:hint="eastAsia" w:ascii="宋体" w:hAnsi="宋体" w:eastAsia="宋体" w:cs="宋体"/>
                <w:b w:val="0"/>
                <w:bCs/>
                <w:sz w:val="21"/>
                <w:szCs w:val="21"/>
              </w:rPr>
            </w:pPr>
            <w:r>
              <w:rPr>
                <w:rFonts w:hint="eastAsia" w:ascii="宋体" w:hAnsi="宋体" w:eastAsia="宋体" w:cs="宋体"/>
                <w:b w:val="0"/>
                <w:bCs/>
                <w:sz w:val="21"/>
                <w:szCs w:val="21"/>
              </w:rPr>
              <w:t>住所</w:t>
            </w:r>
          </w:p>
        </w:tc>
        <w:tc>
          <w:tcPr>
            <w:tcW w:w="3762" w:type="pct"/>
            <w:tcBorders>
              <w:right w:val="single" w:color="auto" w:sz="12" w:space="0"/>
            </w:tcBorders>
            <w:vAlign w:val="center"/>
          </w:tcPr>
          <w:p>
            <w:pPr>
              <w:autoSpaceDE w:val="0"/>
              <w:autoSpaceDN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请自所属省份起完整填列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38" w:type="pct"/>
            <w:tcBorders>
              <w:left w:val="single" w:color="auto" w:sz="12" w:space="0"/>
            </w:tcBorders>
            <w:vAlign w:val="center"/>
          </w:tcPr>
          <w:p>
            <w:pPr>
              <w:adjustRightInd w:val="0"/>
              <w:spacing w:line="240" w:lineRule="auto"/>
              <w:jc w:val="both"/>
              <w:rPr>
                <w:rFonts w:hint="eastAsia" w:ascii="宋体" w:hAnsi="宋体" w:eastAsia="宋体" w:cs="宋体"/>
                <w:b w:val="0"/>
                <w:bCs/>
                <w:sz w:val="21"/>
                <w:szCs w:val="21"/>
              </w:rPr>
            </w:pPr>
            <w:r>
              <w:rPr>
                <w:rFonts w:hint="eastAsia" w:ascii="宋体" w:hAnsi="宋体" w:eastAsia="宋体" w:cs="宋体"/>
                <w:b w:val="0"/>
                <w:bCs/>
                <w:sz w:val="21"/>
                <w:szCs w:val="21"/>
              </w:rPr>
              <w:t>所属行业</w:t>
            </w:r>
          </w:p>
        </w:tc>
        <w:tc>
          <w:tcPr>
            <w:tcW w:w="3762" w:type="pct"/>
            <w:tcBorders>
              <w:right w:val="single" w:color="auto" w:sz="12" w:space="0"/>
            </w:tcBorders>
            <w:vAlign w:val="center"/>
          </w:tcPr>
          <w:p>
            <w:pPr>
              <w:overflowPunct w:val="0"/>
              <w:spacing w:line="240" w:lineRule="auto"/>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38" w:type="pct"/>
            <w:tcBorders>
              <w:left w:val="single" w:color="auto" w:sz="12" w:space="0"/>
              <w:bottom w:val="single" w:color="auto" w:sz="12" w:space="0"/>
            </w:tcBorders>
            <w:vAlign w:val="center"/>
          </w:tcPr>
          <w:p>
            <w:pPr>
              <w:adjustRightInd w:val="0"/>
              <w:spacing w:line="240" w:lineRule="auto"/>
              <w:jc w:val="both"/>
              <w:rPr>
                <w:rFonts w:hint="eastAsia" w:ascii="宋体" w:hAnsi="宋体" w:eastAsia="宋体" w:cs="宋体"/>
                <w:b w:val="0"/>
                <w:bCs/>
                <w:sz w:val="21"/>
                <w:szCs w:val="21"/>
              </w:rPr>
            </w:pPr>
            <w:r>
              <w:rPr>
                <w:rFonts w:hint="eastAsia" w:ascii="宋体" w:hAnsi="宋体" w:eastAsia="宋体" w:cs="宋体"/>
                <w:b w:val="0"/>
                <w:bCs/>
                <w:sz w:val="21"/>
                <w:szCs w:val="21"/>
              </w:rPr>
              <w:t>实际控制人</w:t>
            </w:r>
          </w:p>
        </w:tc>
        <w:tc>
          <w:tcPr>
            <w:tcW w:w="3762" w:type="pct"/>
            <w:tcBorders>
              <w:bottom w:val="single" w:color="auto" w:sz="12" w:space="0"/>
              <w:right w:val="single" w:color="auto" w:sz="12" w:space="0"/>
            </w:tcBorders>
            <w:vAlign w:val="center"/>
          </w:tcPr>
          <w:p>
            <w:pPr>
              <w:overflowPunct w:val="0"/>
              <w:spacing w:line="240" w:lineRule="auto"/>
              <w:jc w:val="both"/>
              <w:rPr>
                <w:rFonts w:hint="eastAsia" w:ascii="宋体" w:hAnsi="宋体" w:eastAsia="宋体" w:cs="宋体"/>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[请列示发行人的股权结构]</w:t>
      </w:r>
    </w:p>
    <w:p>
      <w:pPr>
        <w:tabs>
          <w:tab w:val="left" w:pos="756"/>
        </w:tabs>
        <w:spacing w:line="560" w:lineRule="exact"/>
        <w:ind w:firstLine="640" w:firstLineChars="200"/>
        <w:textAlignment w:val="baseline"/>
        <w:rPr>
          <w:rFonts w:hint="eastAsia" w:ascii="楷体" w:hAnsi="楷体" w:eastAsia="楷体" w:cs="楷体"/>
          <w:b w:val="0"/>
          <w:bCs/>
          <w:sz w:val="32"/>
          <w:szCs w:val="32"/>
        </w:rPr>
      </w:pPr>
      <w:r>
        <w:rPr>
          <w:rFonts w:hint="eastAsia" w:ascii="楷体" w:hAnsi="楷体" w:eastAsia="楷体" w:cs="楷体"/>
          <w:b w:val="0"/>
          <w:bCs/>
          <w:sz w:val="32"/>
          <w:szCs w:val="32"/>
        </w:rPr>
        <w:t>（二）主营业务</w:t>
      </w:r>
    </w:p>
    <w:p>
      <w:pPr>
        <w:widowControl/>
        <w:adjustRightInd w:val="0"/>
        <w:spacing w:line="240" w:lineRule="auto"/>
        <w:jc w:val="right"/>
        <w:textAlignment w:val="baseline"/>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单位：亿元、%</w:t>
      </w:r>
    </w:p>
    <w:tbl>
      <w:tblPr>
        <w:tblStyle w:val="12"/>
        <w:tblW w:w="46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160"/>
        <w:gridCol w:w="793"/>
        <w:gridCol w:w="1317"/>
        <w:gridCol w:w="793"/>
        <w:gridCol w:w="1319"/>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14" w:type="pct"/>
            <w:vMerge w:val="restart"/>
            <w:tcBorders>
              <w:top w:val="single" w:color="auto" w:sz="12"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项目</w:t>
            </w:r>
          </w:p>
        </w:tc>
        <w:tc>
          <w:tcPr>
            <w:tcW w:w="1229" w:type="pct"/>
            <w:gridSpan w:val="2"/>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bCs/>
                <w:color w:val="000000"/>
                <w:kern w:val="0"/>
                <w:sz w:val="21"/>
                <w:szCs w:val="21"/>
              </w:rPr>
              <w:t>20XX年1-X月</w:t>
            </w:r>
          </w:p>
        </w:tc>
        <w:tc>
          <w:tcPr>
            <w:tcW w:w="1328" w:type="pct"/>
            <w:gridSpan w:val="2"/>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bCs/>
                <w:color w:val="000000"/>
                <w:kern w:val="0"/>
                <w:sz w:val="21"/>
                <w:szCs w:val="21"/>
              </w:rPr>
              <w:t>20XX年度</w:t>
            </w:r>
          </w:p>
        </w:tc>
        <w:tc>
          <w:tcPr>
            <w:tcW w:w="1330" w:type="pct"/>
            <w:gridSpan w:val="2"/>
            <w:tcBorders>
              <w:top w:val="single" w:color="auto" w:sz="12" w:space="0"/>
              <w:left w:val="single" w:color="auto" w:sz="4" w:space="0"/>
              <w:bottom w:val="single" w:color="auto" w:sz="4" w:space="0"/>
              <w:right w:val="single" w:color="auto" w:sz="12" w:space="0"/>
            </w:tcBorders>
            <w:shd w:val="clear" w:color="auto" w:fill="auto"/>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bCs/>
                <w:color w:val="000000"/>
                <w:kern w:val="0"/>
                <w:sz w:val="21"/>
                <w:szCs w:val="21"/>
              </w:rPr>
              <w:t>20XX年度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14" w:type="pct"/>
            <w:vMerge w:val="continue"/>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金额</w:t>
            </w: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占比</w:t>
            </w:r>
          </w:p>
        </w:tc>
        <w:tc>
          <w:tcPr>
            <w:tcW w:w="82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金额</w:t>
            </w: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占比</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金额</w:t>
            </w:r>
          </w:p>
        </w:tc>
        <w:tc>
          <w:tcPr>
            <w:tcW w:w="500" w:type="pct"/>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textAlignment w:val="center"/>
              <w:rPr>
                <w:rFonts w:hint="eastAsia" w:ascii="宋体" w:hAnsi="宋体" w:eastAsia="宋体" w:cs="宋体"/>
                <w:sz w:val="21"/>
                <w:szCs w:val="21"/>
              </w:rPr>
            </w:pPr>
          </w:p>
        </w:tc>
        <w:tc>
          <w:tcPr>
            <w:tcW w:w="829" w:type="pct"/>
            <w:tcBorders>
              <w:top w:val="single" w:color="auto" w:sz="4" w:space="0"/>
              <w:left w:val="single" w:color="auto" w:sz="4" w:space="0"/>
              <w:bottom w:val="single" w:color="auto" w:sz="4" w:space="0"/>
              <w:right w:val="single" w:color="auto" w:sz="4" w:space="0"/>
            </w:tcBorders>
          </w:tcPr>
          <w:p>
            <w:pPr>
              <w:widowControl/>
              <w:spacing w:line="240" w:lineRule="auto"/>
              <w:jc w:val="right"/>
              <w:textAlignment w:val="top"/>
              <w:rPr>
                <w:rFonts w:hint="eastAsia" w:ascii="宋体" w:hAnsi="宋体" w:eastAsia="宋体" w:cs="宋体"/>
                <w:color w:val="000000"/>
                <w:sz w:val="21"/>
                <w:szCs w:val="21"/>
              </w:rPr>
            </w:pPr>
          </w:p>
        </w:tc>
        <w:tc>
          <w:tcPr>
            <w:tcW w:w="499" w:type="pct"/>
            <w:tcBorders>
              <w:top w:val="single" w:color="auto" w:sz="4" w:space="0"/>
              <w:left w:val="single" w:color="auto" w:sz="4" w:space="0"/>
              <w:bottom w:val="single" w:color="auto" w:sz="4" w:space="0"/>
              <w:right w:val="single" w:color="auto" w:sz="4" w:space="0"/>
            </w:tcBorders>
          </w:tcPr>
          <w:p>
            <w:pPr>
              <w:widowControl/>
              <w:spacing w:line="240" w:lineRule="auto"/>
              <w:jc w:val="right"/>
              <w:textAlignment w:val="top"/>
              <w:rPr>
                <w:rFonts w:hint="eastAsia" w:ascii="宋体" w:hAnsi="宋体" w:eastAsia="宋体" w:cs="宋体"/>
                <w:color w:val="000000"/>
                <w:sz w:val="21"/>
                <w:szCs w:val="21"/>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color w:val="000000"/>
                <w:sz w:val="21"/>
                <w:szCs w:val="21"/>
              </w:rPr>
            </w:pPr>
          </w:p>
        </w:tc>
        <w:tc>
          <w:tcPr>
            <w:tcW w:w="500" w:type="pct"/>
            <w:tcBorders>
              <w:top w:val="single" w:color="auto" w:sz="4" w:space="0"/>
              <w:left w:val="single" w:color="auto" w:sz="4" w:space="0"/>
              <w:bottom w:val="single" w:color="auto" w:sz="4" w:space="0"/>
              <w:right w:val="single" w:color="auto" w:sz="12" w:space="0"/>
            </w:tcBorders>
            <w:shd w:val="clear" w:color="auto" w:fill="auto"/>
            <w:noWrap/>
          </w:tcPr>
          <w:p>
            <w:pPr>
              <w:widowControl/>
              <w:spacing w:line="240" w:lineRule="auto"/>
              <w:jc w:val="right"/>
              <w:textAlignment w:val="top"/>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op w:val="single" w:color="auto" w:sz="4" w:space="0"/>
              <w:left w:val="single" w:color="auto" w:sz="12" w:space="0"/>
              <w:bottom w:val="single" w:color="auto" w:sz="12" w:space="0"/>
              <w:right w:val="single" w:color="auto" w:sz="4" w:space="0"/>
            </w:tcBorders>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合计</w:t>
            </w:r>
          </w:p>
        </w:tc>
        <w:tc>
          <w:tcPr>
            <w:tcW w:w="730" w:type="pct"/>
            <w:tcBorders>
              <w:top w:val="single" w:color="auto" w:sz="4" w:space="0"/>
              <w:left w:val="single" w:color="auto" w:sz="4" w:space="0"/>
              <w:bottom w:val="single" w:color="auto" w:sz="12" w:space="0"/>
              <w:right w:val="single" w:color="auto" w:sz="4" w:space="0"/>
            </w:tcBorders>
            <w:vAlign w:val="center"/>
          </w:tcPr>
          <w:p>
            <w:pPr>
              <w:widowControl/>
              <w:spacing w:line="240" w:lineRule="auto"/>
              <w:jc w:val="right"/>
              <w:textAlignment w:val="center"/>
              <w:rPr>
                <w:rFonts w:hint="eastAsia" w:ascii="宋体" w:hAnsi="宋体" w:eastAsia="宋体" w:cs="宋体"/>
                <w:b/>
                <w:bCs/>
                <w:sz w:val="21"/>
                <w:szCs w:val="21"/>
              </w:rPr>
            </w:pPr>
          </w:p>
        </w:tc>
        <w:tc>
          <w:tcPr>
            <w:tcW w:w="499" w:type="pct"/>
            <w:tcBorders>
              <w:top w:val="single" w:color="auto" w:sz="4" w:space="0"/>
              <w:left w:val="single" w:color="auto" w:sz="4" w:space="0"/>
              <w:bottom w:val="single" w:color="auto" w:sz="12" w:space="0"/>
              <w:right w:val="single" w:color="auto" w:sz="4" w:space="0"/>
            </w:tcBorders>
            <w:vAlign w:val="center"/>
          </w:tcPr>
          <w:p>
            <w:pPr>
              <w:widowControl/>
              <w:spacing w:line="240" w:lineRule="auto"/>
              <w:jc w:val="right"/>
              <w:textAlignment w:val="center"/>
              <w:rPr>
                <w:rFonts w:hint="eastAsia" w:ascii="宋体" w:hAnsi="宋体" w:eastAsia="宋体" w:cs="宋体"/>
                <w:b/>
                <w:bCs/>
                <w:sz w:val="21"/>
                <w:szCs w:val="21"/>
              </w:rPr>
            </w:pPr>
          </w:p>
        </w:tc>
        <w:tc>
          <w:tcPr>
            <w:tcW w:w="829" w:type="pct"/>
            <w:tcBorders>
              <w:top w:val="single" w:color="auto" w:sz="4" w:space="0"/>
              <w:left w:val="single" w:color="auto" w:sz="4" w:space="0"/>
              <w:bottom w:val="single" w:color="auto" w:sz="12" w:space="0"/>
              <w:right w:val="single" w:color="auto" w:sz="4" w:space="0"/>
            </w:tcBorders>
          </w:tcPr>
          <w:p>
            <w:pPr>
              <w:widowControl/>
              <w:spacing w:line="240" w:lineRule="auto"/>
              <w:jc w:val="right"/>
              <w:textAlignment w:val="top"/>
              <w:rPr>
                <w:rFonts w:hint="eastAsia" w:ascii="宋体" w:hAnsi="宋体" w:eastAsia="宋体" w:cs="宋体"/>
                <w:b/>
                <w:bCs/>
                <w:color w:val="000000"/>
                <w:kern w:val="0"/>
                <w:sz w:val="21"/>
                <w:szCs w:val="21"/>
              </w:rPr>
            </w:pPr>
          </w:p>
        </w:tc>
        <w:tc>
          <w:tcPr>
            <w:tcW w:w="499" w:type="pct"/>
            <w:tcBorders>
              <w:top w:val="single" w:color="auto" w:sz="4" w:space="0"/>
              <w:left w:val="single" w:color="auto" w:sz="4" w:space="0"/>
              <w:bottom w:val="single" w:color="auto" w:sz="12" w:space="0"/>
              <w:right w:val="single" w:color="auto" w:sz="4" w:space="0"/>
            </w:tcBorders>
          </w:tcPr>
          <w:p>
            <w:pPr>
              <w:widowControl/>
              <w:spacing w:line="240" w:lineRule="auto"/>
              <w:jc w:val="right"/>
              <w:textAlignment w:val="top"/>
              <w:rPr>
                <w:rFonts w:hint="eastAsia" w:ascii="宋体" w:hAnsi="宋体" w:eastAsia="宋体" w:cs="宋体"/>
                <w:b/>
                <w:bCs/>
                <w:color w:val="000000"/>
                <w:sz w:val="21"/>
                <w:szCs w:val="21"/>
              </w:rPr>
            </w:pPr>
          </w:p>
        </w:tc>
        <w:tc>
          <w:tcPr>
            <w:tcW w:w="830"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40" w:lineRule="auto"/>
              <w:jc w:val="right"/>
              <w:textAlignment w:val="center"/>
              <w:rPr>
                <w:rFonts w:hint="eastAsia" w:ascii="宋体" w:hAnsi="宋体" w:eastAsia="宋体" w:cs="宋体"/>
                <w:b/>
                <w:bCs/>
                <w:color w:val="000000"/>
                <w:sz w:val="21"/>
                <w:szCs w:val="21"/>
              </w:rPr>
            </w:pPr>
          </w:p>
        </w:tc>
        <w:tc>
          <w:tcPr>
            <w:tcW w:w="500" w:type="pct"/>
            <w:tcBorders>
              <w:top w:val="single" w:color="auto" w:sz="4" w:space="0"/>
              <w:left w:val="single" w:color="auto" w:sz="4" w:space="0"/>
              <w:bottom w:val="single" w:color="auto" w:sz="12" w:space="0"/>
              <w:right w:val="single" w:color="auto" w:sz="12" w:space="0"/>
            </w:tcBorders>
            <w:shd w:val="clear" w:color="auto" w:fill="auto"/>
            <w:noWrap/>
            <w:vAlign w:val="center"/>
          </w:tcPr>
          <w:p>
            <w:pPr>
              <w:widowControl/>
              <w:spacing w:line="240" w:lineRule="auto"/>
              <w:jc w:val="right"/>
              <w:textAlignment w:val="center"/>
              <w:rPr>
                <w:rFonts w:hint="eastAsia" w:ascii="宋体" w:hAnsi="宋体" w:eastAsia="宋体" w:cs="宋体"/>
                <w:b/>
                <w:bCs/>
                <w:color w:val="000000"/>
                <w:sz w:val="21"/>
                <w:szCs w:val="21"/>
              </w:rPr>
            </w:pPr>
          </w:p>
        </w:tc>
      </w:tr>
    </w:tbl>
    <w:p>
      <w:pPr>
        <w:spacing w:line="560" w:lineRule="exact"/>
        <w:ind w:firstLine="640" w:firstLineChars="200"/>
        <w:rPr>
          <w:rFonts w:ascii="黑体" w:hAnsi="黑体" w:eastAsia="黑体"/>
          <w:b w:val="0"/>
          <w:bCs/>
          <w:kern w:val="0"/>
          <w:sz w:val="32"/>
          <w:szCs w:val="32"/>
          <w:lang w:bidi="en-US"/>
        </w:rPr>
      </w:pPr>
      <w:r>
        <w:rPr>
          <w:rFonts w:hint="eastAsia" w:ascii="黑体" w:hAnsi="黑体" w:eastAsia="黑体"/>
          <w:b w:val="0"/>
          <w:bCs/>
          <w:kern w:val="0"/>
          <w:sz w:val="32"/>
          <w:szCs w:val="32"/>
          <w:lang w:bidi="en-US"/>
        </w:rPr>
        <w:t>二、发行人主要财务数据和财务指标</w:t>
      </w:r>
    </w:p>
    <w:p>
      <w:pPr>
        <w:widowControl/>
        <w:spacing w:line="560" w:lineRule="exact"/>
        <w:ind w:firstLine="640" w:firstLineChars="200"/>
        <w:rPr>
          <w:rFonts w:hint="eastAsia" w:ascii="楷体" w:hAnsi="楷体" w:eastAsia="楷体" w:cs="楷体"/>
          <w:b w:val="0"/>
          <w:bCs/>
          <w:kern w:val="0"/>
          <w:sz w:val="32"/>
          <w:szCs w:val="32"/>
          <w:lang w:bidi="en-US"/>
        </w:rPr>
      </w:pPr>
      <w:r>
        <w:rPr>
          <w:rFonts w:hint="eastAsia" w:ascii="楷体" w:hAnsi="楷体" w:eastAsia="楷体" w:cs="楷体"/>
          <w:b w:val="0"/>
          <w:bCs/>
          <w:kern w:val="0"/>
          <w:sz w:val="32"/>
          <w:szCs w:val="32"/>
          <w:lang w:bidi="en-US"/>
        </w:rPr>
        <w:t>（一）发行人合并报表主要财务数据和财务指标如下表所示：</w:t>
      </w:r>
    </w:p>
    <w:tbl>
      <w:tblPr>
        <w:tblStyle w:val="12"/>
        <w:tblW w:w="8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5"/>
        <w:gridCol w:w="1140"/>
        <w:gridCol w:w="1104"/>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965"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项目</w:t>
            </w:r>
          </w:p>
        </w:tc>
        <w:tc>
          <w:tcPr>
            <w:tcW w:w="114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color w:val="000000"/>
                <w:kern w:val="0"/>
                <w:sz w:val="21"/>
                <w:szCs w:val="21"/>
                <w:lang w:eastAsia="en-US" w:bidi="en-US"/>
              </w:rPr>
              <w:t>20</w:t>
            </w:r>
            <w:r>
              <w:rPr>
                <w:rFonts w:hint="eastAsia" w:ascii="宋体" w:hAnsi="宋体" w:eastAsia="宋体" w:cs="宋体"/>
                <w:b/>
                <w:bCs/>
                <w:color w:val="000000"/>
                <w:kern w:val="0"/>
                <w:sz w:val="21"/>
                <w:szCs w:val="21"/>
                <w:lang w:bidi="en-US"/>
              </w:rPr>
              <w:t>XX</w:t>
            </w:r>
            <w:r>
              <w:rPr>
                <w:rFonts w:hint="eastAsia" w:ascii="宋体" w:hAnsi="宋体" w:eastAsia="宋体" w:cs="宋体"/>
                <w:b/>
                <w:bCs/>
                <w:color w:val="000000"/>
                <w:kern w:val="0"/>
                <w:sz w:val="21"/>
                <w:szCs w:val="21"/>
                <w:lang w:eastAsia="en-US" w:bidi="en-US"/>
              </w:rPr>
              <w:t>年</w:t>
            </w:r>
            <w:r>
              <w:rPr>
                <w:rFonts w:hint="eastAsia" w:ascii="宋体" w:hAnsi="宋体" w:eastAsia="宋体" w:cs="宋体"/>
                <w:b/>
                <w:bCs/>
                <w:color w:val="000000"/>
                <w:kern w:val="0"/>
                <w:sz w:val="21"/>
                <w:szCs w:val="21"/>
                <w:lang w:val="en-US" w:eastAsia="zh-CN" w:bidi="en-US"/>
              </w:rPr>
              <w:t>1</w:t>
            </w:r>
            <w:r>
              <w:rPr>
                <w:rFonts w:hint="eastAsia" w:ascii="宋体" w:hAnsi="宋体" w:eastAsia="宋体" w:cs="宋体"/>
                <w:b/>
                <w:bCs/>
                <w:color w:val="000000"/>
                <w:kern w:val="0"/>
                <w:sz w:val="21"/>
                <w:szCs w:val="21"/>
                <w:lang w:eastAsia="en-US" w:bidi="en-US"/>
              </w:rPr>
              <w:t>-X月</w:t>
            </w:r>
          </w:p>
        </w:tc>
        <w:tc>
          <w:tcPr>
            <w:tcW w:w="1104"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color w:val="000000"/>
                <w:kern w:val="0"/>
                <w:sz w:val="21"/>
                <w:szCs w:val="21"/>
                <w:lang w:eastAsia="en-US" w:bidi="en-US"/>
              </w:rPr>
              <w:t>20</w:t>
            </w:r>
            <w:r>
              <w:rPr>
                <w:rFonts w:hint="eastAsia" w:ascii="宋体" w:hAnsi="宋体" w:eastAsia="宋体" w:cs="宋体"/>
                <w:b/>
                <w:bCs/>
                <w:color w:val="000000"/>
                <w:kern w:val="0"/>
                <w:sz w:val="21"/>
                <w:szCs w:val="21"/>
                <w:lang w:bidi="en-US"/>
              </w:rPr>
              <w:t>XX</w:t>
            </w:r>
            <w:r>
              <w:rPr>
                <w:rFonts w:hint="eastAsia" w:ascii="宋体" w:hAnsi="宋体" w:eastAsia="宋体" w:cs="宋体"/>
                <w:b/>
                <w:bCs/>
                <w:color w:val="000000"/>
                <w:kern w:val="0"/>
                <w:sz w:val="21"/>
                <w:szCs w:val="21"/>
                <w:lang w:eastAsia="en-US" w:bidi="en-US"/>
              </w:rPr>
              <w:t>年</w:t>
            </w:r>
          </w:p>
        </w:tc>
        <w:tc>
          <w:tcPr>
            <w:tcW w:w="112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b/>
                <w:bCs/>
                <w:color w:val="000000"/>
                <w:kern w:val="0"/>
                <w:sz w:val="21"/>
                <w:szCs w:val="21"/>
                <w:lang w:eastAsia="en-US" w:bidi="en-US"/>
              </w:rPr>
              <w:t>20</w:t>
            </w:r>
            <w:r>
              <w:rPr>
                <w:rFonts w:hint="eastAsia" w:ascii="宋体" w:hAnsi="宋体" w:eastAsia="宋体" w:cs="宋体"/>
                <w:b/>
                <w:bCs/>
                <w:color w:val="000000"/>
                <w:kern w:val="0"/>
                <w:sz w:val="21"/>
                <w:szCs w:val="21"/>
                <w:lang w:bidi="en-US"/>
              </w:rPr>
              <w:t>XX</w:t>
            </w:r>
            <w:r>
              <w:rPr>
                <w:rFonts w:hint="eastAsia" w:ascii="宋体" w:hAnsi="宋体" w:eastAsia="宋体" w:cs="宋体"/>
                <w:b/>
                <w:bCs/>
                <w:color w:val="000000"/>
                <w:kern w:val="0"/>
                <w:sz w:val="21"/>
                <w:szCs w:val="21"/>
                <w:lang w:eastAsia="en-US" w:bidi="en-US"/>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总资产（亿元）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总负债（亿元）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全部债务（亿元）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所有者权益（亿元）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营业总收入（亿元）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净利润（亿元）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扣除非经常性损益后净利润（亿元）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归属于母公司所有者的净利润</w:t>
            </w:r>
            <w:r>
              <w:rPr>
                <w:rFonts w:hint="eastAsia" w:ascii="宋体" w:hAnsi="宋体" w:eastAsia="宋体" w:cs="宋体"/>
                <w:kern w:val="0"/>
                <w:sz w:val="21"/>
                <w:szCs w:val="21"/>
              </w:rPr>
              <w:t>（亿元）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经营活动产生现金流量净额（亿元）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投资活动产生现金流量净额（亿元）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筹资活动产生现金流量净额（亿元）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速动比率</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资产负债率（%）</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营业毛利率（%）</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平均总资产回报率（%）</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加权平均净资产收益率（%）</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EBITDA（亿元）</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EBITDA利息倍数</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应收账款周转率</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5" w:type="dxa"/>
            <w:tcBorders>
              <w:top w:val="single" w:color="auto" w:sz="4" w:space="0"/>
              <w:left w:val="single" w:color="auto" w:sz="12" w:space="0"/>
              <w:bottom w:val="single" w:color="auto" w:sz="12"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存货周转率</w:t>
            </w:r>
          </w:p>
        </w:tc>
        <w:tc>
          <w:tcPr>
            <w:tcW w:w="1140" w:type="dxa"/>
            <w:tcBorders>
              <w:top w:val="single" w:color="auto" w:sz="4" w:space="0"/>
              <w:left w:val="single" w:color="auto" w:sz="4" w:space="0"/>
              <w:bottom w:val="single" w:color="auto" w:sz="12"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04" w:type="dxa"/>
            <w:tcBorders>
              <w:top w:val="single" w:color="auto" w:sz="4" w:space="0"/>
              <w:left w:val="single" w:color="auto" w:sz="4" w:space="0"/>
              <w:bottom w:val="single" w:color="auto" w:sz="12"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c>
          <w:tcPr>
            <w:tcW w:w="1127" w:type="dxa"/>
            <w:tcBorders>
              <w:top w:val="single" w:color="auto" w:sz="4" w:space="0"/>
              <w:left w:val="single" w:color="auto" w:sz="4" w:space="0"/>
              <w:bottom w:val="single" w:color="auto" w:sz="12" w:space="0"/>
              <w:right w:val="single" w:color="auto" w:sz="4" w:space="0"/>
            </w:tcBorders>
            <w:vAlign w:val="center"/>
          </w:tcPr>
          <w:p>
            <w:pPr>
              <w:widowControl/>
              <w:adjustRightInd w:val="0"/>
              <w:snapToGrid w:val="0"/>
              <w:spacing w:line="240" w:lineRule="auto"/>
              <w:rPr>
                <w:rFonts w:hint="eastAsia" w:ascii="宋体" w:hAnsi="宋体" w:eastAsia="宋体" w:cs="宋体"/>
                <w:kern w:val="0"/>
                <w:sz w:val="21"/>
                <w:szCs w:val="21"/>
              </w:rPr>
            </w:pPr>
          </w:p>
        </w:tc>
      </w:tr>
    </w:tbl>
    <w:p>
      <w:pPr>
        <w:widowControl/>
        <w:spacing w:line="24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注：全部债务=长期借款+应付债券+短期借款+交易性金融负债+应付票据+应付短期债券+一年内到期的非流动负债</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[请对发行人主要财务数据和指标进行简要描述，特殊行业发行人可视情况相应调整。]</w:t>
      </w:r>
    </w:p>
    <w:p>
      <w:pPr>
        <w:spacing w:line="560" w:lineRule="exact"/>
        <w:ind w:firstLine="640" w:firstLineChars="200"/>
        <w:rPr>
          <w:rFonts w:hint="eastAsia" w:ascii="楷体" w:hAnsi="楷体" w:eastAsia="楷体" w:cs="楷体"/>
          <w:b w:val="0"/>
          <w:bCs/>
          <w:kern w:val="0"/>
          <w:sz w:val="32"/>
          <w:szCs w:val="32"/>
          <w:lang w:bidi="en-US"/>
        </w:rPr>
      </w:pPr>
      <w:r>
        <w:rPr>
          <w:rFonts w:hint="eastAsia" w:ascii="楷体" w:hAnsi="楷体" w:eastAsia="楷体" w:cs="楷体"/>
          <w:b w:val="0"/>
          <w:bCs/>
          <w:kern w:val="0"/>
          <w:sz w:val="32"/>
          <w:szCs w:val="32"/>
          <w:lang w:bidi="en-US"/>
        </w:rPr>
        <w:t>（二）债券情况分析</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1.存续债券</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截至募集说明书签署日，发行人及其合并范围内子公司已发行尚未兑付的债券情况如下：</w:t>
      </w:r>
    </w:p>
    <w:p>
      <w:pPr>
        <w:spacing w:line="240" w:lineRule="auto"/>
        <w:jc w:val="right"/>
        <w:rPr>
          <w:rFonts w:hint="eastAsia" w:ascii="宋体" w:hAnsi="宋体" w:eastAsia="宋体" w:cs="宋体"/>
          <w:sz w:val="21"/>
          <w:szCs w:val="21"/>
        </w:rPr>
      </w:pPr>
      <w:r>
        <w:rPr>
          <w:rFonts w:hint="eastAsia" w:ascii="宋体" w:hAnsi="宋体" w:eastAsia="宋体" w:cs="宋体"/>
          <w:sz w:val="21"/>
          <w:szCs w:val="21"/>
        </w:rPr>
        <w:t>单位：亿元、年、%</w:t>
      </w:r>
    </w:p>
    <w:tbl>
      <w:tblPr>
        <w:tblStyle w:val="12"/>
        <w:tblW w:w="54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4"/>
        <w:gridCol w:w="1941"/>
        <w:gridCol w:w="986"/>
        <w:gridCol w:w="992"/>
        <w:gridCol w:w="992"/>
        <w:gridCol w:w="851"/>
        <w:gridCol w:w="1134"/>
        <w:gridCol w:w="924"/>
        <w:gridCol w:w="8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19" w:type="dxa"/>
            <w:gridSpan w:val="2"/>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941"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债券简称</w:t>
            </w:r>
          </w:p>
        </w:tc>
        <w:tc>
          <w:tcPr>
            <w:tcW w:w="986"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发行</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日期</w:t>
            </w:r>
          </w:p>
        </w:tc>
        <w:tc>
          <w:tcPr>
            <w:tcW w:w="992"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回售</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日期</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（如有）</w:t>
            </w:r>
          </w:p>
        </w:tc>
        <w:tc>
          <w:tcPr>
            <w:tcW w:w="992"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到期</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日期</w:t>
            </w:r>
          </w:p>
        </w:tc>
        <w:tc>
          <w:tcPr>
            <w:tcW w:w="851"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债券</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期限</w:t>
            </w:r>
          </w:p>
        </w:tc>
        <w:tc>
          <w:tcPr>
            <w:tcW w:w="1134"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发行</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规模</w:t>
            </w:r>
          </w:p>
        </w:tc>
        <w:tc>
          <w:tcPr>
            <w:tcW w:w="924"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发行</w:t>
            </w:r>
          </w:p>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利率</w:t>
            </w:r>
          </w:p>
        </w:tc>
        <w:tc>
          <w:tcPr>
            <w:tcW w:w="833"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余额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公募公司债券小计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私募公司债券小计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公司债券小计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债务融资工具小计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企业债券小计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gridSpan w:val="2"/>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其他小计</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3"/>
            <w:tcBorders>
              <w:top w:val="single" w:color="auto" w:sz="4" w:space="0"/>
              <w:left w:val="single" w:color="auto" w:sz="12"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合计</w:t>
            </w:r>
          </w:p>
        </w:tc>
        <w:tc>
          <w:tcPr>
            <w:tcW w:w="986"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51"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1134"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924" w:type="dxa"/>
            <w:tcBorders>
              <w:top w:val="single" w:color="auto" w:sz="4" w:space="0"/>
              <w:left w:val="single" w:color="auto" w:sz="4" w:space="0"/>
              <w:bottom w:val="single" w:color="auto" w:sz="12" w:space="0"/>
              <w:right w:val="single" w:color="auto" w:sz="4" w:space="0"/>
            </w:tcBorders>
            <w:vAlign w:val="center"/>
          </w:tcPr>
          <w:p>
            <w:pPr>
              <w:widowControl/>
              <w:spacing w:line="240" w:lineRule="auto"/>
              <w:rPr>
                <w:rFonts w:hint="eastAsia" w:ascii="宋体" w:hAnsi="宋体" w:eastAsia="宋体" w:cs="宋体"/>
                <w:kern w:val="0"/>
                <w:sz w:val="21"/>
                <w:szCs w:val="21"/>
              </w:rPr>
            </w:pPr>
          </w:p>
        </w:tc>
        <w:tc>
          <w:tcPr>
            <w:tcW w:w="833" w:type="dxa"/>
            <w:tcBorders>
              <w:top w:val="single" w:color="auto" w:sz="4" w:space="0"/>
              <w:left w:val="single" w:color="auto" w:sz="4" w:space="0"/>
              <w:bottom w:val="single" w:color="auto" w:sz="12" w:space="0"/>
              <w:right w:val="single" w:color="auto" w:sz="12" w:space="0"/>
            </w:tcBorders>
            <w:vAlign w:val="center"/>
          </w:tcPr>
          <w:p>
            <w:pPr>
              <w:widowControl/>
              <w:spacing w:line="240" w:lineRule="auto"/>
              <w:rPr>
                <w:rFonts w:hint="eastAsia" w:ascii="宋体" w:hAnsi="宋体" w:eastAsia="宋体" w:cs="宋体"/>
                <w:kern w:val="0"/>
                <w:sz w:val="21"/>
                <w:szCs w:val="21"/>
              </w:rPr>
            </w:pPr>
          </w:p>
        </w:tc>
      </w:tr>
    </w:tbl>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2.在手批文</w:t>
      </w:r>
    </w:p>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截至募集说明书签署日，发行人及子公司存在已注册尚未发行的债券，具体情况如下：</w:t>
      </w:r>
    </w:p>
    <w:p>
      <w:pPr>
        <w:spacing w:line="240" w:lineRule="auto"/>
        <w:ind w:firstLine="420" w:firstLineChars="200"/>
        <w:jc w:val="right"/>
        <w:rPr>
          <w:rFonts w:hint="eastAsia" w:ascii="宋体" w:hAnsi="宋体" w:eastAsia="宋体" w:cs="宋体"/>
          <w:sz w:val="21"/>
          <w:szCs w:val="21"/>
        </w:rPr>
      </w:pPr>
      <w:r>
        <w:rPr>
          <w:rFonts w:hint="eastAsia" w:ascii="宋体" w:hAnsi="宋体" w:eastAsia="宋体" w:cs="宋体"/>
          <w:sz w:val="21"/>
          <w:szCs w:val="21"/>
        </w:rPr>
        <w:t>单位：亿元</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73"/>
        <w:gridCol w:w="1499"/>
        <w:gridCol w:w="1379"/>
        <w:gridCol w:w="1335"/>
        <w:gridCol w:w="930"/>
        <w:gridCol w:w="988"/>
        <w:gridCol w:w="1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7" w:type="dxa"/>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173"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注册主体</w:t>
            </w:r>
          </w:p>
        </w:tc>
        <w:tc>
          <w:tcPr>
            <w:tcW w:w="1499"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债券品种</w:t>
            </w:r>
          </w:p>
        </w:tc>
        <w:tc>
          <w:tcPr>
            <w:tcW w:w="1379"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注册机构</w:t>
            </w:r>
          </w:p>
        </w:tc>
        <w:tc>
          <w:tcPr>
            <w:tcW w:w="1335"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注册时间</w:t>
            </w:r>
          </w:p>
        </w:tc>
        <w:tc>
          <w:tcPr>
            <w:tcW w:w="930"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注册</w:t>
            </w:r>
            <w:r>
              <w:rPr>
                <w:rFonts w:hint="eastAsia" w:ascii="宋体" w:hAnsi="宋体" w:eastAsia="宋体" w:cs="宋体"/>
                <w:b/>
                <w:bCs/>
                <w:color w:val="000000"/>
                <w:kern w:val="0"/>
                <w:sz w:val="21"/>
                <w:szCs w:val="21"/>
              </w:rPr>
              <w:br w:type="textWrapping"/>
            </w:r>
            <w:r>
              <w:rPr>
                <w:rFonts w:hint="eastAsia" w:ascii="宋体" w:hAnsi="宋体" w:eastAsia="宋体" w:cs="宋体"/>
                <w:b/>
                <w:bCs/>
                <w:color w:val="000000"/>
                <w:kern w:val="0"/>
                <w:sz w:val="21"/>
                <w:szCs w:val="21"/>
              </w:rPr>
              <w:t>规模</w:t>
            </w:r>
          </w:p>
        </w:tc>
        <w:tc>
          <w:tcPr>
            <w:tcW w:w="988"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已发行金额</w:t>
            </w:r>
          </w:p>
        </w:tc>
        <w:tc>
          <w:tcPr>
            <w:tcW w:w="1095"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尚未发行金额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21"/>
                <w:szCs w:val="21"/>
              </w:rPr>
            </w:pPr>
          </w:p>
        </w:tc>
        <w:tc>
          <w:tcPr>
            <w:tcW w:w="11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Cs/>
                <w:color w:val="000000"/>
                <w:kern w:val="0"/>
                <w:sz w:val="21"/>
                <w:szCs w:val="21"/>
              </w:rPr>
            </w:pPr>
          </w:p>
        </w:tc>
        <w:tc>
          <w:tcPr>
            <w:tcW w:w="149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Cs/>
                <w:color w:val="000000"/>
                <w:kern w:val="0"/>
                <w:sz w:val="21"/>
                <w:szCs w:val="21"/>
              </w:rPr>
            </w:pPr>
          </w:p>
        </w:tc>
        <w:tc>
          <w:tcPr>
            <w:tcW w:w="13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Cs/>
                <w:color w:val="000000"/>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Cs/>
                <w:color w:val="000000"/>
                <w:kern w:val="0"/>
                <w:sz w:val="21"/>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宋体"/>
                <w:bCs/>
                <w:color w:val="000000"/>
                <w:kern w:val="0"/>
                <w:sz w:val="21"/>
                <w:szCs w:val="21"/>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eastAsia" w:ascii="宋体" w:hAnsi="宋体" w:eastAsia="宋体" w:cs="宋体"/>
                <w:bCs/>
                <w:color w:val="000000"/>
                <w:kern w:val="0"/>
                <w:sz w:val="21"/>
                <w:szCs w:val="21"/>
              </w:rPr>
            </w:pPr>
          </w:p>
        </w:tc>
        <w:tc>
          <w:tcPr>
            <w:tcW w:w="109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right"/>
              <w:rPr>
                <w:rFonts w:hint="eastAsia" w:ascii="宋体" w:hAnsi="宋体" w:eastAsia="宋体" w:cs="宋体"/>
                <w:bCs/>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0" w:type="dxa"/>
            <w:gridSpan w:val="2"/>
            <w:tcBorders>
              <w:top w:val="single" w:color="auto" w:sz="4" w:space="0"/>
              <w:left w:val="single" w:color="auto" w:sz="12"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499" w:type="dxa"/>
            <w:tcBorders>
              <w:top w:val="single" w:color="auto" w:sz="4" w:space="0"/>
              <w:left w:val="single" w:color="auto" w:sz="4" w:space="0"/>
              <w:bottom w:val="single" w:color="auto" w:sz="12" w:space="0"/>
              <w:right w:val="single" w:color="auto" w:sz="4" w:space="0"/>
            </w:tcBorders>
          </w:tcPr>
          <w:p>
            <w:pPr>
              <w:widowControl/>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w:t>
            </w:r>
          </w:p>
        </w:tc>
        <w:tc>
          <w:tcPr>
            <w:tcW w:w="1379"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w:t>
            </w:r>
          </w:p>
        </w:tc>
        <w:tc>
          <w:tcPr>
            <w:tcW w:w="1335"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w:t>
            </w:r>
          </w:p>
        </w:tc>
        <w:tc>
          <w:tcPr>
            <w:tcW w:w="930"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right"/>
              <w:rPr>
                <w:rFonts w:hint="eastAsia" w:ascii="宋体" w:hAnsi="宋体" w:eastAsia="宋体" w:cs="宋体"/>
                <w:b/>
                <w:color w:val="000000"/>
                <w:kern w:val="0"/>
                <w:sz w:val="21"/>
                <w:szCs w:val="21"/>
              </w:rPr>
            </w:pPr>
          </w:p>
        </w:tc>
        <w:tc>
          <w:tcPr>
            <w:tcW w:w="988"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right"/>
              <w:rPr>
                <w:rFonts w:hint="eastAsia" w:ascii="宋体" w:hAnsi="宋体" w:eastAsia="宋体" w:cs="宋体"/>
                <w:b/>
                <w:color w:val="000000"/>
                <w:kern w:val="0"/>
                <w:sz w:val="21"/>
                <w:szCs w:val="21"/>
              </w:rPr>
            </w:pPr>
          </w:p>
        </w:tc>
        <w:tc>
          <w:tcPr>
            <w:tcW w:w="1095" w:type="dxa"/>
            <w:tcBorders>
              <w:top w:val="single" w:color="auto" w:sz="4" w:space="0"/>
              <w:left w:val="single" w:color="auto" w:sz="4" w:space="0"/>
              <w:bottom w:val="single" w:color="auto" w:sz="12" w:space="0"/>
              <w:right w:val="single" w:color="auto" w:sz="12" w:space="0"/>
            </w:tcBorders>
            <w:vAlign w:val="center"/>
          </w:tcPr>
          <w:p>
            <w:pPr>
              <w:widowControl/>
              <w:spacing w:line="240" w:lineRule="auto"/>
              <w:jc w:val="right"/>
              <w:rPr>
                <w:rFonts w:hint="eastAsia" w:ascii="宋体" w:hAnsi="宋体" w:eastAsia="宋体" w:cs="宋体"/>
                <w:b/>
                <w:color w:val="000000"/>
                <w:kern w:val="0"/>
                <w:sz w:val="21"/>
                <w:szCs w:val="21"/>
              </w:rPr>
            </w:pPr>
          </w:p>
        </w:tc>
      </w:tr>
    </w:tbl>
    <w:p>
      <w:pPr>
        <w:pStyle w:val="26"/>
        <w:keepNext w:val="0"/>
        <w:keepLines w:val="0"/>
        <w:pageBreakBefore w:val="0"/>
        <w:widowControl w:val="0"/>
        <w:kinsoku/>
        <w:wordWrap/>
        <w:overflowPunct/>
        <w:topLinePunct/>
        <w:autoSpaceDE/>
        <w:autoSpaceDN/>
        <w:bidi w:val="0"/>
        <w:adjustRightInd/>
        <w:snapToGrid w:val="0"/>
        <w:spacing w:line="560" w:lineRule="exact"/>
        <w:ind w:firstLine="600"/>
        <w:jc w:val="both"/>
        <w:textAlignment w:val="auto"/>
        <w:rPr>
          <w:rFonts w:hint="eastAsia" w:ascii="仿宋" w:hAnsi="仿宋" w:eastAsia="仿宋" w:cs="仿宋"/>
          <w:sz w:val="32"/>
          <w:szCs w:val="32"/>
        </w:rPr>
      </w:pPr>
      <w:r>
        <w:rPr>
          <w:rFonts w:hint="eastAsia" w:ascii="仿宋" w:hAnsi="仿宋" w:eastAsia="仿宋" w:cs="仿宋"/>
          <w:sz w:val="32"/>
          <w:szCs w:val="32"/>
        </w:rPr>
        <w:t>3.同期申报债券情况</w:t>
      </w:r>
    </w:p>
    <w:p>
      <w:pPr>
        <w:keepNext w:val="0"/>
        <w:keepLines w:val="0"/>
        <w:pageBreakBefore w:val="0"/>
        <w:widowControl w:val="0"/>
        <w:tabs>
          <w:tab w:val="left" w:pos="756"/>
        </w:tabs>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以列表形式简要介绍除本次申报公司债券外，发行人同期申报公司债券的情况。</w:t>
      </w:r>
    </w:p>
    <w:p>
      <w:pPr>
        <w:spacing w:line="560" w:lineRule="exact"/>
        <w:ind w:firstLine="640" w:firstLineChars="200"/>
        <w:rPr>
          <w:rFonts w:ascii="黑体" w:hAnsi="黑体" w:eastAsia="黑体"/>
          <w:b w:val="0"/>
          <w:bCs/>
          <w:kern w:val="0"/>
          <w:sz w:val="32"/>
          <w:szCs w:val="32"/>
          <w:lang w:bidi="en-US"/>
        </w:rPr>
      </w:pPr>
      <w:r>
        <w:rPr>
          <w:rFonts w:hint="eastAsia" w:ascii="黑体" w:hAnsi="黑体" w:eastAsia="黑体"/>
          <w:b w:val="0"/>
          <w:bCs/>
          <w:kern w:val="0"/>
          <w:sz w:val="32"/>
          <w:szCs w:val="32"/>
          <w:lang w:bidi="en-US"/>
        </w:rPr>
        <w:t>三、公司债券发行方案</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6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5" w:type="pct"/>
            <w:tcBorders>
              <w:top w:val="single" w:color="auto" w:sz="12" w:space="0"/>
              <w:left w:val="single" w:color="auto" w:sz="12" w:space="0"/>
              <w:bottom w:val="single" w:color="auto" w:sz="4" w:space="0"/>
              <w:right w:val="single" w:color="auto" w:sz="4" w:space="0"/>
            </w:tcBorders>
            <w:vAlign w:val="center"/>
          </w:tcPr>
          <w:p>
            <w:pPr>
              <w:spacing w:line="240" w:lineRule="auto"/>
              <w:contextualSpacing/>
              <w:rPr>
                <w:rFonts w:hint="eastAsia" w:ascii="宋体" w:hAnsi="宋体" w:eastAsia="宋体" w:cs="宋体"/>
                <w:sz w:val="21"/>
                <w:szCs w:val="21"/>
              </w:rPr>
            </w:pPr>
            <w:r>
              <w:rPr>
                <w:rFonts w:hint="eastAsia" w:ascii="宋体" w:hAnsi="宋体" w:eastAsia="宋体" w:cs="宋体"/>
                <w:sz w:val="21"/>
                <w:szCs w:val="21"/>
              </w:rPr>
              <w:t>债券名称</w:t>
            </w:r>
          </w:p>
        </w:tc>
        <w:tc>
          <w:tcPr>
            <w:tcW w:w="3615" w:type="pct"/>
            <w:tcBorders>
              <w:top w:val="single" w:color="auto" w:sz="12" w:space="0"/>
              <w:left w:val="single" w:color="auto" w:sz="4" w:space="0"/>
              <w:bottom w:val="single" w:color="auto" w:sz="4" w:space="0"/>
              <w:right w:val="single" w:color="auto" w:sz="12" w:space="0"/>
            </w:tcBorders>
            <w:vAlign w:val="center"/>
          </w:tcPr>
          <w:p>
            <w:pPr>
              <w:pStyle w:val="26"/>
              <w:spacing w:line="240" w:lineRule="auto"/>
              <w:ind w:firstLine="0" w:firstLineChars="0"/>
              <w:contextualSpacing/>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5" w:type="pct"/>
            <w:tcBorders>
              <w:top w:val="single" w:color="auto" w:sz="4" w:space="0"/>
              <w:left w:val="single" w:color="auto" w:sz="12" w:space="0"/>
              <w:bottom w:val="single" w:color="auto" w:sz="4" w:space="0"/>
              <w:right w:val="single" w:color="auto" w:sz="4" w:space="0"/>
            </w:tcBorders>
            <w:vAlign w:val="center"/>
          </w:tcPr>
          <w:p>
            <w:pPr>
              <w:spacing w:line="240" w:lineRule="auto"/>
              <w:contextualSpacing/>
              <w:rPr>
                <w:rFonts w:hint="eastAsia" w:ascii="宋体" w:hAnsi="宋体" w:eastAsia="宋体" w:cs="宋体"/>
                <w:sz w:val="21"/>
                <w:szCs w:val="21"/>
              </w:rPr>
            </w:pPr>
            <w:r>
              <w:rPr>
                <w:rFonts w:hint="eastAsia" w:ascii="宋体" w:hAnsi="宋体" w:eastAsia="宋体" w:cs="宋体"/>
                <w:sz w:val="21"/>
                <w:szCs w:val="21"/>
              </w:rPr>
              <w:t>发行规模（亿元）</w:t>
            </w:r>
          </w:p>
        </w:tc>
        <w:tc>
          <w:tcPr>
            <w:tcW w:w="3615" w:type="pct"/>
            <w:tcBorders>
              <w:top w:val="single" w:color="auto" w:sz="4" w:space="0"/>
              <w:left w:val="single" w:color="auto" w:sz="4" w:space="0"/>
              <w:bottom w:val="single" w:color="auto" w:sz="4" w:space="0"/>
              <w:right w:val="single" w:color="auto" w:sz="12" w:space="0"/>
            </w:tcBorders>
            <w:vAlign w:val="center"/>
          </w:tcPr>
          <w:p>
            <w:pPr>
              <w:pStyle w:val="26"/>
              <w:spacing w:line="240" w:lineRule="auto"/>
              <w:ind w:firstLine="0" w:firstLineChars="0"/>
              <w:contextualSpacing/>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5" w:type="pct"/>
            <w:tcBorders>
              <w:top w:val="single" w:color="auto" w:sz="4" w:space="0"/>
              <w:left w:val="single" w:color="auto" w:sz="12" w:space="0"/>
              <w:bottom w:val="single" w:color="auto" w:sz="4" w:space="0"/>
              <w:right w:val="single" w:color="auto" w:sz="4" w:space="0"/>
            </w:tcBorders>
            <w:vAlign w:val="center"/>
          </w:tcPr>
          <w:p>
            <w:pPr>
              <w:spacing w:line="240" w:lineRule="auto"/>
              <w:contextualSpacing/>
              <w:rPr>
                <w:rFonts w:hint="eastAsia" w:ascii="宋体" w:hAnsi="宋体" w:eastAsia="宋体" w:cs="宋体"/>
                <w:sz w:val="21"/>
                <w:szCs w:val="21"/>
              </w:rPr>
            </w:pPr>
            <w:r>
              <w:rPr>
                <w:rFonts w:hint="eastAsia" w:ascii="宋体" w:hAnsi="宋体" w:eastAsia="宋体" w:cs="宋体"/>
                <w:sz w:val="21"/>
                <w:szCs w:val="21"/>
              </w:rPr>
              <w:t>债券期限（年）</w:t>
            </w:r>
          </w:p>
        </w:tc>
        <w:tc>
          <w:tcPr>
            <w:tcW w:w="3615" w:type="pct"/>
            <w:tcBorders>
              <w:top w:val="single" w:color="auto" w:sz="4" w:space="0"/>
              <w:left w:val="single" w:color="auto" w:sz="4" w:space="0"/>
              <w:bottom w:val="single" w:color="auto" w:sz="4" w:space="0"/>
              <w:right w:val="single" w:color="auto" w:sz="12" w:space="0"/>
            </w:tcBorders>
            <w:vAlign w:val="center"/>
          </w:tcPr>
          <w:p>
            <w:pPr>
              <w:pStyle w:val="26"/>
              <w:spacing w:line="240" w:lineRule="auto"/>
              <w:ind w:firstLine="0" w:firstLineChars="0"/>
              <w:contextualSpacing/>
              <w:rPr>
                <w:rFonts w:hint="eastAsia"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5" w:type="pct"/>
            <w:tcBorders>
              <w:top w:val="single" w:color="auto" w:sz="4" w:space="0"/>
              <w:left w:val="single" w:color="auto" w:sz="12" w:space="0"/>
              <w:bottom w:val="single" w:color="auto" w:sz="4" w:space="0"/>
              <w:right w:val="single" w:color="auto" w:sz="4" w:space="0"/>
            </w:tcBorders>
            <w:vAlign w:val="center"/>
          </w:tcPr>
          <w:p>
            <w:pPr>
              <w:spacing w:line="240" w:lineRule="auto"/>
              <w:contextualSpacing/>
              <w:rPr>
                <w:rFonts w:hint="eastAsia" w:ascii="宋体" w:hAnsi="宋体" w:eastAsia="宋体" w:cs="宋体"/>
                <w:sz w:val="21"/>
                <w:szCs w:val="21"/>
              </w:rPr>
            </w:pPr>
            <w:r>
              <w:rPr>
                <w:rFonts w:hint="eastAsia" w:ascii="宋体" w:hAnsi="宋体" w:eastAsia="宋体" w:cs="宋体"/>
                <w:sz w:val="21"/>
                <w:szCs w:val="21"/>
              </w:rPr>
              <w:t>担保情况</w:t>
            </w:r>
          </w:p>
        </w:tc>
        <w:tc>
          <w:tcPr>
            <w:tcW w:w="3615" w:type="pct"/>
            <w:tcBorders>
              <w:top w:val="single" w:color="auto" w:sz="4" w:space="0"/>
              <w:left w:val="single" w:color="auto" w:sz="4" w:space="0"/>
              <w:bottom w:val="single" w:color="auto" w:sz="4" w:space="0"/>
              <w:right w:val="single" w:color="auto" w:sz="12" w:space="0"/>
            </w:tcBorders>
            <w:vAlign w:val="center"/>
          </w:tcPr>
          <w:p>
            <w:pPr>
              <w:spacing w:line="240" w:lineRule="auto"/>
              <w:contextualSpacing/>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5" w:type="pct"/>
            <w:tcBorders>
              <w:top w:val="single" w:color="auto" w:sz="4" w:space="0"/>
              <w:left w:val="single" w:color="auto" w:sz="12" w:space="0"/>
              <w:bottom w:val="single" w:color="auto" w:sz="4" w:space="0"/>
              <w:right w:val="single" w:color="auto" w:sz="4" w:space="0"/>
            </w:tcBorders>
            <w:vAlign w:val="center"/>
          </w:tcPr>
          <w:p>
            <w:pPr>
              <w:spacing w:line="240" w:lineRule="auto"/>
              <w:contextualSpacing/>
              <w:rPr>
                <w:rFonts w:hint="eastAsia" w:ascii="宋体" w:hAnsi="宋体" w:eastAsia="宋体" w:cs="宋体"/>
                <w:sz w:val="21"/>
                <w:szCs w:val="21"/>
              </w:rPr>
            </w:pPr>
            <w:r>
              <w:rPr>
                <w:rFonts w:hint="eastAsia" w:ascii="宋体" w:hAnsi="宋体" w:eastAsia="宋体" w:cs="宋体"/>
                <w:sz w:val="21"/>
                <w:szCs w:val="21"/>
              </w:rPr>
              <w:t>信用级别及资信评级机构</w:t>
            </w:r>
          </w:p>
        </w:tc>
        <w:tc>
          <w:tcPr>
            <w:tcW w:w="3615" w:type="pct"/>
            <w:tcBorders>
              <w:top w:val="single" w:color="auto" w:sz="4" w:space="0"/>
              <w:left w:val="single" w:color="auto" w:sz="4" w:space="0"/>
              <w:bottom w:val="single" w:color="auto" w:sz="4" w:space="0"/>
              <w:right w:val="single" w:color="auto" w:sz="12" w:space="0"/>
            </w:tcBorders>
            <w:vAlign w:val="center"/>
          </w:tcPr>
          <w:p>
            <w:pPr>
              <w:pStyle w:val="26"/>
              <w:spacing w:line="240" w:lineRule="auto"/>
              <w:ind w:firstLine="0" w:firstLineChars="0"/>
              <w:contextualSpacing/>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5" w:type="pct"/>
            <w:tcBorders>
              <w:top w:val="single" w:color="auto" w:sz="4" w:space="0"/>
              <w:left w:val="single" w:color="auto" w:sz="12" w:space="0"/>
              <w:bottom w:val="single" w:color="auto" w:sz="4" w:space="0"/>
              <w:right w:val="single" w:color="auto" w:sz="4" w:space="0"/>
            </w:tcBorders>
            <w:vAlign w:val="center"/>
          </w:tcPr>
          <w:p>
            <w:pPr>
              <w:spacing w:line="240" w:lineRule="auto"/>
              <w:contextualSpacing/>
              <w:rPr>
                <w:rFonts w:hint="eastAsia" w:ascii="宋体" w:hAnsi="宋体" w:eastAsia="宋体" w:cs="宋体"/>
                <w:sz w:val="21"/>
                <w:szCs w:val="21"/>
              </w:rPr>
            </w:pPr>
            <w:r>
              <w:rPr>
                <w:rFonts w:hint="eastAsia" w:ascii="宋体" w:hAnsi="宋体" w:eastAsia="宋体" w:cs="宋体"/>
                <w:sz w:val="21"/>
                <w:szCs w:val="21"/>
              </w:rPr>
              <w:t>主承销商</w:t>
            </w:r>
          </w:p>
        </w:tc>
        <w:tc>
          <w:tcPr>
            <w:tcW w:w="3615" w:type="pct"/>
            <w:tcBorders>
              <w:top w:val="single" w:color="auto" w:sz="4" w:space="0"/>
              <w:left w:val="single" w:color="auto" w:sz="4" w:space="0"/>
              <w:bottom w:val="single" w:color="auto" w:sz="4" w:space="0"/>
              <w:right w:val="single" w:color="auto" w:sz="12" w:space="0"/>
            </w:tcBorders>
            <w:vAlign w:val="center"/>
          </w:tcPr>
          <w:p>
            <w:pPr>
              <w:pStyle w:val="26"/>
              <w:spacing w:line="240" w:lineRule="auto"/>
              <w:ind w:firstLine="0" w:firstLineChars="0"/>
              <w:contextualSpacing/>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5" w:type="pct"/>
            <w:tcBorders>
              <w:top w:val="single" w:color="auto" w:sz="4" w:space="0"/>
              <w:left w:val="single" w:color="auto" w:sz="12" w:space="0"/>
              <w:bottom w:val="single" w:color="auto" w:sz="4" w:space="0"/>
              <w:right w:val="single" w:color="auto" w:sz="4" w:space="0"/>
            </w:tcBorders>
            <w:vAlign w:val="center"/>
          </w:tcPr>
          <w:p>
            <w:pPr>
              <w:spacing w:line="240" w:lineRule="auto"/>
              <w:contextualSpacing/>
              <w:rPr>
                <w:rFonts w:hint="eastAsia" w:ascii="宋体" w:hAnsi="宋体" w:eastAsia="宋体" w:cs="宋体"/>
                <w:sz w:val="21"/>
                <w:szCs w:val="21"/>
              </w:rPr>
            </w:pPr>
            <w:r>
              <w:rPr>
                <w:rFonts w:hint="eastAsia" w:ascii="宋体" w:hAnsi="宋体" w:eastAsia="宋体" w:cs="宋体"/>
                <w:sz w:val="21"/>
                <w:szCs w:val="21"/>
              </w:rPr>
              <w:t>债券受托管理人</w:t>
            </w:r>
          </w:p>
        </w:tc>
        <w:tc>
          <w:tcPr>
            <w:tcW w:w="3615" w:type="pct"/>
            <w:tcBorders>
              <w:top w:val="single" w:color="auto" w:sz="4" w:space="0"/>
              <w:left w:val="single" w:color="auto" w:sz="4" w:space="0"/>
              <w:bottom w:val="single" w:color="auto" w:sz="4" w:space="0"/>
              <w:right w:val="single" w:color="auto" w:sz="12" w:space="0"/>
            </w:tcBorders>
            <w:vAlign w:val="center"/>
          </w:tcPr>
          <w:p>
            <w:pPr>
              <w:spacing w:line="240" w:lineRule="auto"/>
              <w:contextualSpacing/>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5" w:type="pct"/>
            <w:tcBorders>
              <w:top w:val="single" w:color="auto" w:sz="4" w:space="0"/>
              <w:left w:val="single" w:color="auto" w:sz="12" w:space="0"/>
              <w:bottom w:val="single" w:color="auto" w:sz="12" w:space="0"/>
              <w:right w:val="single" w:color="auto" w:sz="4" w:space="0"/>
            </w:tcBorders>
            <w:vAlign w:val="center"/>
          </w:tcPr>
          <w:p>
            <w:pPr>
              <w:spacing w:line="240" w:lineRule="auto"/>
              <w:contextualSpacing/>
              <w:rPr>
                <w:rFonts w:hint="eastAsia" w:ascii="宋体" w:hAnsi="宋体" w:eastAsia="宋体" w:cs="宋体"/>
                <w:sz w:val="21"/>
                <w:szCs w:val="21"/>
              </w:rPr>
            </w:pPr>
            <w:r>
              <w:rPr>
                <w:rFonts w:hint="eastAsia" w:ascii="宋体" w:hAnsi="宋体" w:eastAsia="宋体" w:cs="宋体"/>
                <w:sz w:val="21"/>
                <w:szCs w:val="21"/>
              </w:rPr>
              <w:t>募集资金用途</w:t>
            </w:r>
          </w:p>
        </w:tc>
        <w:tc>
          <w:tcPr>
            <w:tcW w:w="3615" w:type="pct"/>
            <w:tcBorders>
              <w:top w:val="single" w:color="auto" w:sz="4" w:space="0"/>
              <w:left w:val="single" w:color="auto" w:sz="4" w:space="0"/>
              <w:bottom w:val="single" w:color="auto" w:sz="12" w:space="0"/>
              <w:right w:val="single" w:color="auto" w:sz="12" w:space="0"/>
            </w:tcBorders>
            <w:vAlign w:val="center"/>
          </w:tcPr>
          <w:p>
            <w:pPr>
              <w:spacing w:line="240" w:lineRule="auto"/>
              <w:contextualSpacing/>
              <w:rPr>
                <w:rFonts w:hint="eastAsia" w:ascii="宋体" w:hAnsi="宋体" w:eastAsia="宋体" w:cs="宋体"/>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 xml:space="preserve"> </w:t>
      </w:r>
      <w:r>
        <w:rPr>
          <w:rFonts w:hint="eastAsia" w:ascii="仿宋" w:hAnsi="仿宋" w:eastAsia="仿宋" w:cs="仿宋"/>
          <w:color w:val="000000"/>
          <w:sz w:val="32"/>
          <w:szCs w:val="32"/>
        </w:rPr>
        <w:t>[募集资金用于偿还公司债务的，请披露拟偿还有息债务的债务类型、金额以及到期日等；用于补充流动资金的，请披露拟补充流动资金的业务板块；用于固定资产投资项目的，请披露项目的合理性、合规性、收益性等；用于基金投资的，请披露基金设立情况、运营情况及退出方式等。</w:t>
      </w:r>
      <w:r>
        <w:rPr>
          <w:rFonts w:hint="eastAsia" w:ascii="仿宋" w:hAnsi="仿宋" w:eastAsia="仿宋" w:cs="仿宋"/>
          <w:kern w:val="0"/>
          <w:sz w:val="32"/>
          <w:szCs w:val="32"/>
          <w:lang w:bidi="en-US"/>
        </w:rPr>
        <w:t>]</w:t>
      </w:r>
    </w:p>
    <w:p>
      <w:pPr>
        <w:widowControl/>
        <w:numPr>
          <w:ilvl w:val="255"/>
          <w:numId w:val="0"/>
        </w:numPr>
        <w:adjustRightInd w:val="0"/>
        <w:snapToGrid w:val="0"/>
        <w:spacing w:line="560" w:lineRule="exact"/>
        <w:ind w:firstLine="640" w:firstLineChars="200"/>
        <w:rPr>
          <w:rFonts w:ascii="黑体" w:hAnsi="黑体" w:eastAsia="黑体"/>
          <w:b w:val="0"/>
          <w:bCs/>
          <w:kern w:val="0"/>
          <w:sz w:val="32"/>
          <w:szCs w:val="32"/>
          <w:lang w:bidi="en-US"/>
        </w:rPr>
      </w:pPr>
      <w:r>
        <w:rPr>
          <w:rFonts w:hint="eastAsia" w:ascii="黑体" w:hAnsi="黑体" w:eastAsia="黑体"/>
          <w:b w:val="0"/>
          <w:bCs/>
          <w:color w:val="000000"/>
          <w:kern w:val="0"/>
          <w:sz w:val="32"/>
          <w:szCs w:val="32"/>
          <w:lang w:bidi="en-US"/>
        </w:rPr>
        <w:t>四、</w:t>
      </w:r>
      <w:r>
        <w:rPr>
          <w:rFonts w:hint="eastAsia" w:ascii="黑体" w:hAnsi="黑体" w:eastAsia="黑体"/>
          <w:b w:val="0"/>
          <w:bCs/>
          <w:kern w:val="0"/>
          <w:sz w:val="32"/>
          <w:szCs w:val="32"/>
          <w:lang w:bidi="en-US"/>
        </w:rPr>
        <w:t>本次债券增信情况（如有）</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color w:val="000000"/>
          <w:kern w:val="0"/>
          <w:sz w:val="32"/>
          <w:szCs w:val="32"/>
          <w:lang w:bidi="en-US"/>
        </w:rPr>
      </w:pPr>
      <w:r>
        <w:rPr>
          <w:rFonts w:hint="eastAsia" w:ascii="仿宋" w:hAnsi="仿宋" w:eastAsia="仿宋" w:cs="仿宋"/>
          <w:kern w:val="0"/>
          <w:sz w:val="32"/>
          <w:szCs w:val="32"/>
          <w:lang w:bidi="en-US"/>
        </w:rPr>
        <w:t>[</w:t>
      </w:r>
      <w:r>
        <w:rPr>
          <w:rFonts w:hint="eastAsia" w:ascii="仿宋" w:hAnsi="仿宋" w:eastAsia="仿宋" w:cs="仿宋"/>
          <w:color w:val="000000"/>
          <w:kern w:val="0"/>
          <w:sz w:val="32"/>
          <w:szCs w:val="32"/>
          <w:lang w:bidi="en-US"/>
        </w:rPr>
        <w:t>如为保证担保，请描述担保人基本情况、最近一年及一期主要财务数据及分析、资信状况、担保函主要内容等。</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bidi="en-US"/>
        </w:rPr>
      </w:pPr>
      <w:r>
        <w:rPr>
          <w:rFonts w:hint="eastAsia" w:ascii="仿宋" w:hAnsi="仿宋" w:eastAsia="仿宋" w:cs="仿宋"/>
          <w:color w:val="000000"/>
          <w:kern w:val="0"/>
          <w:sz w:val="32"/>
          <w:szCs w:val="32"/>
          <w:lang w:bidi="en-US"/>
        </w:rPr>
        <w:t>如为其他增信，请描述增信情况</w:t>
      </w:r>
      <w:r>
        <w:rPr>
          <w:rFonts w:hint="eastAsia" w:ascii="仿宋" w:hAnsi="仿宋" w:eastAsia="仿宋" w:cs="仿宋"/>
          <w:color w:val="000000"/>
          <w:kern w:val="0"/>
          <w:sz w:val="32"/>
          <w:szCs w:val="32"/>
          <w:lang w:eastAsia="zh-CN" w:bidi="en-US"/>
        </w:rPr>
        <w:t>。</w:t>
      </w:r>
      <w:r>
        <w:rPr>
          <w:rFonts w:hint="eastAsia" w:ascii="仿宋" w:hAnsi="仿宋" w:eastAsia="仿宋" w:cs="仿宋"/>
          <w:kern w:val="0"/>
          <w:sz w:val="32"/>
          <w:szCs w:val="32"/>
          <w:lang w:bidi="en-US"/>
        </w:rPr>
        <w:t>]</w:t>
      </w:r>
    </w:p>
    <w:p>
      <w:pPr>
        <w:spacing w:line="560" w:lineRule="exact"/>
        <w:ind w:firstLine="640" w:firstLineChars="200"/>
        <w:rPr>
          <w:rFonts w:ascii="黑体" w:hAnsi="黑体" w:eastAsia="黑体"/>
          <w:b w:val="0"/>
          <w:bCs/>
          <w:kern w:val="0"/>
          <w:sz w:val="32"/>
          <w:szCs w:val="32"/>
          <w:lang w:bidi="en-US"/>
        </w:rPr>
      </w:pPr>
      <w:r>
        <w:rPr>
          <w:rFonts w:hint="eastAsia" w:ascii="黑体" w:hAnsi="黑体" w:eastAsia="黑体"/>
          <w:b w:val="0"/>
          <w:bCs/>
          <w:kern w:val="0"/>
          <w:sz w:val="32"/>
          <w:szCs w:val="32"/>
          <w:lang w:bidi="en-US"/>
        </w:rPr>
        <w:t>五、关于本次公司债券挂牌转让合规性</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[对本次债券是否符合《证券法》《管理办法》《深圳证券交易所非公开发行公司债券挂牌规则》《非公开发行公司债券项目承接负面清单指引》等相关法律法规规定的挂牌条件进行说明。]</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30"/>
        <w:gridCol w:w="2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38" w:type="pct"/>
            <w:tcBorders>
              <w:top w:val="single" w:color="auto" w:sz="12" w:space="0"/>
              <w:left w:val="single" w:color="auto" w:sz="12" w:space="0"/>
              <w:bottom w:val="single" w:color="auto" w:sz="4" w:space="0"/>
              <w:right w:val="single" w:color="auto" w:sz="4"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1、发行人是否存在《非公开发行公司债券负面清单指引》规定的情形？</w:t>
            </w:r>
          </w:p>
        </w:tc>
        <w:tc>
          <w:tcPr>
            <w:tcW w:w="1462" w:type="pct"/>
            <w:tcBorders>
              <w:top w:val="single" w:color="auto" w:sz="12" w:space="0"/>
              <w:left w:val="single" w:color="auto" w:sz="4" w:space="0"/>
              <w:bottom w:val="single" w:color="auto" w:sz="4" w:space="0"/>
              <w:right w:val="single" w:color="auto" w:sz="12"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38" w:type="pct"/>
            <w:tcBorders>
              <w:top w:val="single" w:color="auto" w:sz="4" w:space="0"/>
              <w:left w:val="single" w:color="auto" w:sz="12" w:space="0"/>
              <w:bottom w:val="single" w:color="auto" w:sz="4" w:space="0"/>
              <w:right w:val="single" w:color="auto" w:sz="4"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2、是否符合地方政府债务管理相关规定？</w:t>
            </w:r>
          </w:p>
        </w:tc>
        <w:tc>
          <w:tcPr>
            <w:tcW w:w="1462" w:type="pct"/>
            <w:tcBorders>
              <w:top w:val="single" w:color="auto" w:sz="4" w:space="0"/>
              <w:left w:val="single" w:color="auto" w:sz="4" w:space="0"/>
              <w:bottom w:val="single" w:color="auto" w:sz="4" w:space="0"/>
              <w:right w:val="single" w:color="auto" w:sz="12"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38" w:type="pct"/>
            <w:tcBorders>
              <w:top w:val="single" w:color="auto" w:sz="4" w:space="0"/>
              <w:left w:val="single" w:color="auto" w:sz="12" w:space="0"/>
              <w:bottom w:val="single" w:color="auto" w:sz="4" w:space="0"/>
              <w:right w:val="single" w:color="auto" w:sz="4"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3、发行人是否被列为限制或暂停发行公司债券的失信被执行人？</w:t>
            </w:r>
          </w:p>
        </w:tc>
        <w:tc>
          <w:tcPr>
            <w:tcW w:w="1462" w:type="pct"/>
            <w:tcBorders>
              <w:top w:val="single" w:color="auto" w:sz="4" w:space="0"/>
              <w:left w:val="single" w:color="auto" w:sz="4" w:space="0"/>
              <w:bottom w:val="single" w:color="auto" w:sz="4" w:space="0"/>
              <w:right w:val="single" w:color="auto" w:sz="12"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38" w:type="pct"/>
            <w:tcBorders>
              <w:top w:val="single" w:color="auto" w:sz="4" w:space="0"/>
              <w:left w:val="single" w:color="auto" w:sz="12" w:space="0"/>
              <w:bottom w:val="single" w:color="auto" w:sz="4" w:space="0"/>
              <w:right w:val="single" w:color="auto" w:sz="4"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4、房地产行业发行人是否符合本所分类监管及募集资金用途的相关要求？</w:t>
            </w:r>
          </w:p>
        </w:tc>
        <w:tc>
          <w:tcPr>
            <w:tcW w:w="1462" w:type="pct"/>
            <w:tcBorders>
              <w:top w:val="single" w:color="auto" w:sz="4" w:space="0"/>
              <w:left w:val="single" w:color="auto" w:sz="4" w:space="0"/>
              <w:bottom w:val="single" w:color="auto" w:sz="4" w:space="0"/>
              <w:right w:val="single" w:color="auto" w:sz="12"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38" w:type="pct"/>
            <w:tcBorders>
              <w:top w:val="single" w:color="auto" w:sz="4" w:space="0"/>
              <w:left w:val="single" w:color="auto" w:sz="12" w:space="0"/>
              <w:bottom w:val="single" w:color="auto" w:sz="4" w:space="0"/>
              <w:right w:val="single" w:color="auto" w:sz="4"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5、可续期债券、绿色债券等</w:t>
            </w:r>
            <w:r>
              <w:rPr>
                <w:rFonts w:hint="eastAsia" w:ascii="宋体" w:hAnsi="宋体" w:eastAsia="宋体" w:cs="宋体"/>
                <w:sz w:val="21"/>
                <w:szCs w:val="21"/>
                <w:lang w:eastAsia="zh-CN"/>
              </w:rPr>
              <w:t>专项</w:t>
            </w:r>
            <w:r>
              <w:rPr>
                <w:rFonts w:hint="eastAsia" w:ascii="宋体" w:hAnsi="宋体" w:eastAsia="宋体" w:cs="宋体"/>
                <w:sz w:val="21"/>
                <w:szCs w:val="21"/>
              </w:rPr>
              <w:t>品种是否符合本所</w:t>
            </w:r>
            <w:r>
              <w:rPr>
                <w:rFonts w:hint="eastAsia" w:ascii="宋体" w:hAnsi="宋体" w:eastAsia="宋体" w:cs="宋体"/>
                <w:sz w:val="21"/>
                <w:szCs w:val="21"/>
                <w:lang w:eastAsia="zh-CN"/>
              </w:rPr>
              <w:t>专项</w:t>
            </w:r>
            <w:r>
              <w:rPr>
                <w:rFonts w:hint="eastAsia" w:ascii="宋体" w:hAnsi="宋体" w:eastAsia="宋体" w:cs="宋体"/>
                <w:sz w:val="21"/>
                <w:szCs w:val="21"/>
              </w:rPr>
              <w:t>品种债券的相关申请条件？</w:t>
            </w:r>
          </w:p>
        </w:tc>
        <w:tc>
          <w:tcPr>
            <w:tcW w:w="1462" w:type="pct"/>
            <w:tcBorders>
              <w:top w:val="single" w:color="auto" w:sz="4" w:space="0"/>
              <w:left w:val="single" w:color="auto" w:sz="4" w:space="0"/>
              <w:bottom w:val="single" w:color="auto" w:sz="4" w:space="0"/>
              <w:right w:val="single" w:color="auto" w:sz="12"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 xml:space="preserve">□是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38" w:type="pct"/>
            <w:tcBorders>
              <w:top w:val="single" w:color="auto" w:sz="4" w:space="0"/>
              <w:left w:val="single" w:color="auto" w:sz="12" w:space="0"/>
              <w:bottom w:val="single" w:color="auto" w:sz="12" w:space="0"/>
              <w:right w:val="single" w:color="auto" w:sz="4"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6、发行人是否存在法律法规规定的其他禁止发行的情形？</w:t>
            </w:r>
          </w:p>
        </w:tc>
        <w:tc>
          <w:tcPr>
            <w:tcW w:w="1462" w:type="pct"/>
            <w:tcBorders>
              <w:top w:val="single" w:color="auto" w:sz="4" w:space="0"/>
              <w:left w:val="single" w:color="auto" w:sz="4" w:space="0"/>
              <w:bottom w:val="single" w:color="auto" w:sz="12" w:space="0"/>
              <w:right w:val="single" w:color="auto" w:sz="12" w:space="0"/>
            </w:tcBorders>
            <w:shd w:val="clear" w:color="auto" w:fill="auto"/>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□是  □否</w:t>
            </w: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综上所述，本次债券符合贵所的公司债券挂牌转让条件。</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特此申请，请予以审核。</w:t>
      </w:r>
    </w:p>
    <w:p>
      <w:pPr>
        <w:widowControl/>
        <w:spacing w:line="560" w:lineRule="exact"/>
        <w:ind w:firstLine="600" w:firstLineChars="200"/>
        <w:rPr>
          <w:rFonts w:ascii="仿宋_GB2312" w:eastAsia="仿宋_GB2312"/>
          <w:kern w:val="0"/>
          <w:sz w:val="30"/>
          <w:lang w:bidi="en-US"/>
        </w:rPr>
      </w:pPr>
    </w:p>
    <w:p>
      <w:pPr>
        <w:widowControl/>
        <w:spacing w:beforeLines="50" w:afterLines="50"/>
        <w:ind w:firstLine="640" w:firstLineChars="200"/>
        <w:jc w:val="right"/>
        <w:rPr>
          <w:rFonts w:hint="eastAsia" w:ascii="仿宋" w:hAnsi="仿宋" w:eastAsia="仿宋" w:cs="仿宋"/>
          <w:kern w:val="0"/>
          <w:sz w:val="32"/>
          <w:szCs w:val="32"/>
          <w:lang w:bidi="en-US"/>
        </w:rPr>
      </w:pPr>
      <w:r>
        <w:rPr>
          <w:rFonts w:hint="eastAsia" w:ascii="仿宋" w:hAnsi="仿宋" w:eastAsia="仿宋" w:cs="仿宋"/>
          <w:kern w:val="0"/>
          <w:sz w:val="32"/>
          <w:szCs w:val="32"/>
          <w:lang w:bidi="en-US"/>
        </w:rPr>
        <w:t>发行人（公章）</w:t>
      </w:r>
    </w:p>
    <w:p>
      <w:pPr>
        <w:widowControl/>
        <w:jc w:val="right"/>
        <w:rPr>
          <w:rFonts w:ascii="仿宋_GB2312" w:eastAsia="仿宋_GB2312"/>
          <w:kern w:val="0"/>
          <w:sz w:val="30"/>
          <w:lang w:bidi="en-US"/>
        </w:rPr>
      </w:pPr>
      <w:r>
        <w:rPr>
          <w:rFonts w:hint="eastAsia" w:ascii="仿宋" w:hAnsi="仿宋" w:eastAsia="仿宋" w:cs="仿宋"/>
          <w:kern w:val="0"/>
          <w:sz w:val="32"/>
          <w:szCs w:val="32"/>
          <w:lang w:bidi="en-US"/>
        </w:rPr>
        <w:t>年   月   日</w:t>
      </w:r>
    </w:p>
    <w:p>
      <w:pPr>
        <w:widowControl/>
        <w:jc w:val="left"/>
        <w:rPr>
          <w:rFonts w:ascii="仿宋_GB2312" w:hAnsi="Times New Roman" w:eastAsia="仿宋_GB2312"/>
          <w:b/>
          <w:bCs/>
          <w:color w:val="000000"/>
          <w:kern w:val="0"/>
          <w:sz w:val="32"/>
          <w:szCs w:val="30"/>
          <w:lang w:bidi="en-US"/>
        </w:rPr>
      </w:pPr>
      <w:r>
        <w:rPr>
          <w:rFonts w:ascii="仿宋_GB2312" w:hAnsi="Times New Roman" w:eastAsia="仿宋_GB2312"/>
          <w:b/>
          <w:bCs/>
          <w:color w:val="000000"/>
          <w:kern w:val="0"/>
          <w:sz w:val="32"/>
          <w:szCs w:val="30"/>
          <w:lang w:bidi="en-US"/>
        </w:rPr>
        <w:br w:type="page"/>
      </w:r>
    </w:p>
    <w:p>
      <w:pPr>
        <w:topLinePunct/>
        <w:snapToGrid w:val="0"/>
        <w:spacing w:line="560" w:lineRule="exact"/>
        <w:outlineLvl w:val="0"/>
        <w:rPr>
          <w:rFonts w:hint="eastAsia"/>
        </w:rPr>
      </w:pPr>
      <w:r>
        <w:rPr>
          <w:rFonts w:hint="eastAsia" w:ascii="黑体" w:hAnsi="黑体" w:eastAsia="黑体" w:cs="黑体"/>
          <w:b w:val="0"/>
          <w:bCs w:val="0"/>
          <w:color w:val="000000"/>
          <w:kern w:val="0"/>
          <w:sz w:val="32"/>
          <w:szCs w:val="32"/>
          <w:lang w:bidi="en-US"/>
        </w:rPr>
        <w:t>附件</w:t>
      </w:r>
      <w:r>
        <w:rPr>
          <w:rFonts w:hint="eastAsia" w:ascii="黑体" w:hAnsi="黑体" w:eastAsia="黑体" w:cs="黑体"/>
          <w:b w:val="0"/>
          <w:bCs w:val="0"/>
          <w:color w:val="000000"/>
          <w:kern w:val="0"/>
          <w:sz w:val="32"/>
          <w:szCs w:val="32"/>
          <w:lang w:val="en-US" w:eastAsia="zh-CN" w:bidi="en-US"/>
        </w:rPr>
        <w:t>3</w:t>
      </w:r>
    </w:p>
    <w:p>
      <w:pPr>
        <w:keepNext w:val="0"/>
        <w:keepLines w:val="0"/>
        <w:pageBreakBefore w:val="0"/>
        <w:widowControl w:val="0"/>
        <w:kinsoku/>
        <w:wordWrap/>
        <w:overflowPunct/>
        <w:topLinePunct/>
        <w:autoSpaceDE/>
        <w:autoSpaceDN/>
        <w:bidi w:val="0"/>
        <w:adjustRightInd/>
        <w:snapToGrid w:val="0"/>
        <w:spacing w:line="560" w:lineRule="exact"/>
        <w:ind w:firstLine="0"/>
        <w:jc w:val="both"/>
        <w:textAlignment w:val="auto"/>
        <w:outlineLvl w:val="9"/>
        <w:rPr>
          <w:rFonts w:hint="eastAsia" w:ascii="仿宋" w:hAnsi="仿宋" w:eastAsia="仿宋" w:cs="仿宋"/>
          <w:b/>
          <w:bCs/>
          <w:color w:val="000000"/>
          <w:kern w:val="0"/>
          <w:sz w:val="32"/>
          <w:szCs w:val="32"/>
          <w:lang w:bidi="en-US"/>
        </w:rPr>
      </w:pPr>
    </w:p>
    <w:p>
      <w:pPr>
        <w:keepNext w:val="0"/>
        <w:keepLines w:val="0"/>
        <w:pageBreakBefore w:val="0"/>
        <w:widowControl w:val="0"/>
        <w:kinsoku/>
        <w:wordWrap/>
        <w:overflowPunct/>
        <w:topLinePunct/>
        <w:autoSpaceDE/>
        <w:autoSpaceDN/>
        <w:bidi w:val="0"/>
        <w:adjustRightInd/>
        <w:snapToGrid w:val="0"/>
        <w:spacing w:line="560" w:lineRule="exact"/>
        <w:ind w:firstLine="0"/>
        <w:jc w:val="center"/>
        <w:textAlignment w:val="auto"/>
        <w:outlineLvl w:val="9"/>
        <w:rPr>
          <w:rFonts w:hint="eastAsia" w:ascii="方正小标宋简体" w:hAnsi="方正小标宋简体" w:eastAsia="方正小标宋简体" w:cs="方正小标宋简体"/>
          <w:b w:val="0"/>
          <w:bCs w:val="0"/>
          <w:color w:val="auto"/>
          <w:kern w:val="44"/>
          <w:sz w:val="44"/>
          <w:szCs w:val="44"/>
          <w:lang w:bidi="ar-SA"/>
        </w:rPr>
      </w:pPr>
      <w:r>
        <w:rPr>
          <w:rFonts w:hint="eastAsia" w:ascii="方正小标宋简体" w:hAnsi="方正小标宋简体" w:eastAsia="方正小标宋简体" w:cs="方正小标宋简体"/>
          <w:b w:val="0"/>
          <w:bCs w:val="0"/>
          <w:color w:val="auto"/>
          <w:kern w:val="44"/>
          <w:sz w:val="44"/>
          <w:szCs w:val="44"/>
          <w:lang w:bidi="ar-SA"/>
        </w:rPr>
        <w:t>发行人基本情况简要披露参考文本</w:t>
      </w:r>
    </w:p>
    <w:p>
      <w:pPr>
        <w:pStyle w:val="28"/>
        <w:outlineLvl w:val="9"/>
        <w:rPr>
          <w:rFonts w:hint="eastAsia" w:ascii="黑体" w:hAnsi="黑体" w:eastAsia="黑体" w:cs="黑体"/>
          <w:b/>
          <w:bCs/>
          <w:kern w:val="44"/>
          <w:sz w:val="36"/>
          <w:szCs w:val="36"/>
          <w:vertAlign w:val="baseline"/>
        </w:rPr>
      </w:pPr>
      <w:r>
        <w:rPr>
          <w:rFonts w:hint="eastAsia" w:ascii="黑体" w:hAnsi="黑体" w:eastAsia="黑体" w:cs="黑体"/>
          <w:b/>
          <w:bCs/>
          <w:sz w:val="36"/>
          <w:szCs w:val="36"/>
        </w:rPr>
        <w:t>第四节 发行人基本情况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 w:val="0"/>
          <w:bCs/>
          <w:sz w:val="32"/>
          <w:szCs w:val="32"/>
        </w:rPr>
      </w:pPr>
      <w:bookmarkStart w:id="2" w:name="_Toc72414032"/>
      <w:bookmarkStart w:id="3" w:name="_Toc72414211"/>
      <w:bookmarkStart w:id="4" w:name="_Toc72413854"/>
      <w:bookmarkStart w:id="5" w:name="_Toc55642380"/>
      <w:r>
        <w:rPr>
          <w:rFonts w:hint="eastAsia" w:ascii="仿宋" w:hAnsi="仿宋" w:eastAsia="仿宋" w:cs="仿宋"/>
          <w:bCs/>
          <w:sz w:val="32"/>
          <w:szCs w:val="32"/>
        </w:rPr>
        <w:t>【填写说明：附件</w:t>
      </w:r>
      <w:r>
        <w:rPr>
          <w:rFonts w:hint="eastAsia" w:ascii="仿宋" w:hAnsi="仿宋" w:eastAsia="仿宋" w:cs="仿宋"/>
          <w:bCs/>
          <w:sz w:val="32"/>
          <w:szCs w:val="32"/>
          <w:lang w:val="en-US" w:eastAsia="zh-CN"/>
        </w:rPr>
        <w:t>3</w:t>
      </w:r>
      <w:r>
        <w:rPr>
          <w:rFonts w:hint="eastAsia" w:ascii="仿宋" w:hAnsi="仿宋" w:eastAsia="仿宋" w:cs="仿宋"/>
          <w:bCs/>
          <w:sz w:val="32"/>
          <w:szCs w:val="32"/>
        </w:rPr>
        <w:t>仅对本指南规定的简要披露部分示例说明，其余部分发行人应结合相关法律法规、规范性文件等规</w:t>
      </w:r>
      <w:r>
        <w:rPr>
          <w:rFonts w:hint="eastAsia" w:ascii="仿宋" w:hAnsi="仿宋" w:eastAsia="仿宋" w:cs="仿宋"/>
          <w:b w:val="0"/>
          <w:bCs/>
          <w:sz w:val="32"/>
          <w:szCs w:val="32"/>
        </w:rPr>
        <w:t>定有针对性、详略适当地披露企业基本情况。】</w:t>
      </w:r>
      <w:bookmarkEnd w:id="2"/>
      <w:bookmarkEnd w:id="3"/>
      <w:bookmarkEnd w:id="4"/>
    </w:p>
    <w:bookmarkEnd w:id="5"/>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9"/>
        <w:rPr>
          <w:rFonts w:hint="eastAsia" w:ascii="仿宋" w:hAnsi="仿宋" w:eastAsia="仿宋" w:cs="仿宋"/>
          <w:b w:val="0"/>
          <w:bCs/>
          <w:sz w:val="32"/>
          <w:szCs w:val="32"/>
        </w:rPr>
      </w:pPr>
      <w:bookmarkStart w:id="6" w:name="_Toc58834400"/>
      <w:bookmarkStart w:id="7" w:name="_Toc77601098"/>
      <w:r>
        <w:rPr>
          <w:rFonts w:hint="eastAsia" w:ascii="仿宋" w:hAnsi="仿宋" w:eastAsia="仿宋" w:cs="仿宋"/>
          <w:b w:val="0"/>
          <w:bCs/>
          <w:sz w:val="32"/>
          <w:szCs w:val="32"/>
        </w:rPr>
        <w:t>……</w:t>
      </w:r>
    </w:p>
    <w:p>
      <w:pPr>
        <w:pStyle w:val="31"/>
        <w:topLinePunct/>
        <w:snapToGrid w:val="0"/>
        <w:spacing w:line="560" w:lineRule="exact"/>
        <w:outlineLvl w:val="9"/>
        <w:rPr>
          <w:rFonts w:hint="eastAsia" w:ascii="仿宋" w:hAnsi="仿宋" w:eastAsia="仿宋" w:cs="仿宋"/>
          <w:b/>
          <w:bCs/>
          <w:sz w:val="32"/>
          <w:szCs w:val="32"/>
        </w:rPr>
      </w:pPr>
      <w:r>
        <w:rPr>
          <w:rFonts w:hint="eastAsia" w:ascii="仿宋" w:hAnsi="仿宋" w:eastAsia="仿宋" w:cs="仿宋"/>
          <w:b/>
          <w:bCs/>
          <w:sz w:val="32"/>
          <w:szCs w:val="32"/>
        </w:rPr>
        <w:t>二、发行人历史沿革</w:t>
      </w:r>
      <w:bookmarkEnd w:id="6"/>
      <w:bookmarkEnd w:id="7"/>
    </w:p>
    <w:p>
      <w:pPr>
        <w:keepNext w:val="0"/>
        <w:keepLines w:val="0"/>
        <w:pageBreakBefore w:val="0"/>
        <w:widowControl w:val="0"/>
        <w:kinsoku/>
        <w:wordWrap/>
        <w:overflowPunct/>
        <w:topLinePunct/>
        <w:autoSpaceDE/>
        <w:autoSpaceDN/>
        <w:bidi w:val="0"/>
        <w:adjustRightInd/>
        <w:snapToGrid w:val="0"/>
        <w:spacing w:before="0" w:beforeLines="-2147483648" w:after="0" w:afterLines="-2147483648" w:line="560" w:lineRule="exact"/>
        <w:ind w:firstLine="643" w:firstLineChars="200"/>
        <w:contextualSpacing/>
        <w:textAlignment w:val="auto"/>
        <w:outlineLvl w:val="9"/>
        <w:rPr>
          <w:rFonts w:hint="eastAsia" w:ascii="仿宋" w:hAnsi="仿宋" w:eastAsia="仿宋" w:cs="仿宋"/>
          <w:b/>
          <w:bCs/>
          <w:sz w:val="32"/>
          <w:szCs w:val="32"/>
        </w:rPr>
      </w:pPr>
      <w:bookmarkStart w:id="8" w:name="_Toc58248242"/>
      <w:bookmarkStart w:id="9" w:name="_Toc58249792"/>
      <w:r>
        <w:rPr>
          <w:rFonts w:hint="eastAsia" w:ascii="仿宋" w:hAnsi="仿宋" w:eastAsia="仿宋" w:cs="仿宋"/>
          <w:b/>
          <w:bCs/>
          <w:sz w:val="32"/>
          <w:szCs w:val="32"/>
        </w:rPr>
        <w:t>（一）历史沿革信息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4"/>
        <w:gridCol w:w="1512"/>
        <w:gridCol w:w="2929"/>
        <w:gridCol w:w="29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64" w:type="dxa"/>
            <w:tcBorders>
              <w:bottom w:val="single" w:color="auto" w:sz="4" w:space="0"/>
              <w:right w:val="single" w:color="auto" w:sz="4" w:space="0"/>
            </w:tcBorders>
            <w:vAlign w:val="top"/>
          </w:tcPr>
          <w:p>
            <w:pPr>
              <w:spacing w:line="240" w:lineRule="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512" w:type="dxa"/>
            <w:tcBorders>
              <w:left w:val="single" w:color="auto" w:sz="4" w:space="0"/>
              <w:bottom w:val="single" w:color="auto" w:sz="4" w:space="0"/>
              <w:right w:val="single" w:color="auto" w:sz="4" w:space="0"/>
            </w:tcBorders>
            <w:vAlign w:val="top"/>
          </w:tcPr>
          <w:p>
            <w:pPr>
              <w:spacing w:line="240" w:lineRule="auto"/>
              <w:rPr>
                <w:rFonts w:hint="eastAsia" w:ascii="宋体" w:hAnsi="宋体" w:eastAsia="宋体" w:cs="宋体"/>
                <w:b/>
                <w:bCs/>
                <w:sz w:val="21"/>
                <w:szCs w:val="21"/>
              </w:rPr>
            </w:pPr>
            <w:r>
              <w:rPr>
                <w:rFonts w:hint="eastAsia" w:ascii="宋体" w:hAnsi="宋体" w:eastAsia="宋体" w:cs="宋体"/>
                <w:b/>
                <w:bCs/>
                <w:sz w:val="21"/>
                <w:szCs w:val="21"/>
              </w:rPr>
              <w:t>发生时间</w:t>
            </w:r>
          </w:p>
        </w:tc>
        <w:tc>
          <w:tcPr>
            <w:tcW w:w="2929" w:type="dxa"/>
            <w:tcBorders>
              <w:left w:val="single" w:color="auto" w:sz="4" w:space="0"/>
              <w:bottom w:val="single" w:color="auto" w:sz="4" w:space="0"/>
              <w:right w:val="single" w:color="auto" w:sz="4" w:space="0"/>
            </w:tcBorders>
            <w:vAlign w:val="top"/>
          </w:tcPr>
          <w:p>
            <w:pPr>
              <w:spacing w:line="240" w:lineRule="auto"/>
              <w:rPr>
                <w:rFonts w:hint="eastAsia" w:ascii="宋体" w:hAnsi="宋体" w:eastAsia="宋体" w:cs="宋体"/>
                <w:b/>
                <w:bCs/>
                <w:sz w:val="21"/>
                <w:szCs w:val="21"/>
              </w:rPr>
            </w:pPr>
            <w:r>
              <w:rPr>
                <w:rFonts w:hint="eastAsia" w:ascii="宋体" w:hAnsi="宋体" w:eastAsia="宋体" w:cs="宋体"/>
                <w:b/>
                <w:bCs/>
                <w:sz w:val="21"/>
                <w:szCs w:val="21"/>
              </w:rPr>
              <w:t>事件类型</w:t>
            </w:r>
          </w:p>
        </w:tc>
        <w:tc>
          <w:tcPr>
            <w:tcW w:w="2927" w:type="dxa"/>
            <w:tcBorders>
              <w:left w:val="single" w:color="auto" w:sz="4" w:space="0"/>
              <w:bottom w:val="single" w:color="auto" w:sz="4" w:space="0"/>
            </w:tcBorders>
            <w:vAlign w:val="top"/>
          </w:tcPr>
          <w:p>
            <w:pPr>
              <w:spacing w:line="240" w:lineRule="auto"/>
              <w:rPr>
                <w:rFonts w:hint="eastAsia" w:ascii="宋体" w:hAnsi="宋体" w:eastAsia="宋体" w:cs="宋体"/>
                <w:b/>
                <w:bCs/>
                <w:sz w:val="21"/>
                <w:szCs w:val="21"/>
              </w:rPr>
            </w:pPr>
            <w:r>
              <w:rPr>
                <w:rFonts w:hint="eastAsia" w:ascii="宋体" w:hAnsi="宋体" w:eastAsia="宋体" w:cs="宋体"/>
                <w:b/>
                <w:bCs/>
                <w:sz w:val="21"/>
                <w:szCs w:val="21"/>
              </w:rPr>
              <w:t>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64" w:type="dxa"/>
            <w:tcBorders>
              <w:top w:val="single" w:color="auto" w:sz="4" w:space="0"/>
              <w:bottom w:val="single" w:color="auto" w:sz="4" w:space="0"/>
              <w:right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1</w:t>
            </w:r>
          </w:p>
        </w:tc>
        <w:tc>
          <w:tcPr>
            <w:tcW w:w="1512"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XXXX-XX-XX</w:t>
            </w:r>
          </w:p>
        </w:tc>
        <w:tc>
          <w:tcPr>
            <w:tcW w:w="2929"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设立/改制/上市/增资/其他</w:t>
            </w:r>
          </w:p>
        </w:tc>
        <w:tc>
          <w:tcPr>
            <w:tcW w:w="2927" w:type="dxa"/>
            <w:tcBorders>
              <w:top w:val="single" w:color="auto" w:sz="4" w:space="0"/>
              <w:left w:val="single" w:color="auto" w:sz="4" w:space="0"/>
              <w:bottom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（以总结性文字简要阐述）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64" w:type="dxa"/>
            <w:tcBorders>
              <w:top w:val="single" w:color="auto" w:sz="4" w:space="0"/>
              <w:bottom w:val="single" w:color="auto" w:sz="4" w:space="0"/>
              <w:right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2</w:t>
            </w:r>
          </w:p>
        </w:tc>
        <w:tc>
          <w:tcPr>
            <w:tcW w:w="1512" w:type="dxa"/>
            <w:tcBorders>
              <w:top w:val="single" w:color="auto" w:sz="4" w:space="0"/>
              <w:left w:val="single" w:color="auto" w:sz="4" w:space="0"/>
              <w:bottom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9" w:type="dxa"/>
            <w:tcBorders>
              <w:top w:val="single" w:color="auto" w:sz="4" w:space="0"/>
              <w:left w:val="single" w:color="auto" w:sz="4" w:space="0"/>
              <w:bottom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7" w:type="dxa"/>
            <w:tcBorders>
              <w:top w:val="single" w:color="auto" w:sz="4" w:space="0"/>
              <w:left w:val="single" w:color="auto" w:sz="4" w:space="0"/>
              <w:bottom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64" w:type="dxa"/>
            <w:tcBorders>
              <w:top w:val="single" w:color="auto" w:sz="4" w:space="0"/>
              <w:bottom w:val="single" w:color="auto" w:sz="4" w:space="0"/>
              <w:right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3</w:t>
            </w:r>
          </w:p>
        </w:tc>
        <w:tc>
          <w:tcPr>
            <w:tcW w:w="1512" w:type="dxa"/>
            <w:tcBorders>
              <w:top w:val="single" w:color="auto" w:sz="4" w:space="0"/>
              <w:left w:val="single" w:color="auto" w:sz="4" w:space="0"/>
              <w:bottom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9" w:type="dxa"/>
            <w:tcBorders>
              <w:top w:val="single" w:color="auto" w:sz="4" w:space="0"/>
              <w:left w:val="single" w:color="auto" w:sz="4" w:space="0"/>
              <w:bottom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7" w:type="dxa"/>
            <w:tcBorders>
              <w:top w:val="single" w:color="auto" w:sz="4" w:space="0"/>
              <w:left w:val="single" w:color="auto" w:sz="4" w:space="0"/>
              <w:bottom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64" w:type="dxa"/>
            <w:tcBorders>
              <w:top w:val="single" w:color="auto" w:sz="4" w:space="0"/>
              <w:bottom w:val="single" w:color="auto" w:sz="4" w:space="0"/>
              <w:right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4</w:t>
            </w:r>
          </w:p>
        </w:tc>
        <w:tc>
          <w:tcPr>
            <w:tcW w:w="1512" w:type="dxa"/>
            <w:tcBorders>
              <w:top w:val="single" w:color="auto" w:sz="4" w:space="0"/>
              <w:left w:val="single" w:color="auto" w:sz="4" w:space="0"/>
              <w:bottom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9" w:type="dxa"/>
            <w:tcBorders>
              <w:top w:val="single" w:color="auto" w:sz="4" w:space="0"/>
              <w:left w:val="single" w:color="auto" w:sz="4" w:space="0"/>
              <w:bottom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7" w:type="dxa"/>
            <w:tcBorders>
              <w:top w:val="single" w:color="auto" w:sz="4" w:space="0"/>
              <w:left w:val="single" w:color="auto" w:sz="4" w:space="0"/>
              <w:bottom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64" w:type="dxa"/>
            <w:tcBorders>
              <w:top w:val="single" w:color="auto" w:sz="4" w:space="0"/>
              <w:bottom w:val="single" w:color="auto" w:sz="4" w:space="0"/>
              <w:right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5</w:t>
            </w:r>
          </w:p>
        </w:tc>
        <w:tc>
          <w:tcPr>
            <w:tcW w:w="1512" w:type="dxa"/>
            <w:tcBorders>
              <w:top w:val="single" w:color="auto" w:sz="4" w:space="0"/>
              <w:left w:val="single" w:color="auto" w:sz="4" w:space="0"/>
              <w:bottom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9" w:type="dxa"/>
            <w:tcBorders>
              <w:top w:val="single" w:color="auto" w:sz="4" w:space="0"/>
              <w:left w:val="single" w:color="auto" w:sz="4" w:space="0"/>
              <w:bottom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7" w:type="dxa"/>
            <w:tcBorders>
              <w:top w:val="single" w:color="auto" w:sz="4" w:space="0"/>
              <w:left w:val="single" w:color="auto" w:sz="4" w:space="0"/>
              <w:bottom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64" w:type="dxa"/>
            <w:tcBorders>
              <w:top w:val="single" w:color="auto" w:sz="4" w:space="0"/>
              <w:right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6</w:t>
            </w:r>
          </w:p>
        </w:tc>
        <w:tc>
          <w:tcPr>
            <w:tcW w:w="1512" w:type="dxa"/>
            <w:tcBorders>
              <w:top w:val="single" w:color="auto" w:sz="4" w:space="0"/>
              <w:left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9" w:type="dxa"/>
            <w:tcBorders>
              <w:top w:val="single" w:color="auto" w:sz="4" w:space="0"/>
              <w:left w:val="single" w:color="auto" w:sz="4" w:space="0"/>
              <w:righ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c>
          <w:tcPr>
            <w:tcW w:w="2927" w:type="dxa"/>
            <w:tcBorders>
              <w:top w:val="single" w:color="auto" w:sz="4" w:space="0"/>
              <w:left w:val="single" w:color="auto" w:sz="4" w:space="0"/>
            </w:tcBorders>
            <w:vAlign w:val="top"/>
          </w:tcPr>
          <w:p>
            <w:pPr>
              <w:spacing w:line="240" w:lineRule="auto"/>
              <w:ind w:firstLine="420" w:firstLineChars="200"/>
              <w:jc w:val="center"/>
              <w:rPr>
                <w:rFonts w:hint="eastAsia" w:ascii="宋体" w:hAnsi="宋体" w:eastAsia="宋体" w:cs="宋体"/>
                <w:sz w:val="21"/>
                <w:szCs w:val="21"/>
              </w:rPr>
            </w:pPr>
          </w:p>
        </w:tc>
      </w:tr>
      <w:bookmarkEnd w:id="8"/>
      <w:bookmarkEnd w:id="9"/>
    </w:tbl>
    <w:p>
      <w:pPr>
        <w:spacing w:line="600" w:lineRule="exact"/>
        <w:ind w:firstLine="600" w:firstLineChars="200"/>
        <w:contextualSpacing/>
        <w:rPr>
          <w:b w:val="0"/>
          <w:bCs w:val="0"/>
        </w:rPr>
      </w:pPr>
      <w:r>
        <w:rPr>
          <w:rFonts w:hint="eastAsia" w:ascii="仿宋_GB2312" w:hAnsi="仿宋" w:eastAsia="仿宋_GB2312" w:cs="Times New Roman"/>
          <w:b w:val="0"/>
          <w:bCs w:val="0"/>
          <w:sz w:val="30"/>
          <w:szCs w:val="30"/>
        </w:rPr>
        <w:t>……</w:t>
      </w:r>
    </w:p>
    <w:p>
      <w:pPr>
        <w:pStyle w:val="31"/>
        <w:topLinePunct/>
        <w:snapToGrid w:val="0"/>
        <w:spacing w:line="560" w:lineRule="exact"/>
        <w:outlineLvl w:val="9"/>
        <w:rPr>
          <w:b w:val="0"/>
          <w:bCs w:val="0"/>
        </w:rPr>
      </w:pPr>
      <w:bookmarkStart w:id="10" w:name="_Toc58834402"/>
      <w:bookmarkStart w:id="11" w:name="_Toc77601100"/>
      <w:r>
        <w:rPr>
          <w:rFonts w:hint="eastAsia" w:ascii="仿宋" w:hAnsi="仿宋" w:eastAsia="仿宋" w:cs="仿宋"/>
          <w:b/>
          <w:bCs/>
          <w:sz w:val="32"/>
          <w:szCs w:val="32"/>
        </w:rPr>
        <w:t>四、发行人权益投资情况</w:t>
      </w:r>
      <w:r>
        <w:rPr>
          <w:rStyle w:val="19"/>
          <w:b w:val="0"/>
          <w:bCs w:val="0"/>
        </w:rPr>
        <w:footnoteReference w:id="0"/>
      </w:r>
      <w:bookmarkEnd w:id="10"/>
      <w:bookmarkEnd w:id="11"/>
    </w:p>
    <w:p>
      <w:pPr>
        <w:spacing w:line="600" w:lineRule="exact"/>
        <w:ind w:firstLine="600" w:firstLineChars="200"/>
        <w:contextualSpacing/>
        <w:rPr>
          <w:rFonts w:ascii="仿宋_GB2312" w:hAnsi="仿宋" w:eastAsia="仿宋_GB2312" w:cs="Times New Roman"/>
          <w:b w:val="0"/>
          <w:bCs w:val="0"/>
          <w:sz w:val="30"/>
          <w:szCs w:val="30"/>
        </w:rPr>
      </w:pPr>
      <w:r>
        <w:rPr>
          <w:rFonts w:hint="eastAsia" w:ascii="仿宋_GB2312" w:hAnsi="仿宋" w:eastAsia="仿宋_GB2312" w:cs="Times New Roman"/>
          <w:b w:val="0"/>
          <w:bCs w:val="0"/>
          <w:sz w:val="30"/>
          <w:szCs w:val="30"/>
        </w:rPr>
        <w:t>……</w:t>
      </w:r>
    </w:p>
    <w:p>
      <w:pPr>
        <w:keepNext w:val="0"/>
        <w:keepLines w:val="0"/>
        <w:pageBreakBefore w:val="0"/>
        <w:widowControl w:val="0"/>
        <w:kinsoku/>
        <w:wordWrap/>
        <w:overflowPunct/>
        <w:topLinePunct/>
        <w:autoSpaceDE/>
        <w:autoSpaceDN/>
        <w:bidi w:val="0"/>
        <w:adjustRightInd/>
        <w:snapToGrid w:val="0"/>
        <w:spacing w:before="0" w:beforeLines="-2147483648" w:after="0" w:afterLines="-2147483648" w:line="560" w:lineRule="exact"/>
        <w:ind w:firstLine="643" w:firstLineChars="200"/>
        <w:contextualSpacing/>
        <w:textAlignment w:val="auto"/>
        <w:outlineLvl w:val="9"/>
        <w:rPr>
          <w:rFonts w:hint="eastAsia" w:ascii="仿宋" w:hAnsi="仿宋" w:eastAsia="仿宋" w:cs="仿宋"/>
          <w:b/>
          <w:bCs/>
          <w:sz w:val="32"/>
          <w:szCs w:val="32"/>
        </w:rPr>
      </w:pPr>
      <w:bookmarkStart w:id="12" w:name="_Toc58249798"/>
      <w:bookmarkStart w:id="13" w:name="_Toc72414040"/>
      <w:bookmarkStart w:id="14" w:name="_Toc72414219"/>
      <w:bookmarkStart w:id="15" w:name="_Toc58248253"/>
      <w:r>
        <w:rPr>
          <w:rFonts w:hint="eastAsia" w:ascii="仿宋" w:hAnsi="仿宋" w:eastAsia="仿宋" w:cs="仿宋"/>
          <w:b/>
          <w:bCs/>
          <w:sz w:val="32"/>
          <w:szCs w:val="32"/>
        </w:rPr>
        <w:t>（二）发行人其他有重要影响的参股公司、合营企业和联营企业情况</w:t>
      </w:r>
      <w:bookmarkEnd w:id="12"/>
      <w:bookmarkEnd w:id="13"/>
      <w:bookmarkEnd w:id="14"/>
      <w:bookmarkEnd w:id="15"/>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【填写说明：非公开发行公司债券适用此处简明信息披露安排。】</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sz w:val="32"/>
          <w:szCs w:val="32"/>
        </w:rPr>
      </w:pPr>
      <w:r>
        <w:rPr>
          <w:rFonts w:hint="eastAsia" w:ascii="仿宋" w:hAnsi="仿宋" w:eastAsia="仿宋" w:cs="仿宋"/>
          <w:sz w:val="32"/>
          <w:szCs w:val="32"/>
        </w:rPr>
        <w:t>□报告期内，发行人不存在对</w:t>
      </w:r>
      <w:r>
        <w:rPr>
          <w:rFonts w:hint="eastAsia" w:ascii="仿宋" w:hAnsi="仿宋" w:eastAsia="仿宋" w:cs="仿宋"/>
          <w:sz w:val="32"/>
          <w:szCs w:val="32"/>
          <w:highlight w:val="none"/>
          <w:lang w:val="en-US" w:eastAsia="zh-CN"/>
        </w:rPr>
        <w:t>偿债能力</w:t>
      </w:r>
      <w:r>
        <w:rPr>
          <w:rFonts w:hint="eastAsia" w:ascii="仿宋" w:hAnsi="仿宋" w:eastAsia="仿宋" w:cs="仿宋"/>
          <w:sz w:val="32"/>
          <w:szCs w:val="32"/>
        </w:rPr>
        <w:t>造成重大不利影响的重要的参股公司、合营企业和联营企业的，可以豁免披露上述企业的基本情况、主营业务、近一年的主要财务数据及其重大增减变动的情况及原因。</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Cs/>
          <w:sz w:val="32"/>
          <w:szCs w:val="32"/>
        </w:rPr>
        <w:t>存在报告期内对发行人</w:t>
      </w:r>
      <w:r>
        <w:rPr>
          <w:rFonts w:hint="eastAsia" w:ascii="仿宋" w:hAnsi="仿宋" w:eastAsia="仿宋" w:cs="仿宋"/>
          <w:bCs/>
          <w:sz w:val="32"/>
          <w:szCs w:val="32"/>
          <w:lang w:val="en-US" w:eastAsia="zh-CN"/>
        </w:rPr>
        <w:t>偿债能力</w:t>
      </w:r>
      <w:r>
        <w:rPr>
          <w:rFonts w:hint="eastAsia" w:ascii="仿宋" w:hAnsi="仿宋" w:eastAsia="仿宋" w:cs="仿宋"/>
          <w:bCs/>
          <w:sz w:val="32"/>
          <w:szCs w:val="32"/>
        </w:rPr>
        <w:t>造成重大不利影响的重要的参股公司、合营企业和联营企业的，应按如下格式进行披露：</w:t>
      </w:r>
    </w:p>
    <w:p>
      <w:pPr>
        <w:keepNext w:val="0"/>
        <w:keepLines w:val="0"/>
        <w:pageBreakBefore w:val="0"/>
        <w:widowControl w:val="0"/>
        <w:kinsoku/>
        <w:wordWrap/>
        <w:overflowPunct/>
        <w:topLinePunct/>
        <w:autoSpaceDE/>
        <w:autoSpaceDN/>
        <w:bidi w:val="0"/>
        <w:adjustRightInd/>
        <w:snapToGrid w:val="0"/>
        <w:spacing w:before="0" w:beforeLines="-2147483648" w:after="0" w:afterLines="-2147483648" w:line="560" w:lineRule="exact"/>
        <w:ind w:firstLine="640" w:firstLineChars="200"/>
        <w:contextualSpacing/>
        <w:jc w:val="both"/>
        <w:textAlignment w:val="auto"/>
        <w:rPr>
          <w:rFonts w:hint="eastAsia" w:ascii="仿宋" w:hAnsi="仿宋" w:eastAsia="仿宋" w:cs="仿宋"/>
          <w:bCs/>
          <w:sz w:val="32"/>
          <w:szCs w:val="32"/>
        </w:rPr>
      </w:pPr>
      <w:r>
        <w:rPr>
          <w:rFonts w:hint="eastAsia" w:ascii="仿宋" w:hAnsi="仿宋" w:eastAsia="仿宋" w:cs="仿宋"/>
          <w:bCs/>
          <w:sz w:val="32"/>
          <w:szCs w:val="32"/>
        </w:rPr>
        <w:t>1.其他有重要影响的参股公司、合营企业和联营企业的基本情况及主营业务</w:t>
      </w:r>
    </w:p>
    <w:p>
      <w:pPr>
        <w:keepNext w:val="0"/>
        <w:keepLines w:val="0"/>
        <w:pageBreakBefore w:val="0"/>
        <w:widowControl w:val="0"/>
        <w:kinsoku/>
        <w:wordWrap/>
        <w:overflowPunct/>
        <w:topLinePunct/>
        <w:autoSpaceDE/>
        <w:autoSpaceDN/>
        <w:bidi w:val="0"/>
        <w:adjustRightInd/>
        <w:snapToGrid w:val="0"/>
        <w:spacing w:before="157" w:beforeLines="50" w:after="157" w:afterLines="50" w:line="560" w:lineRule="exact"/>
        <w:ind w:left="-567" w:leftChars="-270" w:right="-523" w:rightChars="-249" w:firstLine="640" w:firstLineChars="200"/>
        <w:contextualSpacing/>
        <w:jc w:val="both"/>
        <w:textAlignment w:val="auto"/>
        <w:rPr>
          <w:rFonts w:hint="eastAsia" w:ascii="仿宋" w:hAnsi="仿宋" w:eastAsia="仿宋" w:cs="仿宋"/>
          <w:bCs/>
          <w:sz w:val="32"/>
          <w:szCs w:val="32"/>
        </w:rPr>
      </w:pPr>
    </w:p>
    <w:p>
      <w:pPr>
        <w:keepNext w:val="0"/>
        <w:keepLines w:val="0"/>
        <w:pageBreakBefore w:val="0"/>
        <w:widowControl w:val="0"/>
        <w:kinsoku/>
        <w:wordWrap/>
        <w:overflowPunct/>
        <w:topLinePunct/>
        <w:autoSpaceDE/>
        <w:autoSpaceDN/>
        <w:bidi w:val="0"/>
        <w:adjustRightInd/>
        <w:snapToGrid w:val="0"/>
        <w:spacing w:before="0" w:beforeLines="-2147483648" w:after="0" w:afterLines="-2147483648" w:line="560" w:lineRule="exact"/>
        <w:ind w:firstLine="640" w:firstLineChars="200"/>
        <w:contextualSpacing/>
        <w:jc w:val="both"/>
        <w:textAlignment w:val="auto"/>
        <w:rPr>
          <w:rFonts w:hint="eastAsia" w:ascii="仿宋" w:hAnsi="仿宋" w:eastAsia="仿宋" w:cs="仿宋"/>
          <w:bCs/>
          <w:sz w:val="32"/>
          <w:szCs w:val="32"/>
        </w:rPr>
      </w:pPr>
      <w:r>
        <w:rPr>
          <w:rFonts w:hint="eastAsia" w:ascii="仿宋" w:hAnsi="仿宋" w:eastAsia="仿宋" w:cs="仿宋"/>
          <w:bCs/>
          <w:sz w:val="32"/>
          <w:szCs w:val="32"/>
        </w:rPr>
        <w:t>2.其他有重要影响的参股公司、合营企业和联营企业的财务情况</w:t>
      </w:r>
    </w:p>
    <w:p>
      <w:pPr>
        <w:keepNext w:val="0"/>
        <w:keepLines w:val="0"/>
        <w:pageBreakBefore w:val="0"/>
        <w:widowControl w:val="0"/>
        <w:kinsoku/>
        <w:wordWrap/>
        <w:overflowPunct/>
        <w:topLinePunct/>
        <w:autoSpaceDE/>
        <w:autoSpaceDN/>
        <w:bidi w:val="0"/>
        <w:adjustRightInd/>
        <w:snapToGrid w:val="0"/>
        <w:spacing w:before="0" w:beforeLines="-2147483648" w:after="0" w:afterLines="-2147483648" w:line="560" w:lineRule="exact"/>
        <w:ind w:firstLine="640" w:firstLineChars="200"/>
        <w:contextualSpacing/>
        <w:jc w:val="both"/>
        <w:textAlignment w:val="auto"/>
        <w:rPr>
          <w:rFonts w:hint="eastAsia" w:ascii="仿宋" w:hAnsi="仿宋" w:eastAsia="仿宋" w:cs="仿宋"/>
          <w:bCs/>
          <w:sz w:val="32"/>
          <w:szCs w:val="32"/>
        </w:rPr>
      </w:pPr>
      <w:r>
        <w:rPr>
          <w:rFonts w:hint="eastAsia" w:ascii="仿宋" w:hAnsi="仿宋" w:eastAsia="仿宋" w:cs="仿宋"/>
          <w:bCs/>
          <w:sz w:val="32"/>
          <w:szCs w:val="32"/>
        </w:rPr>
        <w:t>发行人其他有重要影响的参股公司、合营企业和联营企业20XX年度/末主要财务数据如下：</w:t>
      </w:r>
    </w:p>
    <w:p>
      <w:pPr>
        <w:pStyle w:val="39"/>
        <w:spacing w:before="0" w:line="240" w:lineRule="auto"/>
        <w:ind w:right="-50" w:rightChars="-24" w:firstLine="0" w:firstLineChars="0"/>
        <w:jc w:val="right"/>
        <w:rPr>
          <w:rFonts w:hint="eastAsia" w:ascii="宋体" w:hAnsi="宋体" w:eastAsia="宋体" w:cs="宋体"/>
          <w:sz w:val="21"/>
          <w:szCs w:val="21"/>
        </w:rPr>
      </w:pPr>
      <w:r>
        <w:rPr>
          <w:rFonts w:hint="eastAsia" w:ascii="宋体" w:hAnsi="宋体" w:eastAsia="宋体" w:cs="宋体"/>
          <w:sz w:val="21"/>
          <w:szCs w:val="21"/>
        </w:rPr>
        <w:t>单位：万元</w:t>
      </w:r>
    </w:p>
    <w:tbl>
      <w:tblPr>
        <w:tblStyle w:val="12"/>
        <w:tblW w:w="1006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
      <w:tblGrid>
        <w:gridCol w:w="1538"/>
        <w:gridCol w:w="1421"/>
        <w:gridCol w:w="1421"/>
        <w:gridCol w:w="1421"/>
        <w:gridCol w:w="1421"/>
        <w:gridCol w:w="1421"/>
        <w:gridCol w:w="142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tblHeader/>
          <w:jc w:val="center"/>
        </w:trPr>
        <w:tc>
          <w:tcPr>
            <w:tcW w:w="1538" w:type="dxa"/>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公司名称</w:t>
            </w:r>
          </w:p>
        </w:tc>
        <w:tc>
          <w:tcPr>
            <w:tcW w:w="1421" w:type="dxa"/>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资产</w:t>
            </w:r>
          </w:p>
        </w:tc>
        <w:tc>
          <w:tcPr>
            <w:tcW w:w="1421" w:type="dxa"/>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负债</w:t>
            </w:r>
          </w:p>
        </w:tc>
        <w:tc>
          <w:tcPr>
            <w:tcW w:w="1421" w:type="dxa"/>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所有者权益</w:t>
            </w:r>
          </w:p>
        </w:tc>
        <w:tc>
          <w:tcPr>
            <w:tcW w:w="1421" w:type="dxa"/>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收入</w:t>
            </w:r>
          </w:p>
        </w:tc>
        <w:tc>
          <w:tcPr>
            <w:tcW w:w="1421" w:type="dxa"/>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净利润</w:t>
            </w:r>
          </w:p>
        </w:tc>
        <w:tc>
          <w:tcPr>
            <w:tcW w:w="1421" w:type="dxa"/>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重大增减变动的情况及原因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538" w:type="dxa"/>
            <w:vAlign w:val="center"/>
          </w:tcPr>
          <w:p>
            <w:pPr>
              <w:widowControl/>
              <w:spacing w:line="240" w:lineRule="auto"/>
              <w:jc w:val="center"/>
              <w:rPr>
                <w:rFonts w:hint="eastAsia" w:ascii="宋体" w:hAnsi="宋体" w:eastAsia="宋体" w:cs="宋体"/>
                <w:kern w:val="0"/>
                <w:sz w:val="21"/>
                <w:szCs w:val="21"/>
              </w:rPr>
            </w:pPr>
          </w:p>
        </w:tc>
        <w:tc>
          <w:tcPr>
            <w:tcW w:w="1421" w:type="dxa"/>
            <w:vAlign w:val="center"/>
          </w:tcPr>
          <w:p>
            <w:pPr>
              <w:widowControl/>
              <w:spacing w:line="240" w:lineRule="auto"/>
              <w:jc w:val="right"/>
              <w:rPr>
                <w:rFonts w:hint="eastAsia" w:ascii="宋体" w:hAnsi="宋体" w:eastAsia="宋体" w:cs="宋体"/>
                <w:kern w:val="0"/>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tcPr>
          <w:p>
            <w:pPr>
              <w:widowControl/>
              <w:spacing w:line="240" w:lineRule="auto"/>
              <w:jc w:val="center"/>
              <w:textAlignment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538" w:type="dxa"/>
            <w:vAlign w:val="center"/>
          </w:tcPr>
          <w:p>
            <w:pPr>
              <w:widowControl/>
              <w:spacing w:line="240" w:lineRule="auto"/>
              <w:jc w:val="center"/>
              <w:rPr>
                <w:rFonts w:hint="eastAsia" w:ascii="宋体" w:hAnsi="宋体" w:eastAsia="宋体" w:cs="宋体"/>
                <w:kern w:val="0"/>
                <w:sz w:val="21"/>
                <w:szCs w:val="21"/>
              </w:rPr>
            </w:pPr>
          </w:p>
        </w:tc>
        <w:tc>
          <w:tcPr>
            <w:tcW w:w="1421" w:type="dxa"/>
            <w:vAlign w:val="center"/>
          </w:tcPr>
          <w:p>
            <w:pPr>
              <w:widowControl/>
              <w:spacing w:line="240" w:lineRule="auto"/>
              <w:jc w:val="right"/>
              <w:rPr>
                <w:rFonts w:hint="eastAsia" w:ascii="宋体" w:hAnsi="宋体" w:eastAsia="宋体" w:cs="宋体"/>
                <w:kern w:val="0"/>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tcPr>
          <w:p>
            <w:pPr>
              <w:widowControl/>
              <w:spacing w:line="240" w:lineRule="auto"/>
              <w:jc w:val="center"/>
              <w:textAlignment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538" w:type="dxa"/>
            <w:vAlign w:val="center"/>
          </w:tcPr>
          <w:p>
            <w:pPr>
              <w:widowControl/>
              <w:spacing w:line="240" w:lineRule="auto"/>
              <w:jc w:val="center"/>
              <w:rPr>
                <w:rFonts w:hint="eastAsia" w:ascii="宋体" w:hAnsi="宋体" w:eastAsia="宋体" w:cs="宋体"/>
                <w:kern w:val="0"/>
                <w:sz w:val="21"/>
                <w:szCs w:val="21"/>
              </w:rPr>
            </w:pPr>
          </w:p>
        </w:tc>
        <w:tc>
          <w:tcPr>
            <w:tcW w:w="1421" w:type="dxa"/>
            <w:vAlign w:val="center"/>
          </w:tcPr>
          <w:p>
            <w:pPr>
              <w:widowControl/>
              <w:spacing w:line="240" w:lineRule="auto"/>
              <w:jc w:val="right"/>
              <w:rPr>
                <w:rFonts w:hint="eastAsia" w:ascii="宋体" w:hAnsi="宋体" w:eastAsia="宋体" w:cs="宋体"/>
                <w:kern w:val="0"/>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tcPr>
          <w:p>
            <w:pPr>
              <w:widowControl/>
              <w:spacing w:line="240" w:lineRule="auto"/>
              <w:jc w:val="center"/>
              <w:textAlignment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538" w:type="dxa"/>
            <w:vAlign w:val="center"/>
          </w:tcPr>
          <w:p>
            <w:pPr>
              <w:widowControl/>
              <w:spacing w:line="240" w:lineRule="auto"/>
              <w:jc w:val="center"/>
              <w:rPr>
                <w:rFonts w:hint="eastAsia" w:ascii="宋体" w:hAnsi="宋体" w:eastAsia="宋体" w:cs="宋体"/>
                <w:kern w:val="0"/>
                <w:sz w:val="21"/>
                <w:szCs w:val="21"/>
              </w:rPr>
            </w:pPr>
          </w:p>
        </w:tc>
        <w:tc>
          <w:tcPr>
            <w:tcW w:w="1421" w:type="dxa"/>
            <w:vAlign w:val="center"/>
          </w:tcPr>
          <w:p>
            <w:pPr>
              <w:widowControl/>
              <w:spacing w:line="240" w:lineRule="auto"/>
              <w:jc w:val="right"/>
              <w:rPr>
                <w:rFonts w:hint="eastAsia" w:ascii="宋体" w:hAnsi="宋体" w:eastAsia="宋体" w:cs="宋体"/>
                <w:kern w:val="0"/>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tcPr>
          <w:p>
            <w:pPr>
              <w:widowControl/>
              <w:spacing w:line="240" w:lineRule="auto"/>
              <w:jc w:val="center"/>
              <w:textAlignment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538" w:type="dxa"/>
            <w:vAlign w:val="center"/>
          </w:tcPr>
          <w:p>
            <w:pPr>
              <w:widowControl/>
              <w:spacing w:line="240" w:lineRule="auto"/>
              <w:jc w:val="center"/>
              <w:rPr>
                <w:rFonts w:hint="eastAsia" w:ascii="宋体" w:hAnsi="宋体" w:eastAsia="宋体" w:cs="宋体"/>
                <w:kern w:val="0"/>
                <w:sz w:val="21"/>
                <w:szCs w:val="21"/>
              </w:rPr>
            </w:pPr>
          </w:p>
        </w:tc>
        <w:tc>
          <w:tcPr>
            <w:tcW w:w="1421" w:type="dxa"/>
            <w:vAlign w:val="center"/>
          </w:tcPr>
          <w:p>
            <w:pPr>
              <w:widowControl/>
              <w:spacing w:line="240" w:lineRule="auto"/>
              <w:jc w:val="right"/>
              <w:rPr>
                <w:rFonts w:hint="eastAsia" w:ascii="宋体" w:hAnsi="宋体" w:eastAsia="宋体" w:cs="宋体"/>
                <w:kern w:val="0"/>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vAlign w:val="center"/>
          </w:tcPr>
          <w:p>
            <w:pPr>
              <w:widowControl/>
              <w:spacing w:line="240" w:lineRule="auto"/>
              <w:jc w:val="center"/>
              <w:textAlignment w:val="center"/>
              <w:rPr>
                <w:rFonts w:hint="eastAsia" w:ascii="宋体" w:hAnsi="宋体" w:eastAsia="宋体" w:cs="宋体"/>
                <w:sz w:val="21"/>
                <w:szCs w:val="21"/>
              </w:rPr>
            </w:pPr>
          </w:p>
        </w:tc>
        <w:tc>
          <w:tcPr>
            <w:tcW w:w="1421" w:type="dxa"/>
          </w:tcPr>
          <w:p>
            <w:pPr>
              <w:widowControl/>
              <w:spacing w:line="240" w:lineRule="auto"/>
              <w:jc w:val="center"/>
              <w:textAlignment w:val="center"/>
              <w:rPr>
                <w:rFonts w:hint="eastAsia" w:ascii="宋体" w:hAnsi="宋体" w:eastAsia="宋体" w:cs="宋体"/>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p>
    <w:p>
      <w:pPr>
        <w:pStyle w:val="31"/>
        <w:topLinePunct/>
        <w:snapToGrid w:val="0"/>
        <w:spacing w:line="560" w:lineRule="exact"/>
        <w:outlineLvl w:val="9"/>
        <w:rPr>
          <w:rFonts w:hint="eastAsia" w:ascii="仿宋" w:hAnsi="仿宋" w:eastAsia="仿宋" w:cs="仿宋"/>
          <w:b/>
          <w:bCs/>
          <w:sz w:val="32"/>
          <w:szCs w:val="32"/>
        </w:rPr>
      </w:pPr>
      <w:bookmarkStart w:id="16" w:name="_Toc77601101"/>
      <w:bookmarkStart w:id="17" w:name="_Toc58834403"/>
      <w:r>
        <w:rPr>
          <w:rFonts w:hint="eastAsia" w:ascii="仿宋" w:hAnsi="仿宋" w:eastAsia="仿宋" w:cs="仿宋"/>
          <w:b/>
          <w:bCs/>
          <w:sz w:val="32"/>
          <w:szCs w:val="32"/>
        </w:rPr>
        <w:t>五、发行人的治理结构及独立性</w:t>
      </w:r>
      <w:bookmarkEnd w:id="16"/>
      <w:bookmarkEnd w:id="17"/>
    </w:p>
    <w:p>
      <w:pPr>
        <w:topLinePunct/>
        <w:snapToGrid w:val="0"/>
        <w:spacing w:line="560" w:lineRule="exact"/>
        <w:ind w:firstLine="643" w:firstLineChars="200"/>
        <w:contextualSpacing/>
        <w:rPr>
          <w:rFonts w:hint="eastAsia" w:ascii="仿宋" w:hAnsi="仿宋" w:eastAsia="仿宋" w:cs="仿宋"/>
          <w:b/>
          <w:bCs/>
          <w:color w:val="000000" w:themeColor="text1"/>
          <w:sz w:val="32"/>
          <w:szCs w:val="32"/>
          <w14:textFill>
            <w14:solidFill>
              <w14:schemeClr w14:val="tx1"/>
            </w14:solidFill>
          </w14:textFill>
        </w:rPr>
      </w:pPr>
      <w:bookmarkStart w:id="18" w:name="_Toc72414042"/>
      <w:bookmarkStart w:id="19" w:name="_Toc58249800"/>
      <w:bookmarkStart w:id="20" w:name="_Toc72414221"/>
      <w:bookmarkStart w:id="21" w:name="_Toc58248255"/>
      <w:r>
        <w:rPr>
          <w:rFonts w:hint="eastAsia" w:ascii="仿宋" w:hAnsi="仿宋" w:eastAsia="仿宋" w:cs="仿宋"/>
          <w:b/>
          <w:bCs/>
          <w:color w:val="000000" w:themeColor="text1"/>
          <w:sz w:val="32"/>
          <w:szCs w:val="32"/>
          <w14:textFill>
            <w14:solidFill>
              <w14:schemeClr w14:val="tx1"/>
            </w14:solidFill>
          </w14:textFill>
        </w:rPr>
        <w:t>（一）发行人的治理结构</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组织机构</w:t>
      </w:r>
      <w:r>
        <w:rPr>
          <w:rFonts w:hint="eastAsia" w:ascii="仿宋" w:hAnsi="仿宋" w:eastAsia="仿宋" w:cs="仿宋"/>
          <w:b/>
          <w:bCs/>
          <w:color w:val="000000" w:themeColor="text1"/>
          <w:sz w:val="32"/>
          <w:szCs w:val="32"/>
          <w:lang w:val="en-US" w:eastAsia="zh-CN"/>
          <w14:textFill>
            <w14:solidFill>
              <w14:schemeClr w14:val="tx1"/>
            </w14:solidFill>
          </w14:textFill>
        </w:rPr>
        <w:t>及</w:t>
      </w:r>
      <w:r>
        <w:rPr>
          <w:rFonts w:hint="eastAsia" w:ascii="仿宋" w:hAnsi="仿宋" w:eastAsia="仿宋" w:cs="仿宋"/>
          <w:b/>
          <w:bCs/>
          <w:color w:val="000000" w:themeColor="text1"/>
          <w:sz w:val="32"/>
          <w:szCs w:val="32"/>
          <w14:textFill>
            <w14:solidFill>
              <w14:schemeClr w14:val="tx1"/>
            </w14:solidFill>
          </w14:textFill>
        </w:rPr>
        <w:t>内部管理制度</w:t>
      </w:r>
      <w:bookmarkEnd w:id="18"/>
      <w:bookmarkEnd w:id="19"/>
      <w:bookmarkEnd w:id="20"/>
      <w:bookmarkEnd w:id="21"/>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【填写说明：若发行人治理结构、组织机构常规</w:t>
      </w:r>
      <w:r>
        <w:rPr>
          <w:rFonts w:hint="eastAsia" w:ascii="仿宋" w:hAnsi="仿宋" w:eastAsia="仿宋" w:cs="仿宋"/>
          <w:color w:val="000000" w:themeColor="text1"/>
          <w:sz w:val="32"/>
          <w:szCs w:val="32"/>
          <w14:textFill>
            <w14:solidFill>
              <w14:schemeClr w14:val="tx1"/>
            </w14:solidFill>
          </w14:textFill>
        </w:rPr>
        <w:t>且运行正常，可以</w:t>
      </w:r>
      <w:r>
        <w:rPr>
          <w:rFonts w:hint="eastAsia" w:ascii="仿宋" w:hAnsi="仿宋" w:eastAsia="仿宋" w:cs="仿宋"/>
          <w:bCs/>
          <w:color w:val="000000" w:themeColor="text1"/>
          <w:sz w:val="32"/>
          <w:szCs w:val="32"/>
          <w14:textFill>
            <w14:solidFill>
              <w14:schemeClr w14:val="tx1"/>
            </w14:solidFill>
          </w14:textFill>
        </w:rPr>
        <w:t>概括性说明发行人重要组织机构设置及运行情况。】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发行人的组织结构图如下：</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25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4252" w:type="dxa"/>
          </w:tcPr>
          <w:p>
            <w:pPr>
              <w:spacing w:line="600" w:lineRule="exact"/>
              <w:contextualSpacing/>
              <w:rPr>
                <w:rFonts w:ascii="仿宋_GB2312" w:hAnsi="仿宋" w:eastAsia="仿宋_GB2312" w:cs="Times New Roman"/>
                <w:bCs/>
                <w:sz w:val="30"/>
                <w:szCs w:val="30"/>
              </w:rPr>
            </w:pPr>
          </w:p>
          <w:p>
            <w:pPr>
              <w:spacing w:line="600" w:lineRule="exact"/>
              <w:contextualSpacing/>
              <w:rPr>
                <w:rFonts w:ascii="仿宋_GB2312" w:hAnsi="仿宋" w:eastAsia="仿宋_GB2312" w:cs="Times New Roman"/>
                <w:bCs/>
                <w:sz w:val="30"/>
                <w:szCs w:val="30"/>
              </w:rPr>
            </w:pPr>
          </w:p>
          <w:p>
            <w:pPr>
              <w:spacing w:line="600" w:lineRule="exact"/>
              <w:contextualSpacing/>
              <w:rPr>
                <w:rFonts w:ascii="仿宋_GB2312" w:hAnsi="仿宋" w:eastAsia="仿宋_GB2312" w:cs="Times New Roman"/>
                <w:bCs/>
                <w:sz w:val="30"/>
                <w:szCs w:val="30"/>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0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i w:val="0"/>
          <w:iCs/>
          <w:color w:val="000000" w:themeColor="text1"/>
          <w:sz w:val="30"/>
          <w:szCs w:val="30"/>
          <w14:textFill>
            <w14:solidFill>
              <w14:schemeClr w14:val="tx1"/>
            </w14:solidFill>
          </w14:textFill>
        </w:rPr>
        <w:t>示例：</w:t>
      </w:r>
      <w:r>
        <w:rPr>
          <w:rFonts w:hint="eastAsia" w:ascii="仿宋" w:hAnsi="仿宋" w:eastAsia="仿宋" w:cs="仿宋"/>
          <w:bCs/>
          <w:color w:val="000000" w:themeColor="text1"/>
          <w:sz w:val="32"/>
          <w:szCs w:val="32"/>
          <w14:textFill>
            <w14:solidFill>
              <w14:schemeClr w14:val="tx1"/>
            </w14:solidFill>
          </w14:textFill>
        </w:rPr>
        <w:t>发行人已按照《公司法》等要求，制定了《XX公司公司章程》，建立和完善了规范的法人治理结构，设置了合理的组织机构，制定了包括财务管理、关联交易制度等共XX项内部管理制度，目前发行人治理结构、组织机构和内部管理制度运行正常。逐步形成科学的决策机制、执行机制和监督机制，能够有效维护公司和债权人的合法权益。</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ascii="仿宋_GB2312" w:hAnsi="仿宋" w:eastAsia="仿宋_GB2312" w:cs="Times New Roman"/>
          <w:bCs/>
          <w:color w:val="000000" w:themeColor="text1"/>
          <w:sz w:val="30"/>
          <w:szCs w:val="30"/>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若发行人存在</w:t>
      </w:r>
      <w:r>
        <w:rPr>
          <w:rFonts w:hint="eastAsia" w:ascii="仿宋" w:hAnsi="仿宋" w:eastAsia="仿宋" w:cs="仿宋"/>
          <w:color w:val="000000" w:themeColor="text1"/>
          <w:sz w:val="32"/>
          <w:szCs w:val="32"/>
          <w14:textFill>
            <w14:solidFill>
              <w14:schemeClr w14:val="tx1"/>
            </w14:solidFill>
          </w14:textFill>
        </w:rPr>
        <w:t>特殊或运行异常的应详细披露及说明</w:t>
      </w:r>
      <w:r>
        <w:rPr>
          <w:rFonts w:hint="eastAsia" w:ascii="仿宋" w:hAnsi="仿宋" w:eastAsia="仿宋" w:cs="仿宋"/>
          <w:bCs/>
          <w:color w:val="000000" w:themeColor="text1"/>
          <w:sz w:val="32"/>
          <w:szCs w:val="32"/>
          <w14:textFill>
            <w14:solidFill>
              <w14:schemeClr w14:val="tx1"/>
            </w14:solidFill>
          </w14:textFill>
        </w:rPr>
        <w:t>：</w:t>
      </w:r>
    </w:p>
    <w:p>
      <w:pPr>
        <w:spacing w:line="600" w:lineRule="exact"/>
        <w:ind w:firstLine="602" w:firstLineChars="200"/>
        <w:contextualSpacing/>
        <w:rPr>
          <w:rFonts w:hint="eastAsia" w:ascii="仿宋_GB2312" w:hAnsi="仿宋" w:eastAsia="仿宋_GB2312" w:cs="Times New Roman"/>
          <w:b/>
          <w:bCs/>
          <w:color w:val="000000" w:themeColor="text1"/>
          <w:sz w:val="30"/>
          <w:szCs w:val="30"/>
          <w14:textFill>
            <w14:solidFill>
              <w14:schemeClr w14:val="tx1"/>
            </w14:solidFill>
          </w14:textFill>
        </w:rPr>
      </w:pPr>
      <w:bookmarkStart w:id="22" w:name="_Toc58249801"/>
      <w:bookmarkStart w:id="23" w:name="_Toc58248256"/>
      <w:bookmarkStart w:id="24" w:name="_Toc72414044"/>
      <w:bookmarkStart w:id="25" w:name="_Toc72414223"/>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contextualSpacing/>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（二）发行人的独立性</w:t>
      </w:r>
      <w:bookmarkEnd w:id="22"/>
      <w:bookmarkEnd w:id="23"/>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（包括资产、人员、机构、财务、业务经营等方面）</w:t>
      </w:r>
      <w:bookmarkEnd w:id="24"/>
      <w:bookmarkEnd w:id="25"/>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bookmarkStart w:id="26" w:name="_Toc72414224"/>
      <w:bookmarkStart w:id="27" w:name="_Toc72414045"/>
      <w:r>
        <w:rPr>
          <w:rFonts w:hint="eastAsia" w:ascii="仿宋" w:hAnsi="仿宋" w:eastAsia="仿宋" w:cs="仿宋"/>
          <w:bCs/>
          <w:color w:val="000000" w:themeColor="text1"/>
          <w:sz w:val="32"/>
          <w:szCs w:val="32"/>
          <w14:textFill>
            <w14:solidFill>
              <w14:schemeClr w14:val="tx1"/>
            </w14:solidFill>
          </w14:textFill>
        </w:rPr>
        <w:t>【填写说明：若发行人与控股股东、实际控制人之间在资产、人员、机构、财务、业务经营等方面相互独立，可以概括性披露前述情况。】</w:t>
      </w:r>
    </w:p>
    <w:p>
      <w:pPr>
        <w:topLinePunct/>
        <w:snapToGrid w:val="0"/>
        <w:spacing w:line="560" w:lineRule="exact"/>
        <w:ind w:firstLine="640" w:firstLineChars="200"/>
        <w:outlineLvl w:val="9"/>
        <w:rPr>
          <w:rFonts w:hint="eastAsia"/>
        </w:rPr>
      </w:pPr>
      <w:r>
        <w:rPr>
          <w:rFonts w:hint="eastAsia" w:ascii="仿宋" w:hAnsi="仿宋" w:eastAsia="仿宋" w:cs="仿宋"/>
          <w:bCs/>
          <w:sz w:val="32"/>
          <w:szCs w:val="32"/>
        </w:rPr>
        <w:t>示例：发行人严格按照《公司法》《证券法》等有关法律、法规和公司章程的要求规范运作，与控股股东及实际控制人在资产、人员、机构、财务、业务经营等方面均保持独立性，不存在影响公司自主经营能力的情况。</w:t>
      </w:r>
      <w:bookmarkEnd w:id="26"/>
      <w:bookmarkEnd w:id="27"/>
      <w:bookmarkStart w:id="28" w:name="_Toc58834404"/>
      <w:bookmarkStart w:id="29" w:name="_Toc77601102"/>
    </w:p>
    <w:p>
      <w:pPr>
        <w:pStyle w:val="31"/>
        <w:topLinePunct/>
        <w:snapToGrid w:val="0"/>
        <w:spacing w:line="560" w:lineRule="exact"/>
        <w:outlineLvl w:val="9"/>
        <w:rPr>
          <w:rFonts w:hint="eastAsia" w:ascii="仿宋" w:hAnsi="仿宋" w:eastAsia="仿宋" w:cs="仿宋"/>
          <w:b/>
          <w:bCs/>
          <w:sz w:val="32"/>
          <w:szCs w:val="32"/>
        </w:rPr>
      </w:pPr>
      <w:r>
        <w:rPr>
          <w:rFonts w:hint="eastAsia" w:ascii="仿宋" w:hAnsi="仿宋" w:eastAsia="仿宋" w:cs="仿宋"/>
          <w:b/>
          <w:bCs/>
          <w:sz w:val="32"/>
          <w:szCs w:val="32"/>
        </w:rPr>
        <w:t>六、现任董事、监事和高级管理人员的基本情况</w:t>
      </w:r>
      <w:bookmarkEnd w:id="28"/>
      <w:bookmarkEnd w:id="29"/>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【填写说明：发行人原则上无需披露现任董事、监事、高级管理人员的简历。】</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截至报告期末，发行人董监高情况如下：</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958"/>
        <w:gridCol w:w="967"/>
        <w:gridCol w:w="2123"/>
        <w:gridCol w:w="1792"/>
        <w:gridCol w:w="1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44" w:type="pct"/>
            <w:vAlign w:val="center"/>
          </w:tcPr>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562" w:type="pct"/>
            <w:vAlign w:val="center"/>
          </w:tcPr>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现任</w:t>
            </w:r>
          </w:p>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职务</w:t>
            </w:r>
          </w:p>
        </w:tc>
        <w:tc>
          <w:tcPr>
            <w:tcW w:w="567" w:type="pct"/>
            <w:vAlign w:val="center"/>
          </w:tcPr>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任期</w:t>
            </w:r>
          </w:p>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(如有)</w:t>
            </w:r>
          </w:p>
        </w:tc>
        <w:tc>
          <w:tcPr>
            <w:tcW w:w="1245" w:type="pct"/>
            <w:vAlign w:val="center"/>
          </w:tcPr>
          <w:p>
            <w:pPr>
              <w:adjustRightInd w:val="0"/>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设置是否符合《公司法》等相关法律法规及公司章程相关要求</w:t>
            </w:r>
          </w:p>
        </w:tc>
        <w:tc>
          <w:tcPr>
            <w:tcW w:w="1051" w:type="pct"/>
            <w:vAlign w:val="center"/>
          </w:tcPr>
          <w:p>
            <w:pPr>
              <w:adjustRightInd w:val="0"/>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是否存在重大违纪违法情况</w:t>
            </w:r>
            <w:r>
              <w:rPr>
                <w:rStyle w:val="19"/>
                <w:rFonts w:hint="eastAsia" w:ascii="宋体" w:hAnsi="宋体" w:eastAsia="宋体" w:cs="宋体"/>
                <w:sz w:val="21"/>
                <w:szCs w:val="21"/>
              </w:rPr>
              <w:footnoteReference w:id="1"/>
            </w:r>
          </w:p>
        </w:tc>
        <w:tc>
          <w:tcPr>
            <w:tcW w:w="1028" w:type="pct"/>
            <w:vAlign w:val="center"/>
          </w:tcPr>
          <w:p>
            <w:pPr>
              <w:adjustRightInd w:val="0"/>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其他（如需）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 w:type="pct"/>
            <w:vAlign w:val="center"/>
          </w:tcPr>
          <w:p>
            <w:pPr>
              <w:adjustRightInd w:val="0"/>
              <w:snapToGrid w:val="0"/>
              <w:spacing w:line="240" w:lineRule="auto"/>
              <w:jc w:val="center"/>
              <w:rPr>
                <w:rFonts w:hint="eastAsia" w:ascii="宋体" w:hAnsi="宋体" w:eastAsia="宋体" w:cs="宋体"/>
                <w:bCs/>
                <w:sz w:val="21"/>
                <w:szCs w:val="21"/>
              </w:rPr>
            </w:pPr>
          </w:p>
        </w:tc>
        <w:tc>
          <w:tcPr>
            <w:tcW w:w="562" w:type="pct"/>
            <w:vAlign w:val="center"/>
          </w:tcPr>
          <w:p>
            <w:pPr>
              <w:adjustRightInd w:val="0"/>
              <w:snapToGrid w:val="0"/>
              <w:spacing w:line="240" w:lineRule="auto"/>
              <w:jc w:val="center"/>
              <w:rPr>
                <w:rFonts w:hint="eastAsia" w:ascii="宋体" w:hAnsi="宋体" w:eastAsia="宋体" w:cs="宋体"/>
                <w:bCs/>
                <w:sz w:val="21"/>
                <w:szCs w:val="21"/>
              </w:rPr>
            </w:pPr>
          </w:p>
        </w:tc>
        <w:tc>
          <w:tcPr>
            <w:tcW w:w="567" w:type="pct"/>
            <w:vAlign w:val="center"/>
          </w:tcPr>
          <w:p>
            <w:pPr>
              <w:adjustRightInd w:val="0"/>
              <w:snapToGrid w:val="0"/>
              <w:spacing w:line="240" w:lineRule="auto"/>
              <w:jc w:val="center"/>
              <w:rPr>
                <w:rFonts w:hint="eastAsia" w:ascii="宋体" w:hAnsi="宋体" w:eastAsia="宋体" w:cs="宋体"/>
                <w:bCs/>
                <w:sz w:val="21"/>
                <w:szCs w:val="21"/>
              </w:rPr>
            </w:pPr>
          </w:p>
        </w:tc>
        <w:tc>
          <w:tcPr>
            <w:tcW w:w="1245" w:type="pct"/>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是/否</w:t>
            </w:r>
          </w:p>
        </w:tc>
        <w:tc>
          <w:tcPr>
            <w:tcW w:w="1051" w:type="pct"/>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是/否</w:t>
            </w:r>
          </w:p>
        </w:tc>
        <w:tc>
          <w:tcPr>
            <w:tcW w:w="1028" w:type="pct"/>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（简述概况）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 w:type="pct"/>
            <w:vAlign w:val="center"/>
          </w:tcPr>
          <w:p>
            <w:pPr>
              <w:adjustRightInd w:val="0"/>
              <w:snapToGrid w:val="0"/>
              <w:spacing w:line="240" w:lineRule="auto"/>
              <w:jc w:val="center"/>
              <w:rPr>
                <w:rFonts w:hint="eastAsia" w:ascii="宋体" w:hAnsi="宋体" w:eastAsia="宋体" w:cs="宋体"/>
                <w:bCs/>
                <w:sz w:val="21"/>
                <w:szCs w:val="21"/>
              </w:rPr>
            </w:pPr>
          </w:p>
        </w:tc>
        <w:tc>
          <w:tcPr>
            <w:tcW w:w="562" w:type="pct"/>
            <w:vAlign w:val="center"/>
          </w:tcPr>
          <w:p>
            <w:pPr>
              <w:adjustRightInd w:val="0"/>
              <w:snapToGrid w:val="0"/>
              <w:spacing w:line="240" w:lineRule="auto"/>
              <w:jc w:val="center"/>
              <w:rPr>
                <w:rFonts w:hint="eastAsia" w:ascii="宋体" w:hAnsi="宋体" w:eastAsia="宋体" w:cs="宋体"/>
                <w:bCs/>
                <w:sz w:val="21"/>
                <w:szCs w:val="21"/>
              </w:rPr>
            </w:pPr>
          </w:p>
        </w:tc>
        <w:tc>
          <w:tcPr>
            <w:tcW w:w="567" w:type="pct"/>
            <w:vAlign w:val="center"/>
          </w:tcPr>
          <w:p>
            <w:pPr>
              <w:adjustRightInd w:val="0"/>
              <w:snapToGrid w:val="0"/>
              <w:spacing w:line="240" w:lineRule="auto"/>
              <w:jc w:val="center"/>
              <w:rPr>
                <w:rFonts w:hint="eastAsia" w:ascii="宋体" w:hAnsi="宋体" w:eastAsia="宋体" w:cs="宋体"/>
                <w:bCs/>
                <w:sz w:val="21"/>
                <w:szCs w:val="21"/>
              </w:rPr>
            </w:pPr>
          </w:p>
        </w:tc>
        <w:tc>
          <w:tcPr>
            <w:tcW w:w="1245" w:type="pct"/>
            <w:vAlign w:val="center"/>
          </w:tcPr>
          <w:p>
            <w:pPr>
              <w:adjustRightInd w:val="0"/>
              <w:snapToGrid w:val="0"/>
              <w:spacing w:line="240" w:lineRule="auto"/>
              <w:jc w:val="center"/>
              <w:rPr>
                <w:rFonts w:hint="eastAsia" w:ascii="宋体" w:hAnsi="宋体" w:eastAsia="宋体" w:cs="宋体"/>
                <w:sz w:val="21"/>
                <w:szCs w:val="21"/>
              </w:rPr>
            </w:pPr>
          </w:p>
        </w:tc>
        <w:tc>
          <w:tcPr>
            <w:tcW w:w="1051" w:type="pct"/>
            <w:vAlign w:val="center"/>
          </w:tcPr>
          <w:p>
            <w:pPr>
              <w:adjustRightInd w:val="0"/>
              <w:snapToGrid w:val="0"/>
              <w:spacing w:line="240" w:lineRule="auto"/>
              <w:jc w:val="center"/>
              <w:rPr>
                <w:rFonts w:hint="eastAsia" w:ascii="宋体" w:hAnsi="宋体" w:eastAsia="宋体" w:cs="宋体"/>
                <w:sz w:val="21"/>
                <w:szCs w:val="21"/>
              </w:rPr>
            </w:pPr>
          </w:p>
        </w:tc>
        <w:tc>
          <w:tcPr>
            <w:tcW w:w="1028" w:type="pct"/>
            <w:vAlign w:val="center"/>
          </w:tcPr>
          <w:p>
            <w:pPr>
              <w:adjustRightInd w:val="0"/>
              <w:snapToGrid w:val="0"/>
              <w:spacing w:line="240" w:lineRule="auto"/>
              <w:jc w:val="center"/>
              <w:rPr>
                <w:rFonts w:hint="eastAsia" w:ascii="宋体" w:hAnsi="宋体" w:eastAsia="宋体" w:cs="宋体"/>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ascii="仿宋_GB2312" w:hAnsi="Times New Roman" w:eastAsia="仿宋_GB2312"/>
          <w:b/>
          <w:bCs/>
          <w:color w:val="000000"/>
          <w:kern w:val="0"/>
          <w:sz w:val="32"/>
          <w:szCs w:val="30"/>
          <w:lang w:bidi="en-US"/>
        </w:rPr>
      </w:pPr>
      <w:bookmarkStart w:id="30" w:name="_Toc58834405"/>
      <w:r>
        <w:rPr>
          <w:rFonts w:hint="eastAsia" w:ascii="仿宋" w:hAnsi="仿宋" w:eastAsia="仿宋" w:cs="仿宋"/>
          <w:bCs/>
          <w:color w:val="000000" w:themeColor="text1"/>
          <w:sz w:val="32"/>
          <w:szCs w:val="32"/>
          <w14:textFill>
            <w14:solidFill>
              <w14:schemeClr w14:val="tx1"/>
            </w14:solidFill>
          </w14:textFill>
        </w:rPr>
        <w:t>□【相关人员设置存在不符合上述相关要求或存在重大违纪违法情形的】具体情况、原因及对发行人经营情况和偿债能力的影响如下：</w:t>
      </w:r>
      <w:bookmarkEnd w:id="30"/>
      <w:r>
        <w:rPr>
          <w:rFonts w:ascii="仿宋_GB2312" w:hAnsi="Times New Roman" w:eastAsia="仿宋_GB2312"/>
          <w:b/>
          <w:bCs/>
          <w:color w:val="000000"/>
          <w:kern w:val="0"/>
          <w:sz w:val="32"/>
          <w:szCs w:val="30"/>
          <w:lang w:bidi="en-US"/>
        </w:rPr>
        <w:br w:type="page"/>
      </w:r>
    </w:p>
    <w:p>
      <w:pPr>
        <w:keepNext w:val="0"/>
        <w:keepLines w:val="0"/>
        <w:pageBreakBefore w:val="0"/>
        <w:widowControl w:val="0"/>
        <w:kinsoku/>
        <w:wordWrap/>
        <w:overflowPunct/>
        <w:topLinePunct/>
        <w:autoSpaceDE/>
        <w:autoSpaceDN/>
        <w:bidi w:val="0"/>
        <w:adjustRightInd/>
        <w:snapToGrid w:val="0"/>
        <w:spacing w:line="560" w:lineRule="exact"/>
        <w:ind w:firstLine="0"/>
        <w:jc w:val="both"/>
        <w:textAlignment w:val="auto"/>
        <w:outlineLvl w:val="0"/>
        <w:rPr>
          <w:rFonts w:hint="eastAsia" w:ascii="仿宋" w:hAnsi="仿宋" w:eastAsia="仿宋" w:cs="仿宋"/>
          <w:b/>
          <w:bCs/>
          <w:color w:val="000000"/>
          <w:kern w:val="0"/>
          <w:sz w:val="32"/>
          <w:szCs w:val="32"/>
          <w:lang w:bidi="en-US"/>
        </w:rPr>
      </w:pPr>
      <w:r>
        <w:rPr>
          <w:rFonts w:hint="eastAsia" w:ascii="黑体" w:hAnsi="黑体" w:eastAsia="黑体" w:cs="黑体"/>
          <w:b w:val="0"/>
          <w:bCs w:val="0"/>
          <w:color w:val="000000"/>
          <w:kern w:val="0"/>
          <w:sz w:val="32"/>
          <w:szCs w:val="32"/>
          <w:lang w:bidi="en-US"/>
        </w:rPr>
        <w:t>附件</w:t>
      </w:r>
      <w:r>
        <w:rPr>
          <w:rFonts w:hint="eastAsia" w:ascii="黑体" w:hAnsi="黑体" w:eastAsia="黑体" w:cs="黑体"/>
          <w:b w:val="0"/>
          <w:bCs w:val="0"/>
          <w:color w:val="000000"/>
          <w:kern w:val="0"/>
          <w:sz w:val="32"/>
          <w:szCs w:val="32"/>
          <w:lang w:val="en-US" w:eastAsia="zh-CN" w:bidi="en-US"/>
        </w:rPr>
        <w:t>4</w:t>
      </w:r>
    </w:p>
    <w:p>
      <w:pPr>
        <w:keepNext w:val="0"/>
        <w:keepLines w:val="0"/>
        <w:pageBreakBefore w:val="0"/>
        <w:widowControl w:val="0"/>
        <w:kinsoku/>
        <w:wordWrap/>
        <w:overflowPunct/>
        <w:topLinePunct/>
        <w:autoSpaceDE/>
        <w:autoSpaceDN/>
        <w:bidi w:val="0"/>
        <w:adjustRightInd/>
        <w:snapToGrid w:val="0"/>
        <w:spacing w:line="560" w:lineRule="exact"/>
        <w:ind w:firstLine="0"/>
        <w:jc w:val="both"/>
        <w:textAlignment w:val="auto"/>
        <w:outlineLvl w:val="9"/>
        <w:rPr>
          <w:rFonts w:hint="eastAsia" w:ascii="仿宋" w:hAnsi="仿宋" w:eastAsia="仿宋" w:cs="仿宋"/>
          <w:b/>
          <w:bCs/>
          <w:color w:val="000000"/>
          <w:kern w:val="0"/>
          <w:sz w:val="32"/>
          <w:szCs w:val="32"/>
          <w:lang w:bidi="en-US"/>
        </w:rPr>
      </w:pPr>
    </w:p>
    <w:p>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outlineLvl w:val="9"/>
        <w:rPr>
          <w:rFonts w:hint="eastAsia" w:ascii="方正小标宋简体" w:hAnsi="方正小标宋简体" w:eastAsia="方正小标宋简体" w:cs="方正小标宋简体"/>
          <w:b w:val="0"/>
          <w:bCs/>
          <w:kern w:val="2"/>
          <w:sz w:val="44"/>
          <w:szCs w:val="44"/>
          <w:lang w:bidi="en-US"/>
        </w:rPr>
      </w:pPr>
      <w:r>
        <w:rPr>
          <w:rFonts w:hint="eastAsia" w:ascii="方正小标宋简体" w:hAnsi="方正小标宋简体" w:eastAsia="方正小标宋简体" w:cs="方正小标宋简体"/>
          <w:b w:val="0"/>
          <w:bCs/>
          <w:color w:val="auto"/>
          <w:kern w:val="2"/>
          <w:sz w:val="44"/>
          <w:szCs w:val="44"/>
          <w:lang w:bidi="en-US"/>
        </w:rPr>
        <w:t>半年度主要财务数据变动情况分析</w:t>
      </w:r>
    </w:p>
    <w:p>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outlineLvl w:val="9"/>
        <w:rPr>
          <w:rFonts w:hint="eastAsia" w:ascii="方正小标宋简体" w:hAnsi="方正小标宋简体" w:eastAsia="方正小标宋简体" w:cs="方正小标宋简体"/>
          <w:b w:val="0"/>
          <w:bCs/>
          <w:color w:val="auto"/>
          <w:kern w:val="2"/>
          <w:sz w:val="44"/>
          <w:szCs w:val="44"/>
          <w:lang w:bidi="en-US"/>
        </w:rPr>
      </w:pPr>
      <w:r>
        <w:rPr>
          <w:rFonts w:hint="eastAsia" w:ascii="方正小标宋简体" w:hAnsi="方正小标宋简体" w:eastAsia="方正小标宋简体" w:cs="方正小标宋简体"/>
          <w:b w:val="0"/>
          <w:bCs/>
          <w:kern w:val="2"/>
          <w:sz w:val="44"/>
          <w:szCs w:val="44"/>
          <w:lang w:eastAsia="zh-CN" w:bidi="en-US"/>
        </w:rPr>
        <w:t>参考文本</w:t>
      </w:r>
    </w:p>
    <w:p>
      <w:pPr>
        <w:adjustRightInd w:val="0"/>
        <w:snapToGrid w:val="0"/>
        <w:spacing w:line="560" w:lineRule="exact"/>
        <w:jc w:val="left"/>
        <w:outlineLvl w:val="9"/>
        <w:rPr>
          <w:rFonts w:ascii="仿宋_GB2312" w:hAnsi="Times New Roman" w:eastAsia="仿宋_GB2312"/>
          <w:b/>
          <w:bCs/>
          <w:color w:val="000000"/>
          <w:kern w:val="0"/>
          <w:sz w:val="32"/>
          <w:szCs w:val="30"/>
          <w:lang w:bidi="en-US"/>
        </w:rPr>
      </w:pPr>
    </w:p>
    <w:p>
      <w:pPr>
        <w:widowControl/>
        <w:spacing w:line="560" w:lineRule="exact"/>
        <w:jc w:val="center"/>
        <w:rPr>
          <w:rFonts w:hint="eastAsia" w:ascii="黑体" w:hAnsi="黑体" w:eastAsia="黑体" w:cs="黑体"/>
          <w:b/>
          <w:bCs w:val="0"/>
          <w:sz w:val="36"/>
          <w:szCs w:val="36"/>
        </w:rPr>
      </w:pPr>
      <w:r>
        <w:rPr>
          <w:rFonts w:hint="eastAsia" w:ascii="黑体" w:hAnsi="黑体" w:eastAsia="黑体" w:cs="黑体"/>
          <w:b/>
          <w:bCs w:val="0"/>
          <w:sz w:val="36"/>
          <w:szCs w:val="36"/>
        </w:rPr>
        <w:t xml:space="preserve">第五节 </w:t>
      </w:r>
      <w:r>
        <w:rPr>
          <w:rFonts w:hint="eastAsia" w:ascii="黑体" w:hAnsi="黑体" w:eastAsia="黑体" w:cs="黑体"/>
          <w:b/>
          <w:sz w:val="36"/>
          <w:szCs w:val="36"/>
        </w:rPr>
        <w:t>财务会计信息</w:t>
      </w:r>
    </w:p>
    <w:p>
      <w:pPr>
        <w:widowControl/>
        <w:spacing w:line="560" w:lineRule="exact"/>
        <w:jc w:val="center"/>
        <w:rPr>
          <w:rFonts w:ascii="黑体" w:hAnsi="黑体" w:eastAsia="黑体"/>
          <w:b/>
          <w:sz w:val="44"/>
          <w:szCs w:val="44"/>
        </w:rPr>
      </w:pPr>
    </w:p>
    <w:p>
      <w:pPr>
        <w:widowControl w:val="0"/>
        <w:topLinePunct/>
        <w:adjustRightInd/>
        <w:snapToGrid w:val="0"/>
        <w:spacing w:line="560" w:lineRule="exact"/>
        <w:ind w:firstLine="643" w:firstLineChars="200"/>
        <w:rPr>
          <w:rFonts w:hint="eastAsia" w:ascii="仿宋" w:hAnsi="仿宋" w:eastAsia="仿宋" w:cs="仿宋"/>
          <w:b/>
          <w:bCs w:val="0"/>
          <w:color w:val="000000"/>
          <w:kern w:val="0"/>
          <w:sz w:val="32"/>
          <w:szCs w:val="32"/>
          <w:lang w:bidi="en-US"/>
        </w:rPr>
      </w:pPr>
      <w:r>
        <w:rPr>
          <w:rFonts w:hint="eastAsia" w:ascii="仿宋" w:hAnsi="仿宋" w:eastAsia="仿宋" w:cs="仿宋"/>
          <w:b/>
          <w:bCs w:val="0"/>
          <w:color w:val="000000"/>
          <w:kern w:val="0"/>
          <w:sz w:val="32"/>
          <w:szCs w:val="32"/>
          <w:lang w:bidi="en-US"/>
        </w:rPr>
        <w:t>X、发行人20XX年半年度主要财务情况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color w:val="000000"/>
          <w:kern w:val="0"/>
          <w:sz w:val="32"/>
          <w:szCs w:val="32"/>
          <w:lang w:bidi="en-US"/>
        </w:rPr>
      </w:pPr>
      <w:r>
        <w:rPr>
          <w:rFonts w:hint="eastAsia" w:ascii="仿宋" w:hAnsi="仿宋" w:eastAsia="仿宋" w:cs="仿宋"/>
          <w:color w:val="000000"/>
          <w:kern w:val="0"/>
          <w:sz w:val="32"/>
          <w:szCs w:val="32"/>
          <w:lang w:bidi="en-US"/>
        </w:rPr>
        <w:t>发行人最近一期主要财务数据及变化分析情况如下：</w:t>
      </w:r>
    </w:p>
    <w:p>
      <w:pPr>
        <w:widowControl/>
        <w:adjustRightInd w:val="0"/>
        <w:snapToGrid w:val="0"/>
        <w:spacing w:line="240" w:lineRule="auto"/>
        <w:jc w:val="right"/>
        <w:rPr>
          <w:rFonts w:hint="eastAsia" w:ascii="宋体" w:hAnsi="宋体" w:eastAsia="宋体" w:cs="宋体"/>
          <w:color w:val="000000"/>
          <w:kern w:val="0"/>
          <w:sz w:val="21"/>
          <w:szCs w:val="21"/>
          <w:lang w:bidi="en-US"/>
        </w:rPr>
      </w:pPr>
      <w:r>
        <w:rPr>
          <w:rFonts w:hint="eastAsia" w:ascii="宋体" w:hAnsi="宋体" w:eastAsia="宋体" w:cs="宋体"/>
          <w:color w:val="000000"/>
          <w:kern w:val="0"/>
          <w:sz w:val="21"/>
          <w:szCs w:val="21"/>
          <w:lang w:bidi="en-US"/>
        </w:rPr>
        <w:t>单位：万元、%</w:t>
      </w:r>
    </w:p>
    <w:tbl>
      <w:tblPr>
        <w:tblStyle w:val="12"/>
        <w:tblW w:w="86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1683"/>
        <w:gridCol w:w="1633"/>
        <w:gridCol w:w="3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主要资产、负债科目</w:t>
            </w:r>
          </w:p>
        </w:tc>
        <w:tc>
          <w:tcPr>
            <w:tcW w:w="1683" w:type="dxa"/>
            <w:tcBorders>
              <w:tl2br w:val="nil"/>
              <w:tr2bl w:val="nil"/>
            </w:tcBorders>
            <w:shd w:val="clear" w:color="auto" w:fill="auto"/>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20XX年6月末</w:t>
            </w:r>
          </w:p>
        </w:tc>
        <w:tc>
          <w:tcPr>
            <w:tcW w:w="1633" w:type="dxa"/>
            <w:tcBorders>
              <w:tl2br w:val="nil"/>
              <w:tr2bl w:val="nil"/>
            </w:tcBorders>
            <w:shd w:val="clear" w:color="auto" w:fill="auto"/>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同比</w:t>
            </w:r>
          </w:p>
        </w:tc>
        <w:tc>
          <w:tcPr>
            <w:tcW w:w="3031" w:type="dxa"/>
            <w:tcBorders>
              <w:tl2br w:val="nil"/>
              <w:tr2bl w:val="nil"/>
            </w:tcBorders>
            <w:shd w:val="clear" w:color="auto" w:fill="auto"/>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变动原因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货币资金</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在建工程</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存货</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应付债券</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长期应付款</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vAlign w:val="center"/>
          </w:tcPr>
          <w:p>
            <w:pPr>
              <w:spacing w:line="240" w:lineRule="auto"/>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主要利润、现金流</w:t>
            </w:r>
            <w:r>
              <w:rPr>
                <w:rFonts w:hint="eastAsia" w:ascii="宋体" w:hAnsi="宋体" w:eastAsia="宋体" w:cs="宋体"/>
                <w:b/>
                <w:bCs/>
                <w:color w:val="000000"/>
                <w:sz w:val="21"/>
                <w:szCs w:val="21"/>
                <w:lang w:eastAsia="zh-CN"/>
              </w:rPr>
              <w:t>科目</w:t>
            </w:r>
          </w:p>
        </w:tc>
        <w:tc>
          <w:tcPr>
            <w:tcW w:w="1683" w:type="dxa"/>
            <w:tcBorders>
              <w:tl2br w:val="nil"/>
              <w:tr2bl w:val="nil"/>
            </w:tcBorders>
            <w:shd w:val="clear" w:color="auto" w:fill="auto"/>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20XX年1-6月</w:t>
            </w:r>
          </w:p>
        </w:tc>
        <w:tc>
          <w:tcPr>
            <w:tcW w:w="1633" w:type="dxa"/>
            <w:tcBorders>
              <w:tl2br w:val="nil"/>
              <w:tr2bl w:val="nil"/>
            </w:tcBorders>
            <w:shd w:val="clear" w:color="auto" w:fill="auto"/>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同比</w:t>
            </w:r>
          </w:p>
        </w:tc>
        <w:tc>
          <w:tcPr>
            <w:tcW w:w="3031" w:type="dxa"/>
            <w:tcBorders>
              <w:tl2br w:val="nil"/>
              <w:tr2bl w:val="nil"/>
            </w:tcBorders>
            <w:shd w:val="clear" w:color="auto" w:fill="auto"/>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变动原因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营业收入</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营业利润</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净利润</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6" w:type="dxa"/>
            <w:tcBorders>
              <w:tl2br w:val="nil"/>
              <w:tr2bl w:val="nil"/>
            </w:tcBorders>
            <w:shd w:val="clear" w:color="auto" w:fill="auto"/>
            <w:noWrap/>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经营活动产生的现金流量净额</w:t>
            </w:r>
          </w:p>
        </w:tc>
        <w:tc>
          <w:tcPr>
            <w:tcW w:w="168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1633" w:type="dxa"/>
            <w:tcBorders>
              <w:tl2br w:val="nil"/>
              <w:tr2bl w:val="nil"/>
            </w:tcBorders>
            <w:shd w:val="clear" w:color="auto" w:fill="auto"/>
            <w:noWrap/>
            <w:vAlign w:val="center"/>
          </w:tcPr>
          <w:p>
            <w:pPr>
              <w:spacing w:line="240" w:lineRule="auto"/>
              <w:jc w:val="right"/>
              <w:rPr>
                <w:rFonts w:hint="eastAsia" w:ascii="宋体" w:hAnsi="宋体" w:eastAsia="宋体" w:cs="宋体"/>
                <w:color w:val="000000"/>
                <w:sz w:val="21"/>
                <w:szCs w:val="21"/>
              </w:rPr>
            </w:pPr>
          </w:p>
        </w:tc>
        <w:tc>
          <w:tcPr>
            <w:tcW w:w="3031" w:type="dxa"/>
            <w:tcBorders>
              <w:tl2br w:val="nil"/>
              <w:tr2bl w:val="nil"/>
            </w:tcBorders>
            <w:shd w:val="clear" w:color="auto" w:fill="auto"/>
            <w:vAlign w:val="center"/>
          </w:tcPr>
          <w:p>
            <w:pPr>
              <w:spacing w:line="240" w:lineRule="auto"/>
              <w:rPr>
                <w:rFonts w:hint="eastAsia" w:ascii="宋体" w:hAnsi="宋体" w:eastAsia="宋体" w:cs="宋体"/>
                <w:color w:val="000000"/>
                <w:sz w:val="21"/>
                <w:szCs w:val="21"/>
              </w:rPr>
            </w:pPr>
          </w:p>
        </w:tc>
      </w:tr>
    </w:tbl>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表下针对性展开披露对投资者作出价值判断和对投资决策有重大影响的信息。</w:t>
      </w:r>
    </w:p>
    <w:p>
      <w:pPr>
        <w:keepNext w:val="0"/>
        <w:keepLines w:val="0"/>
        <w:pageBreakBefore w:val="0"/>
        <w:widowControl w:val="0"/>
        <w:kinsoku/>
        <w:wordWrap/>
        <w:overflowPunct/>
        <w:topLinePunct/>
        <w:autoSpaceDE/>
        <w:autoSpaceDN/>
        <w:bidi w:val="0"/>
        <w:adjustRightInd/>
        <w:snapToGrid w:val="0"/>
        <w:spacing w:line="560" w:lineRule="exact"/>
        <w:ind w:firstLine="0" w:firstLineChars="0"/>
        <w:contextualSpacing/>
        <w:jc w:val="both"/>
        <w:textAlignment w:val="auto"/>
        <w:outlineLvl w:val="0"/>
        <w:rPr>
          <w:rFonts w:hint="eastAsia" w:ascii="仿宋" w:hAnsi="仿宋" w:eastAsia="仿宋" w:cs="仿宋"/>
          <w:b/>
          <w:bCs/>
          <w:color w:val="000000"/>
          <w:kern w:val="0"/>
          <w:sz w:val="32"/>
          <w:szCs w:val="32"/>
          <w:lang w:val="en-US" w:eastAsia="zh-CN" w:bidi="en-US"/>
        </w:rPr>
      </w:pPr>
      <w:r>
        <w:rPr>
          <w:rFonts w:ascii="仿宋_GB2312" w:hAnsi="黑体" w:eastAsia="仿宋_GB2312"/>
          <w:sz w:val="30"/>
          <w:szCs w:val="30"/>
        </w:rPr>
        <w:br w:type="page"/>
      </w:r>
      <w:r>
        <w:rPr>
          <w:rFonts w:hint="eastAsia" w:ascii="黑体" w:hAnsi="黑体" w:eastAsia="黑体" w:cs="黑体"/>
          <w:b w:val="0"/>
          <w:bCs w:val="0"/>
          <w:color w:val="000000"/>
          <w:kern w:val="0"/>
          <w:sz w:val="32"/>
          <w:szCs w:val="32"/>
          <w:lang w:bidi="en-US"/>
        </w:rPr>
        <w:t>附件</w:t>
      </w:r>
      <w:r>
        <w:rPr>
          <w:rFonts w:hint="eastAsia" w:ascii="黑体" w:hAnsi="黑体" w:eastAsia="黑体" w:cs="黑体"/>
          <w:b w:val="0"/>
          <w:bCs w:val="0"/>
          <w:color w:val="000000"/>
          <w:kern w:val="0"/>
          <w:sz w:val="32"/>
          <w:szCs w:val="32"/>
          <w:lang w:val="en-US" w:eastAsia="zh-CN" w:bidi="en-US"/>
        </w:rPr>
        <w:t>5</w:t>
      </w:r>
    </w:p>
    <w:p>
      <w:pPr>
        <w:keepNext w:val="0"/>
        <w:keepLines w:val="0"/>
        <w:pageBreakBefore w:val="0"/>
        <w:widowControl w:val="0"/>
        <w:kinsoku/>
        <w:wordWrap/>
        <w:overflowPunct/>
        <w:topLinePunct/>
        <w:autoSpaceDE/>
        <w:autoSpaceDN/>
        <w:bidi w:val="0"/>
        <w:adjustRightInd/>
        <w:snapToGrid w:val="0"/>
        <w:spacing w:line="560" w:lineRule="exact"/>
        <w:ind w:firstLine="0" w:firstLineChars="0"/>
        <w:contextualSpacing/>
        <w:jc w:val="both"/>
        <w:textAlignment w:val="auto"/>
        <w:outlineLvl w:val="9"/>
        <w:rPr>
          <w:rFonts w:hint="eastAsia" w:ascii="仿宋" w:hAnsi="仿宋" w:eastAsia="仿宋" w:cs="仿宋"/>
          <w:b/>
          <w:bCs/>
          <w:color w:val="000000"/>
          <w:kern w:val="0"/>
          <w:sz w:val="32"/>
          <w:szCs w:val="32"/>
          <w:lang w:val="en-US" w:eastAsia="zh-CN" w:bidi="en-US"/>
        </w:rPr>
      </w:pPr>
    </w:p>
    <w:p>
      <w:pPr>
        <w:keepNext w:val="0"/>
        <w:keepLines w:val="0"/>
        <w:pageBreakBefore w:val="0"/>
        <w:widowControl w:val="0"/>
        <w:kinsoku/>
        <w:wordWrap/>
        <w:overflowPunct/>
        <w:topLinePunct/>
        <w:autoSpaceDE/>
        <w:autoSpaceDN/>
        <w:bidi w:val="0"/>
        <w:adjustRightInd/>
        <w:snapToGrid w:val="0"/>
        <w:spacing w:line="560" w:lineRule="exact"/>
        <w:ind w:firstLine="0" w:firstLineChars="0"/>
        <w:contextualSpacing/>
        <w:jc w:val="center"/>
        <w:textAlignment w:val="auto"/>
        <w:outlineLvl w:val="9"/>
        <w:rPr>
          <w:rFonts w:hint="eastAsia" w:ascii="方正小标宋简体" w:hAnsi="方正小标宋简体" w:eastAsia="方正小标宋简体" w:cs="方正小标宋简体"/>
          <w:b w:val="0"/>
          <w:bCs w:val="0"/>
          <w:color w:val="000000"/>
          <w:kern w:val="0"/>
          <w:sz w:val="44"/>
          <w:szCs w:val="44"/>
          <w:lang w:bidi="en-US"/>
        </w:rPr>
      </w:pPr>
      <w:r>
        <w:rPr>
          <w:rFonts w:hint="eastAsia" w:ascii="方正小标宋简体" w:hAnsi="方正小标宋简体" w:eastAsia="方正小标宋简体" w:cs="方正小标宋简体"/>
          <w:b w:val="0"/>
          <w:bCs w:val="0"/>
          <w:color w:val="000000"/>
          <w:kern w:val="0"/>
          <w:sz w:val="44"/>
          <w:szCs w:val="44"/>
          <w:lang w:bidi="en-US"/>
        </w:rPr>
        <w:t>索引式披露参考格式</w:t>
      </w:r>
    </w:p>
    <w:p>
      <w:pPr>
        <w:topLinePunct/>
        <w:adjustRightInd/>
        <w:snapToGrid w:val="0"/>
        <w:spacing w:line="560" w:lineRule="exact"/>
        <w:jc w:val="both"/>
        <w:outlineLvl w:val="9"/>
        <w:rPr>
          <w:rFonts w:hint="eastAsia" w:ascii="仿宋" w:hAnsi="仿宋" w:eastAsia="仿宋" w:cs="仿宋"/>
          <w:b/>
          <w:bCs/>
          <w:color w:val="000000"/>
          <w:kern w:val="0"/>
          <w:sz w:val="32"/>
          <w:szCs w:val="32"/>
          <w:lang w:bidi="en-US"/>
        </w:rPr>
      </w:pP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contextualSpacing/>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□章节部分内容采用索引式披露</w:t>
      </w:r>
    </w:p>
    <w:p>
      <w:pPr>
        <w:widowControl/>
        <w:spacing w:line="560" w:lineRule="exact"/>
        <w:jc w:val="center"/>
        <w:rPr>
          <w:rFonts w:ascii="黑体" w:hAnsi="黑体" w:eastAsia="黑体"/>
          <w:b/>
          <w:sz w:val="44"/>
          <w:szCs w:val="44"/>
        </w:rPr>
      </w:pPr>
    </w:p>
    <w:p>
      <w:pPr>
        <w:widowControl/>
        <w:spacing w:line="560" w:lineRule="exact"/>
        <w:jc w:val="center"/>
        <w:rPr>
          <w:rFonts w:hint="eastAsia" w:ascii="黑体" w:hAnsi="黑体" w:eastAsia="黑体" w:cs="黑体"/>
          <w:b/>
          <w:bCs w:val="0"/>
          <w:sz w:val="36"/>
          <w:szCs w:val="36"/>
        </w:rPr>
      </w:pPr>
      <w:r>
        <w:rPr>
          <w:rFonts w:hint="eastAsia" w:ascii="黑体" w:hAnsi="黑体" w:eastAsia="黑体" w:cs="黑体"/>
          <w:b/>
          <w:bCs w:val="0"/>
          <w:sz w:val="36"/>
          <w:szCs w:val="36"/>
        </w:rPr>
        <w:t>第四节 发行人基本情况</w:t>
      </w:r>
    </w:p>
    <w:p>
      <w:pPr>
        <w:spacing w:line="600" w:lineRule="exact"/>
        <w:ind w:firstLine="602" w:firstLineChars="200"/>
        <w:contextualSpacing/>
        <w:rPr>
          <w:rFonts w:hint="eastAsia" w:ascii="仿宋_GB2312" w:eastAsia="仿宋_GB2312"/>
          <w:b/>
          <w:bCs/>
          <w:sz w:val="30"/>
          <w:szCs w:val="30"/>
        </w:rPr>
      </w:pPr>
    </w:p>
    <w:p>
      <w:pPr>
        <w:topLinePunct/>
        <w:snapToGrid w:val="0"/>
        <w:spacing w:line="560" w:lineRule="exact"/>
        <w:ind w:firstLine="643" w:firstLineChars="200"/>
        <w:contextualSpacing/>
        <w:rPr>
          <w:rFonts w:hint="eastAsia" w:ascii="仿宋" w:hAnsi="仿宋" w:eastAsia="仿宋" w:cs="仿宋"/>
          <w:b/>
          <w:bCs/>
          <w:sz w:val="32"/>
          <w:szCs w:val="32"/>
        </w:rPr>
      </w:pPr>
      <w:r>
        <w:rPr>
          <w:rFonts w:hint="eastAsia" w:ascii="仿宋" w:hAnsi="仿宋" w:eastAsia="仿宋" w:cs="仿宋"/>
          <w:b/>
          <w:bCs/>
          <w:sz w:val="32"/>
          <w:szCs w:val="32"/>
        </w:rPr>
        <w:t>一、本章信息披露概要</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sz w:val="32"/>
          <w:szCs w:val="32"/>
        </w:rPr>
      </w:pPr>
      <w:r>
        <w:rPr>
          <w:rFonts w:hint="eastAsia" w:ascii="仿宋" w:hAnsi="仿宋" w:eastAsia="仿宋" w:cs="仿宋"/>
          <w:bCs/>
          <w:sz w:val="32"/>
          <w:szCs w:val="32"/>
        </w:rPr>
        <w:t>本章节部分内容采用索引式披露，投资者可以访问募集说明书提供的索引式披露地址进行查询。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12" w:space="0"/>
              <w:left w:val="single" w:color="auto" w:sz="12" w:space="0"/>
            </w:tcBorders>
            <w:vAlign w:val="top"/>
          </w:tcPr>
          <w:p>
            <w:pPr>
              <w:spacing w:line="240" w:lineRule="auto"/>
              <w:contextualSpacing/>
              <w:jc w:val="center"/>
              <w:rPr>
                <w:rFonts w:hint="eastAsia" w:ascii="宋体" w:hAnsi="宋体" w:eastAsia="宋体" w:cs="宋体"/>
                <w:b/>
                <w:sz w:val="21"/>
                <w:szCs w:val="21"/>
              </w:rPr>
            </w:pPr>
            <w:r>
              <w:rPr>
                <w:rFonts w:hint="eastAsia" w:ascii="宋体" w:hAnsi="宋体" w:eastAsia="宋体" w:cs="宋体"/>
                <w:b/>
                <w:sz w:val="21"/>
                <w:szCs w:val="21"/>
              </w:rPr>
              <w:t>章节内容</w:t>
            </w:r>
          </w:p>
        </w:tc>
        <w:tc>
          <w:tcPr>
            <w:tcW w:w="2130" w:type="dxa"/>
            <w:tcBorders>
              <w:top w:val="single" w:color="auto" w:sz="12" w:space="0"/>
            </w:tcBorders>
            <w:vAlign w:val="top"/>
          </w:tcPr>
          <w:p>
            <w:pPr>
              <w:spacing w:line="240" w:lineRule="auto"/>
              <w:contextualSpacing/>
              <w:jc w:val="center"/>
              <w:rPr>
                <w:rFonts w:hint="eastAsia" w:ascii="宋体" w:hAnsi="宋体" w:eastAsia="宋体" w:cs="宋体"/>
                <w:b/>
                <w:sz w:val="21"/>
                <w:szCs w:val="21"/>
              </w:rPr>
            </w:pPr>
            <w:r>
              <w:rPr>
                <w:rFonts w:hint="eastAsia" w:ascii="宋体" w:hAnsi="宋体" w:eastAsia="宋体" w:cs="宋体"/>
                <w:b/>
                <w:sz w:val="21"/>
                <w:szCs w:val="21"/>
              </w:rPr>
              <w:t>披露方式</w:t>
            </w:r>
          </w:p>
        </w:tc>
        <w:tc>
          <w:tcPr>
            <w:tcW w:w="2130" w:type="dxa"/>
            <w:tcBorders>
              <w:top w:val="single" w:color="auto" w:sz="12" w:space="0"/>
            </w:tcBorders>
            <w:vAlign w:val="top"/>
          </w:tcPr>
          <w:p>
            <w:pPr>
              <w:spacing w:line="240" w:lineRule="auto"/>
              <w:contextualSpacing/>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披露平台</w:t>
            </w:r>
          </w:p>
        </w:tc>
        <w:tc>
          <w:tcPr>
            <w:tcW w:w="2130" w:type="dxa"/>
            <w:tcBorders>
              <w:top w:val="single" w:color="auto" w:sz="12" w:space="0"/>
              <w:right w:val="single" w:color="auto" w:sz="12" w:space="0"/>
            </w:tcBorders>
            <w:vAlign w:val="top"/>
          </w:tcPr>
          <w:p>
            <w:pPr>
              <w:spacing w:line="240" w:lineRule="auto"/>
              <w:contextualSpacing/>
              <w:jc w:val="center"/>
              <w:rPr>
                <w:rFonts w:hint="eastAsia" w:ascii="宋体" w:hAnsi="宋体" w:eastAsia="宋体" w:cs="宋体"/>
                <w:b/>
                <w:sz w:val="21"/>
                <w:szCs w:val="21"/>
              </w:rPr>
            </w:pPr>
            <w:r>
              <w:rPr>
                <w:rFonts w:hint="eastAsia" w:ascii="宋体" w:hAnsi="宋体" w:eastAsia="宋体" w:cs="宋体"/>
                <w:b/>
                <w:sz w:val="21"/>
                <w:szCs w:val="21"/>
              </w:rPr>
              <w:t>查询地址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lef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Cs w:val="21"/>
              </w:rPr>
              <w:t>发行人概况</w:t>
            </w:r>
            <w:r>
              <w:rPr>
                <w:rFonts w:hint="eastAsia" w:ascii="宋体" w:hAnsi="宋体" w:eastAsia="宋体" w:cs="宋体"/>
                <w:bCs/>
                <w:i/>
                <w:sz w:val="21"/>
                <w:szCs w:val="21"/>
              </w:rPr>
              <w:t>（示例）</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索引式披露</w:t>
            </w:r>
          </w:p>
        </w:tc>
        <w:tc>
          <w:tcPr>
            <w:tcW w:w="2130" w:type="dxa"/>
            <w:vAlign w:val="top"/>
          </w:tcPr>
          <w:p>
            <w:pPr>
              <w:spacing w:line="240" w:lineRule="auto"/>
              <w:contextualSpacing/>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XX平台</w:t>
            </w:r>
          </w:p>
        </w:tc>
        <w:tc>
          <w:tcPr>
            <w:tcW w:w="2130" w:type="dxa"/>
            <w:tcBorders>
              <w:righ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lef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发行人历史沿革</w:t>
            </w:r>
            <w:r>
              <w:rPr>
                <w:rFonts w:hint="eastAsia" w:ascii="宋体" w:hAnsi="宋体" w:eastAsia="宋体" w:cs="宋体"/>
                <w:bCs/>
                <w:i/>
                <w:sz w:val="21"/>
                <w:szCs w:val="21"/>
              </w:rPr>
              <w:t>（示例）</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索引式披露</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lang w:val="en-US" w:eastAsia="zh-CN"/>
              </w:rPr>
              <w:t>XX平台</w:t>
            </w:r>
          </w:p>
        </w:tc>
        <w:tc>
          <w:tcPr>
            <w:tcW w:w="2130" w:type="dxa"/>
            <w:tcBorders>
              <w:righ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lef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发行人股权结构</w:t>
            </w:r>
            <w:r>
              <w:rPr>
                <w:rFonts w:hint="eastAsia" w:ascii="宋体" w:hAnsi="宋体" w:eastAsia="宋体" w:cs="宋体"/>
                <w:bCs/>
                <w:i/>
                <w:sz w:val="21"/>
                <w:szCs w:val="21"/>
              </w:rPr>
              <w:t>（示例）</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索引式披露</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lang w:val="en-US" w:eastAsia="zh-CN"/>
              </w:rPr>
              <w:t>XX平台</w:t>
            </w:r>
          </w:p>
        </w:tc>
        <w:tc>
          <w:tcPr>
            <w:tcW w:w="2130" w:type="dxa"/>
            <w:tcBorders>
              <w:righ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lef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发行人权益投资情况</w:t>
            </w:r>
            <w:r>
              <w:rPr>
                <w:rFonts w:hint="eastAsia" w:ascii="宋体" w:hAnsi="宋体" w:eastAsia="宋体" w:cs="宋体"/>
                <w:bCs/>
                <w:i/>
                <w:sz w:val="21"/>
                <w:szCs w:val="21"/>
              </w:rPr>
              <w:t>（示例）</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索引式披露</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lang w:val="en-US" w:eastAsia="zh-CN"/>
              </w:rPr>
              <w:t>XX平台</w:t>
            </w:r>
          </w:p>
        </w:tc>
        <w:tc>
          <w:tcPr>
            <w:tcW w:w="2130" w:type="dxa"/>
            <w:tcBorders>
              <w:righ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lef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kern w:val="2"/>
                <w:sz w:val="21"/>
                <w:szCs w:val="21"/>
              </w:rPr>
              <w:t>发行人的治理结构及独立性</w:t>
            </w:r>
            <w:r>
              <w:rPr>
                <w:rFonts w:hint="eastAsia" w:ascii="宋体" w:hAnsi="宋体" w:eastAsia="宋体" w:cs="宋体"/>
                <w:bCs/>
                <w:i/>
                <w:sz w:val="21"/>
                <w:szCs w:val="21"/>
              </w:rPr>
              <w:t>（示例）</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索引式披露</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lang w:val="en-US" w:eastAsia="zh-CN"/>
              </w:rPr>
              <w:t>XX平台</w:t>
            </w:r>
          </w:p>
        </w:tc>
        <w:tc>
          <w:tcPr>
            <w:tcW w:w="2130" w:type="dxa"/>
            <w:tcBorders>
              <w:righ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lef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Cs w:val="21"/>
              </w:rPr>
              <w:t>现任董事、监事和高级管理人员的基本情况</w:t>
            </w:r>
            <w:r>
              <w:rPr>
                <w:rFonts w:hint="eastAsia" w:ascii="宋体" w:hAnsi="宋体" w:eastAsia="宋体" w:cs="宋体"/>
                <w:bCs/>
                <w:i/>
                <w:sz w:val="21"/>
                <w:szCs w:val="21"/>
              </w:rPr>
              <w:t>（示例）</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一般披露</w:t>
            </w:r>
          </w:p>
        </w:tc>
        <w:tc>
          <w:tcPr>
            <w:tcW w:w="2130" w:type="dxa"/>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lang w:val="en-US" w:eastAsia="zh-CN"/>
              </w:rPr>
              <w:t>XX平台</w:t>
            </w:r>
          </w:p>
        </w:tc>
        <w:tc>
          <w:tcPr>
            <w:tcW w:w="2130" w:type="dxa"/>
            <w:tcBorders>
              <w:righ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left w:val="single" w:color="auto" w:sz="12" w:space="0"/>
            </w:tcBorders>
            <w:vAlign w:val="top"/>
          </w:tcPr>
          <w:p>
            <w:pPr>
              <w:spacing w:line="240" w:lineRule="auto"/>
              <w:contextualSpacing/>
              <w:rPr>
                <w:rFonts w:hint="eastAsia" w:ascii="宋体" w:hAnsi="宋体" w:eastAsia="宋体" w:cs="宋体"/>
                <w:bCs/>
                <w:sz w:val="21"/>
                <w:szCs w:val="21"/>
              </w:rPr>
            </w:pPr>
            <w:r>
              <w:rPr>
                <w:rFonts w:hint="eastAsia" w:ascii="宋体" w:hAnsi="宋体" w:eastAsia="宋体" w:cs="宋体"/>
                <w:bCs/>
                <w:sz w:val="21"/>
                <w:szCs w:val="21"/>
              </w:rPr>
              <w:t>……</w:t>
            </w:r>
          </w:p>
        </w:tc>
        <w:tc>
          <w:tcPr>
            <w:tcW w:w="2130" w:type="dxa"/>
            <w:vAlign w:val="top"/>
          </w:tcPr>
          <w:p>
            <w:pPr>
              <w:spacing w:line="240" w:lineRule="auto"/>
              <w:contextualSpacing/>
              <w:rPr>
                <w:rFonts w:hint="eastAsia" w:ascii="宋体" w:hAnsi="宋体" w:eastAsia="宋体" w:cs="宋体"/>
                <w:bCs/>
                <w:sz w:val="21"/>
                <w:szCs w:val="21"/>
              </w:rPr>
            </w:pPr>
          </w:p>
        </w:tc>
        <w:tc>
          <w:tcPr>
            <w:tcW w:w="2130" w:type="dxa"/>
            <w:vAlign w:val="top"/>
          </w:tcPr>
          <w:p>
            <w:pPr>
              <w:spacing w:line="240" w:lineRule="auto"/>
              <w:contextualSpacing/>
              <w:rPr>
                <w:rFonts w:hint="eastAsia" w:ascii="宋体" w:hAnsi="宋体" w:eastAsia="宋体" w:cs="宋体"/>
                <w:bCs/>
                <w:sz w:val="21"/>
                <w:szCs w:val="21"/>
              </w:rPr>
            </w:pPr>
          </w:p>
        </w:tc>
        <w:tc>
          <w:tcPr>
            <w:tcW w:w="2130" w:type="dxa"/>
            <w:tcBorders>
              <w:right w:val="single" w:color="auto" w:sz="12" w:space="0"/>
            </w:tcBorders>
            <w:vAlign w:val="top"/>
          </w:tcPr>
          <w:p>
            <w:pPr>
              <w:spacing w:line="240" w:lineRule="auto"/>
              <w:contextualSpacing/>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left w:val="single" w:color="auto" w:sz="12" w:space="0"/>
              <w:bottom w:val="single" w:color="auto" w:sz="12" w:space="0"/>
            </w:tcBorders>
            <w:vAlign w:val="top"/>
          </w:tcPr>
          <w:p>
            <w:pPr>
              <w:spacing w:line="240" w:lineRule="auto"/>
              <w:contextualSpacing/>
              <w:rPr>
                <w:rFonts w:hint="eastAsia" w:ascii="宋体" w:hAnsi="宋体" w:eastAsia="宋体" w:cs="宋体"/>
                <w:bCs/>
                <w:sz w:val="21"/>
                <w:szCs w:val="21"/>
              </w:rPr>
            </w:pPr>
          </w:p>
        </w:tc>
        <w:tc>
          <w:tcPr>
            <w:tcW w:w="2130" w:type="dxa"/>
            <w:tcBorders>
              <w:bottom w:val="single" w:color="auto" w:sz="12" w:space="0"/>
            </w:tcBorders>
            <w:vAlign w:val="top"/>
          </w:tcPr>
          <w:p>
            <w:pPr>
              <w:spacing w:line="240" w:lineRule="auto"/>
              <w:contextualSpacing/>
              <w:rPr>
                <w:rFonts w:hint="eastAsia" w:ascii="宋体" w:hAnsi="宋体" w:eastAsia="宋体" w:cs="宋体"/>
                <w:bCs/>
                <w:sz w:val="21"/>
                <w:szCs w:val="21"/>
              </w:rPr>
            </w:pPr>
          </w:p>
        </w:tc>
        <w:tc>
          <w:tcPr>
            <w:tcW w:w="2130" w:type="dxa"/>
            <w:tcBorders>
              <w:bottom w:val="single" w:color="auto" w:sz="12" w:space="0"/>
            </w:tcBorders>
            <w:vAlign w:val="top"/>
          </w:tcPr>
          <w:p>
            <w:pPr>
              <w:spacing w:line="240" w:lineRule="auto"/>
              <w:contextualSpacing/>
              <w:rPr>
                <w:rFonts w:hint="eastAsia" w:ascii="宋体" w:hAnsi="宋体" w:eastAsia="宋体" w:cs="宋体"/>
                <w:bCs/>
                <w:sz w:val="21"/>
                <w:szCs w:val="21"/>
              </w:rPr>
            </w:pPr>
          </w:p>
        </w:tc>
        <w:tc>
          <w:tcPr>
            <w:tcW w:w="2130" w:type="dxa"/>
            <w:tcBorders>
              <w:bottom w:val="single" w:color="auto" w:sz="12" w:space="0"/>
              <w:right w:val="single" w:color="auto" w:sz="12" w:space="0"/>
            </w:tcBorders>
            <w:vAlign w:val="top"/>
          </w:tcPr>
          <w:p>
            <w:pPr>
              <w:spacing w:line="240" w:lineRule="auto"/>
              <w:contextualSpacing/>
              <w:rPr>
                <w:rFonts w:hint="eastAsia" w:ascii="宋体" w:hAnsi="宋体" w:eastAsia="宋体" w:cs="宋体"/>
                <w:bCs/>
                <w:sz w:val="21"/>
                <w:szCs w:val="21"/>
              </w:rPr>
            </w:pPr>
          </w:p>
        </w:tc>
      </w:tr>
    </w:tbl>
    <w:p>
      <w:pPr>
        <w:topLinePunct/>
        <w:snapToGrid w:val="0"/>
        <w:spacing w:line="560" w:lineRule="exact"/>
        <w:ind w:firstLine="643" w:firstLineChars="200"/>
        <w:contextualSpacing/>
        <w:rPr>
          <w:rFonts w:hint="eastAsia" w:ascii="仿宋" w:hAnsi="仿宋" w:eastAsia="仿宋" w:cs="仿宋"/>
          <w:b/>
          <w:bCs/>
          <w:sz w:val="32"/>
          <w:szCs w:val="32"/>
        </w:rPr>
      </w:pPr>
      <w:r>
        <w:rPr>
          <w:rFonts w:hint="eastAsia" w:ascii="仿宋" w:hAnsi="仿宋" w:eastAsia="仿宋" w:cs="仿宋"/>
          <w:b/>
          <w:bCs/>
          <w:sz w:val="32"/>
          <w:szCs w:val="32"/>
        </w:rPr>
        <w:t>二、现任董事、监事和高级管理人员的基本情况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截至报告期末，发行人董监高情况如下：</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958"/>
        <w:gridCol w:w="967"/>
        <w:gridCol w:w="2123"/>
        <w:gridCol w:w="1792"/>
        <w:gridCol w:w="1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44" w:type="pct"/>
            <w:vAlign w:val="center"/>
          </w:tcPr>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562" w:type="pct"/>
            <w:vAlign w:val="center"/>
          </w:tcPr>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现任</w:t>
            </w:r>
          </w:p>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职务</w:t>
            </w:r>
          </w:p>
        </w:tc>
        <w:tc>
          <w:tcPr>
            <w:tcW w:w="567" w:type="pct"/>
            <w:vAlign w:val="center"/>
          </w:tcPr>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任期</w:t>
            </w:r>
          </w:p>
          <w:p>
            <w:pPr>
              <w:adjustRightInd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(如有)</w:t>
            </w:r>
          </w:p>
        </w:tc>
        <w:tc>
          <w:tcPr>
            <w:tcW w:w="1245" w:type="pct"/>
            <w:vAlign w:val="center"/>
          </w:tcPr>
          <w:p>
            <w:pPr>
              <w:adjustRightInd w:val="0"/>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设置是否符合《公司法》等相关法律法规及公司章程相关要求</w:t>
            </w:r>
          </w:p>
        </w:tc>
        <w:tc>
          <w:tcPr>
            <w:tcW w:w="1051" w:type="pct"/>
            <w:vAlign w:val="center"/>
          </w:tcPr>
          <w:p>
            <w:pPr>
              <w:adjustRightInd w:val="0"/>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是否存在重大违纪违法情况</w:t>
            </w:r>
          </w:p>
        </w:tc>
        <w:tc>
          <w:tcPr>
            <w:tcW w:w="1028" w:type="pct"/>
            <w:vAlign w:val="center"/>
          </w:tcPr>
          <w:p>
            <w:pPr>
              <w:adjustRightInd w:val="0"/>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其他（如需）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 w:type="pct"/>
            <w:vAlign w:val="center"/>
          </w:tcPr>
          <w:p>
            <w:pPr>
              <w:adjustRightInd w:val="0"/>
              <w:snapToGrid w:val="0"/>
              <w:spacing w:line="240" w:lineRule="auto"/>
              <w:jc w:val="center"/>
              <w:rPr>
                <w:rFonts w:hint="eastAsia" w:ascii="宋体" w:hAnsi="宋体" w:eastAsia="宋体" w:cs="宋体"/>
                <w:bCs/>
                <w:sz w:val="21"/>
                <w:szCs w:val="21"/>
              </w:rPr>
            </w:pPr>
          </w:p>
        </w:tc>
        <w:tc>
          <w:tcPr>
            <w:tcW w:w="562" w:type="pct"/>
            <w:vAlign w:val="center"/>
          </w:tcPr>
          <w:p>
            <w:pPr>
              <w:adjustRightInd w:val="0"/>
              <w:snapToGrid w:val="0"/>
              <w:spacing w:line="240" w:lineRule="auto"/>
              <w:jc w:val="center"/>
              <w:rPr>
                <w:rFonts w:hint="eastAsia" w:ascii="宋体" w:hAnsi="宋体" w:eastAsia="宋体" w:cs="宋体"/>
                <w:bCs/>
                <w:sz w:val="21"/>
                <w:szCs w:val="21"/>
              </w:rPr>
            </w:pPr>
          </w:p>
        </w:tc>
        <w:tc>
          <w:tcPr>
            <w:tcW w:w="567" w:type="pct"/>
            <w:vAlign w:val="center"/>
          </w:tcPr>
          <w:p>
            <w:pPr>
              <w:adjustRightInd w:val="0"/>
              <w:snapToGrid w:val="0"/>
              <w:spacing w:line="240" w:lineRule="auto"/>
              <w:jc w:val="center"/>
              <w:rPr>
                <w:rFonts w:hint="eastAsia" w:ascii="宋体" w:hAnsi="宋体" w:eastAsia="宋体" w:cs="宋体"/>
                <w:bCs/>
                <w:sz w:val="21"/>
                <w:szCs w:val="21"/>
              </w:rPr>
            </w:pPr>
          </w:p>
        </w:tc>
        <w:tc>
          <w:tcPr>
            <w:tcW w:w="1245" w:type="pct"/>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是/否</w:t>
            </w:r>
          </w:p>
        </w:tc>
        <w:tc>
          <w:tcPr>
            <w:tcW w:w="1051" w:type="pct"/>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是/否</w:t>
            </w:r>
          </w:p>
        </w:tc>
        <w:tc>
          <w:tcPr>
            <w:tcW w:w="1028" w:type="pct"/>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（简述概况）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 w:type="pct"/>
            <w:vAlign w:val="center"/>
          </w:tcPr>
          <w:p>
            <w:pPr>
              <w:adjustRightInd w:val="0"/>
              <w:snapToGrid w:val="0"/>
              <w:spacing w:line="240" w:lineRule="auto"/>
              <w:jc w:val="center"/>
              <w:rPr>
                <w:rFonts w:hint="eastAsia" w:ascii="宋体" w:hAnsi="宋体" w:eastAsia="宋体" w:cs="宋体"/>
                <w:bCs/>
                <w:sz w:val="21"/>
                <w:szCs w:val="21"/>
              </w:rPr>
            </w:pPr>
          </w:p>
        </w:tc>
        <w:tc>
          <w:tcPr>
            <w:tcW w:w="562" w:type="pct"/>
            <w:vAlign w:val="center"/>
          </w:tcPr>
          <w:p>
            <w:pPr>
              <w:adjustRightInd w:val="0"/>
              <w:snapToGrid w:val="0"/>
              <w:spacing w:line="240" w:lineRule="auto"/>
              <w:jc w:val="center"/>
              <w:rPr>
                <w:rFonts w:hint="eastAsia" w:ascii="宋体" w:hAnsi="宋体" w:eastAsia="宋体" w:cs="宋体"/>
                <w:bCs/>
                <w:sz w:val="21"/>
                <w:szCs w:val="21"/>
              </w:rPr>
            </w:pPr>
          </w:p>
        </w:tc>
        <w:tc>
          <w:tcPr>
            <w:tcW w:w="567" w:type="pct"/>
            <w:vAlign w:val="center"/>
          </w:tcPr>
          <w:p>
            <w:pPr>
              <w:adjustRightInd w:val="0"/>
              <w:snapToGrid w:val="0"/>
              <w:spacing w:line="240" w:lineRule="auto"/>
              <w:jc w:val="center"/>
              <w:rPr>
                <w:rFonts w:hint="eastAsia" w:ascii="宋体" w:hAnsi="宋体" w:eastAsia="宋体" w:cs="宋体"/>
                <w:bCs/>
                <w:sz w:val="21"/>
                <w:szCs w:val="21"/>
              </w:rPr>
            </w:pPr>
          </w:p>
        </w:tc>
        <w:tc>
          <w:tcPr>
            <w:tcW w:w="1245" w:type="pct"/>
            <w:vAlign w:val="center"/>
          </w:tcPr>
          <w:p>
            <w:pPr>
              <w:adjustRightInd w:val="0"/>
              <w:snapToGrid w:val="0"/>
              <w:spacing w:line="240" w:lineRule="auto"/>
              <w:jc w:val="center"/>
              <w:rPr>
                <w:rFonts w:hint="eastAsia" w:ascii="宋体" w:hAnsi="宋体" w:eastAsia="宋体" w:cs="宋体"/>
                <w:sz w:val="21"/>
                <w:szCs w:val="21"/>
              </w:rPr>
            </w:pPr>
          </w:p>
        </w:tc>
        <w:tc>
          <w:tcPr>
            <w:tcW w:w="1051" w:type="pct"/>
            <w:vAlign w:val="center"/>
          </w:tcPr>
          <w:p>
            <w:pPr>
              <w:adjustRightInd w:val="0"/>
              <w:snapToGrid w:val="0"/>
              <w:spacing w:line="240" w:lineRule="auto"/>
              <w:jc w:val="center"/>
              <w:rPr>
                <w:rFonts w:hint="eastAsia" w:ascii="宋体" w:hAnsi="宋体" w:eastAsia="宋体" w:cs="宋体"/>
                <w:sz w:val="21"/>
                <w:szCs w:val="21"/>
              </w:rPr>
            </w:pPr>
          </w:p>
        </w:tc>
        <w:tc>
          <w:tcPr>
            <w:tcW w:w="1028" w:type="pct"/>
            <w:vAlign w:val="center"/>
          </w:tcPr>
          <w:p>
            <w:pPr>
              <w:adjustRightInd w:val="0"/>
              <w:snapToGrid w:val="0"/>
              <w:spacing w:line="240" w:lineRule="auto"/>
              <w:jc w:val="center"/>
              <w:rPr>
                <w:rFonts w:hint="eastAsia" w:ascii="宋体" w:hAnsi="宋体" w:eastAsia="宋体" w:cs="宋体"/>
                <w:sz w:val="21"/>
                <w:szCs w:val="21"/>
              </w:rPr>
            </w:pPr>
          </w:p>
        </w:tc>
      </w:tr>
    </w:tbl>
    <w:p>
      <w:pPr>
        <w:topLinePunct/>
        <w:snapToGrid w:val="0"/>
        <w:spacing w:line="560" w:lineRule="exact"/>
        <w:ind w:firstLine="640" w:firstLineChars="200"/>
        <w:contextualSpacing/>
        <w:rPr>
          <w:rFonts w:hint="eastAsia"/>
        </w:rPr>
      </w:pPr>
      <w:r>
        <w:rPr>
          <w:rFonts w:hint="eastAsia" w:ascii="仿宋" w:hAnsi="仿宋" w:eastAsia="仿宋" w:cs="仿宋"/>
          <w:bCs/>
          <w:color w:val="000000" w:themeColor="text1"/>
          <w:sz w:val="32"/>
          <w:szCs w:val="32"/>
          <w14:textFill>
            <w14:solidFill>
              <w14:schemeClr w14:val="tx1"/>
            </w14:solidFill>
          </w14:textFill>
        </w:rPr>
        <w:t>□【相关人员设置存在不符合上述相关要求或存在重大违纪违法情形的】具体情况、原因及对发行人经营情况和偿债能力的影响如下：</w:t>
      </w:r>
    </w:p>
    <w:p>
      <w:pPr>
        <w:spacing w:line="600" w:lineRule="exact"/>
        <w:ind w:firstLine="600" w:firstLineChars="200"/>
        <w:contextualSpacing/>
        <w:rPr>
          <w:rFonts w:ascii="仿宋_GB2312" w:hAnsi="仿宋" w:eastAsia="仿宋_GB2312" w:cs="Times New Roman"/>
          <w:bCs/>
          <w:sz w:val="30"/>
          <w:szCs w:val="30"/>
        </w:rPr>
      </w:pPr>
    </w:p>
    <w:p>
      <w:pPr>
        <w:spacing w:line="600" w:lineRule="exact"/>
        <w:ind w:firstLine="643" w:firstLineChars="200"/>
        <w:contextualSpacing/>
        <w:rPr>
          <w:rFonts w:hint="eastAsia" w:ascii="仿宋" w:hAnsi="仿宋" w:eastAsia="仿宋" w:cs="仿宋"/>
          <w:b/>
          <w:bCs/>
          <w:sz w:val="32"/>
          <w:szCs w:val="32"/>
        </w:rPr>
      </w:pPr>
      <w:r>
        <w:rPr>
          <w:rFonts w:hint="eastAsia" w:ascii="仿宋" w:hAnsi="仿宋" w:eastAsia="仿宋" w:cs="仿宋"/>
          <w:b/>
          <w:bCs/>
          <w:sz w:val="32"/>
          <w:szCs w:val="32"/>
        </w:rPr>
        <w:t>□章节内容全部采用索引式披露</w:t>
      </w:r>
    </w:p>
    <w:p>
      <w:pPr>
        <w:widowControl/>
        <w:spacing w:line="560" w:lineRule="exact"/>
        <w:jc w:val="center"/>
        <w:rPr>
          <w:rFonts w:ascii="黑体" w:hAnsi="黑体" w:eastAsia="黑体"/>
          <w:b/>
          <w:sz w:val="44"/>
          <w:szCs w:val="44"/>
        </w:rPr>
      </w:pPr>
    </w:p>
    <w:p>
      <w:pPr>
        <w:widowControl/>
        <w:spacing w:line="560" w:lineRule="exact"/>
        <w:jc w:val="center"/>
        <w:rPr>
          <w:rFonts w:hint="eastAsia" w:ascii="黑体" w:hAnsi="黑体" w:eastAsia="黑体" w:cs="黑体"/>
          <w:b/>
          <w:bCs w:val="0"/>
          <w:sz w:val="36"/>
          <w:szCs w:val="36"/>
        </w:rPr>
      </w:pPr>
      <w:r>
        <w:rPr>
          <w:rFonts w:hint="eastAsia" w:ascii="黑体" w:hAnsi="黑体" w:eastAsia="黑体" w:cs="黑体"/>
          <w:b/>
          <w:bCs w:val="0"/>
          <w:sz w:val="36"/>
          <w:szCs w:val="36"/>
        </w:rPr>
        <w:t>第四节 发行人基本情况</w:t>
      </w:r>
    </w:p>
    <w:p>
      <w:pPr>
        <w:spacing w:line="600" w:lineRule="exact"/>
        <w:ind w:firstLine="602" w:firstLineChars="200"/>
        <w:contextualSpacing/>
        <w:rPr>
          <w:rFonts w:ascii="仿宋_GB2312" w:hAnsi="仿宋" w:eastAsia="仿宋_GB2312" w:cs="Times New Roman"/>
          <w:b/>
          <w:bCs/>
          <w:sz w:val="30"/>
          <w:szCs w:val="30"/>
        </w:rPr>
      </w:pP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contextualSpacing/>
        <w:jc w:val="both"/>
        <w:textAlignment w:val="auto"/>
        <w:rPr>
          <w:rFonts w:hint="eastAsia" w:ascii="仿宋" w:hAnsi="仿宋" w:eastAsia="仿宋" w:cs="仿宋"/>
          <w:bCs/>
          <w:sz w:val="32"/>
          <w:szCs w:val="32"/>
        </w:rPr>
      </w:pPr>
      <w:r>
        <w:rPr>
          <w:rFonts w:hint="eastAsia" w:ascii="仿宋" w:hAnsi="仿宋" w:eastAsia="仿宋" w:cs="仿宋"/>
          <w:bCs/>
          <w:sz w:val="32"/>
          <w:szCs w:val="32"/>
        </w:rPr>
        <w:t>本章节内容采用索引式披露，投资者可以访问</w:t>
      </w:r>
      <w:r>
        <w:rPr>
          <w:rFonts w:hint="eastAsia" w:ascii="仿宋" w:hAnsi="仿宋" w:eastAsia="仿宋" w:cs="仿宋"/>
          <w:bCs/>
          <w:sz w:val="32"/>
          <w:szCs w:val="32"/>
          <w:lang w:val="en-US" w:eastAsia="zh-CN"/>
        </w:rPr>
        <w:t>XX平台</w:t>
      </w:r>
      <w:r>
        <w:rPr>
          <w:rFonts w:hint="eastAsia" w:ascii="仿宋" w:hAnsi="仿宋" w:eastAsia="仿宋" w:cs="仿宋"/>
          <w:bCs/>
          <w:sz w:val="32"/>
          <w:szCs w:val="32"/>
        </w:rPr>
        <w:t>XX网址进行查询。</w:t>
      </w:r>
    </w:p>
    <w:p>
      <w:pPr>
        <w:spacing w:line="600" w:lineRule="exact"/>
        <w:ind w:firstLine="600" w:firstLineChars="200"/>
        <w:contextualSpacing/>
        <w:rPr>
          <w:rFonts w:ascii="仿宋_GB2312" w:hAnsi="仿宋" w:eastAsia="仿宋_GB2312" w:cs="Times New Roman"/>
          <w:bCs/>
          <w:sz w:val="30"/>
          <w:szCs w:val="30"/>
        </w:rPr>
      </w:pPr>
    </w:p>
    <w:p>
      <w:pPr>
        <w:keepNext w:val="0"/>
        <w:keepLines w:val="0"/>
        <w:pageBreakBefore w:val="0"/>
        <w:widowControl w:val="0"/>
        <w:kinsoku/>
        <w:wordWrap/>
        <w:overflowPunct/>
        <w:topLinePunct/>
        <w:autoSpaceDE/>
        <w:autoSpaceDN/>
        <w:bidi w:val="0"/>
        <w:adjustRightInd/>
        <w:snapToGrid w:val="0"/>
        <w:spacing w:line="560" w:lineRule="exact"/>
        <w:ind w:firstLine="643" w:firstLineChars="200"/>
        <w:contextualSpacing/>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□定期报告中采用索引式披露</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优质发行人定期报告中发行人经营情况、评级调整情况、合并报表范围重大变化情况,采用索引式披露，投资者可以访问</w:t>
      </w:r>
      <w:r>
        <w:rPr>
          <w:rFonts w:hint="eastAsia" w:ascii="仿宋" w:hAnsi="仿宋" w:eastAsia="仿宋" w:cs="仿宋"/>
          <w:b w:val="0"/>
          <w:bCs w:val="0"/>
          <w:sz w:val="32"/>
          <w:szCs w:val="32"/>
          <w:lang w:val="en-US" w:eastAsia="zh-CN"/>
        </w:rPr>
        <w:t>XX平台</w:t>
      </w:r>
      <w:r>
        <w:rPr>
          <w:rFonts w:hint="eastAsia" w:ascii="仿宋" w:hAnsi="仿宋" w:eastAsia="仿宋" w:cs="仿宋"/>
          <w:b w:val="0"/>
          <w:bCs w:val="0"/>
          <w:sz w:val="32"/>
          <w:szCs w:val="32"/>
        </w:rPr>
        <w:t>XX网址进行查询。</w:t>
      </w:r>
    </w:p>
    <w:p>
      <w:pPr>
        <w:adjustRightInd w:val="0"/>
        <w:snapToGrid w:val="0"/>
        <w:spacing w:line="560" w:lineRule="exact"/>
        <w:ind w:firstLine="0" w:firstLineChars="0"/>
        <w:jc w:val="left"/>
        <w:outlineLvl w:val="0"/>
        <w:rPr>
          <w:rFonts w:hint="eastAsia" w:ascii="仿宋_GB2312" w:hAnsi="Times New Roman" w:eastAsia="仿宋_GB2312"/>
          <w:b/>
          <w:bCs/>
          <w:color w:val="000000"/>
          <w:kern w:val="0"/>
          <w:sz w:val="32"/>
          <w:szCs w:val="30"/>
          <w:lang w:bidi="en-US"/>
        </w:rPr>
      </w:pPr>
      <w:r>
        <w:rPr>
          <w:rFonts w:ascii="仿宋_GB2312" w:hAnsi="仿宋" w:eastAsia="仿宋_GB2312" w:cs="Times New Roman"/>
          <w:bCs/>
          <w:sz w:val="30"/>
          <w:szCs w:val="30"/>
        </w:rPr>
        <w:br w:type="page"/>
      </w:r>
      <w:r>
        <w:rPr>
          <w:rFonts w:hint="eastAsia" w:ascii="黑体" w:hAnsi="黑体" w:eastAsia="黑体" w:cs="黑体"/>
          <w:b w:val="0"/>
          <w:bCs w:val="0"/>
          <w:color w:val="000000"/>
          <w:kern w:val="0"/>
          <w:sz w:val="32"/>
          <w:szCs w:val="30"/>
          <w:lang w:bidi="en-US"/>
        </w:rPr>
        <w:t>附件</w:t>
      </w:r>
      <w:r>
        <w:rPr>
          <w:rFonts w:hint="eastAsia" w:ascii="黑体" w:hAnsi="黑体" w:eastAsia="黑体" w:cs="黑体"/>
          <w:b w:val="0"/>
          <w:bCs w:val="0"/>
          <w:color w:val="000000"/>
          <w:kern w:val="0"/>
          <w:sz w:val="32"/>
          <w:szCs w:val="30"/>
          <w:lang w:val="en-US" w:eastAsia="zh-CN" w:bidi="en-US"/>
        </w:rPr>
        <w:t>6</w:t>
      </w:r>
    </w:p>
    <w:p>
      <w:pPr>
        <w:topLinePunct/>
        <w:adjustRightInd/>
        <w:snapToGrid w:val="0"/>
        <w:spacing w:line="560" w:lineRule="exact"/>
        <w:ind w:firstLine="643" w:firstLineChars="200"/>
        <w:jc w:val="both"/>
        <w:outlineLvl w:val="9"/>
        <w:rPr>
          <w:rFonts w:hint="eastAsia" w:ascii="仿宋" w:hAnsi="仿宋" w:eastAsia="仿宋" w:cs="仿宋"/>
          <w:b/>
          <w:bCs/>
          <w:color w:val="000000"/>
          <w:kern w:val="0"/>
          <w:sz w:val="32"/>
          <w:szCs w:val="32"/>
          <w:lang w:bidi="en-US"/>
        </w:rPr>
      </w:pPr>
    </w:p>
    <w:p>
      <w:pPr>
        <w:adjustRightInd w:val="0"/>
        <w:snapToGrid w:val="0"/>
        <w:spacing w:line="560" w:lineRule="exact"/>
        <w:ind w:firstLine="0" w:firstLineChars="0"/>
        <w:jc w:val="center"/>
        <w:outlineLvl w:val="9"/>
        <w:rPr>
          <w:rFonts w:hint="eastAsia" w:ascii="方正小标宋简体" w:hAnsi="方正小标宋简体" w:eastAsia="方正小标宋简体" w:cs="方正小标宋简体"/>
          <w:b w:val="0"/>
          <w:bCs w:val="0"/>
          <w:color w:val="000000"/>
          <w:kern w:val="0"/>
          <w:sz w:val="44"/>
          <w:szCs w:val="44"/>
          <w:lang w:bidi="en-US"/>
        </w:rPr>
      </w:pPr>
      <w:r>
        <w:rPr>
          <w:rFonts w:hint="eastAsia" w:ascii="方正小标宋简体" w:hAnsi="方正小标宋简体" w:eastAsia="方正小标宋简体" w:cs="方正小标宋简体"/>
          <w:b w:val="0"/>
          <w:bCs w:val="0"/>
          <w:color w:val="000000"/>
          <w:kern w:val="0"/>
          <w:sz w:val="44"/>
          <w:szCs w:val="44"/>
          <w:lang w:bidi="en-US"/>
        </w:rPr>
        <w:t>公司债券存续期监管简化安排涉及规则</w:t>
      </w:r>
    </w:p>
    <w:p>
      <w:pPr>
        <w:topLinePunct/>
        <w:adjustRightInd/>
        <w:snapToGrid w:val="0"/>
        <w:spacing w:line="560" w:lineRule="exact"/>
        <w:ind w:firstLine="0" w:firstLineChars="0"/>
        <w:jc w:val="both"/>
        <w:outlineLvl w:val="9"/>
        <w:rPr>
          <w:rFonts w:hint="eastAsia" w:ascii="仿宋" w:hAnsi="仿宋" w:eastAsia="仿宋" w:cs="仿宋"/>
          <w:b w:val="0"/>
          <w:bCs w:val="0"/>
          <w:color w:val="000000"/>
          <w:kern w:val="0"/>
          <w:sz w:val="32"/>
          <w:szCs w:val="32"/>
          <w:lang w:bidi="en-US"/>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180"/>
        <w:gridCol w:w="55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747" w:type="dxa"/>
            <w:vAlign w:val="center"/>
          </w:tcPr>
          <w:p>
            <w:pPr>
              <w:adjustRightInd w:val="0"/>
              <w:snapToGrid w:val="0"/>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简化安排</w:t>
            </w:r>
          </w:p>
        </w:tc>
        <w:tc>
          <w:tcPr>
            <w:tcW w:w="2180" w:type="dxa"/>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bCs/>
                <w:color w:val="000000"/>
                <w:kern w:val="0"/>
                <w:sz w:val="21"/>
                <w:szCs w:val="21"/>
              </w:rPr>
              <w:t>规则及条款号</w:t>
            </w:r>
          </w:p>
        </w:tc>
        <w:tc>
          <w:tcPr>
            <w:tcW w:w="5595" w:type="dxa"/>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bCs/>
                <w:color w:val="000000"/>
                <w:kern w:val="0"/>
                <w:sz w:val="21"/>
                <w:szCs w:val="21"/>
              </w:rPr>
              <w:t>规则具体要求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restar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索引式披露</w:t>
            </w: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深圳证券交易所公司债券存续期监管业务指引第1号——定期报告（2023年10月修订）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以下简称《定期报告指引》）第二十七条</w:t>
            </w:r>
          </w:p>
        </w:tc>
        <w:tc>
          <w:tcPr>
            <w:tcW w:w="5595"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发行人应当披露报告期内发行人合并报表业务范围、主营业务情况、经营模式、业务发展目标、行业状况、行业地位以及面临的主要竞争状况，重点突出报告期内发生的重大变化以及有关变化对公司经营情况和偿债能力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定期报告指引》第二十八条</w:t>
            </w:r>
          </w:p>
        </w:tc>
        <w:tc>
          <w:tcPr>
            <w:tcW w:w="5595"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发行人应当根据自身实际情况，在定期报告中按照不同的业务板块或者产品分析报告期内收入、成本和利润等的构成和比例及其变动情况。</w:t>
            </w:r>
          </w:p>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报告期内发行人合并报表范围新增收入或者利润占发行人合并报表相应数据10%以上业务板块的，发行人应当在年度报告中披露该业务板块的经营情况、主要产品以及与原业务的关联性等情况。</w:t>
            </w:r>
          </w:p>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发行人应当在年度报告中披露占其合并报表范围营业收入或者毛利润10%以上的产品或者服务的经营情况，说明相关产品或者服务所属业务板块，收入、成本金额及其构成比例，以及收入、成本较上年同期的变动情况。如不存在占其合并报表范围营业收入或者毛利润10%以上的产品或者服务，发行人应当披露营业收入或者毛利润占比最高的产品或者服务的经营情况，说明相关产品或者服务所属业务板块，收入、成本金额及其构成比例，以及收入、成本较上年同期的变动情况。</w:t>
            </w:r>
          </w:p>
          <w:p>
            <w:pPr>
              <w:adjustRightInd w:val="0"/>
              <w:snapToGrid w:val="0"/>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rPr>
              <w:t>发行人合并报表范围的业务收入、成本等指标同比变动达30%以上的，还应当结合所属行业整体情况、经营模式、业务开展实际情况等，进一步说明相关变动的原因及其合理</w:t>
            </w:r>
            <w:r>
              <w:rPr>
                <w:rFonts w:hint="eastAsia" w:ascii="宋体" w:hAnsi="宋体" w:eastAsia="宋体" w:cs="宋体"/>
                <w:sz w:val="21"/>
                <w:szCs w:val="21"/>
                <w:highlight w:val="none"/>
              </w:rPr>
              <w:t>性。</w:t>
            </w:r>
          </w:p>
          <w:p>
            <w:pPr>
              <w:spacing w:line="240" w:lineRule="auto"/>
              <w:jc w:val="both"/>
              <w:rPr>
                <w:rFonts w:hint="eastAsia" w:ascii="宋体" w:hAnsi="宋体" w:eastAsia="宋体" w:cs="宋体"/>
                <w:sz w:val="21"/>
                <w:szCs w:val="21"/>
              </w:rPr>
            </w:pPr>
            <w:r>
              <w:rPr>
                <w:rFonts w:hint="eastAsia" w:ascii="宋体" w:hAnsi="宋体" w:eastAsia="宋体" w:cs="宋体"/>
                <w:sz w:val="21"/>
                <w:szCs w:val="21"/>
                <w:highlight w:val="none"/>
              </w:rPr>
              <w:t>报告期内发行人非主要经营业务收入占合并报表范围营业收入30%以上的，应当详细说明非主要经营业务收入涉及金额、形成原因、是否具有可持续性等情况。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定期报告指引》第三十三条</w:t>
            </w:r>
          </w:p>
        </w:tc>
        <w:tc>
          <w:tcPr>
            <w:tcW w:w="5595"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报告期内资信评级机构对发行人或者公司信用类债券作出评级调整（如有）的，发行人应当披露评级机构名称、评级调整时间、信用评级级别、评级展望变动以及信用评级结果变化的原因等。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定期报告指引》第三十八条</w:t>
            </w:r>
          </w:p>
        </w:tc>
        <w:tc>
          <w:tcPr>
            <w:tcW w:w="5595"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第三十八条报告期内发行人合并报表范围发生重大变化，且新增或者减少的子公司的收入、利润、总资产或者净资产占发行人合并报表相应数据10%以上的，发行人应当披露变动原因、纳入或者移出合并报表范围子公司的经营和财务状况，以及相关事项对发行人生产经营和偿债能力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restart"/>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半年度财务数据简化要求</w:t>
            </w: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定期报告指引》第三十九条</w:t>
            </w:r>
          </w:p>
        </w:tc>
        <w:tc>
          <w:tcPr>
            <w:tcW w:w="5595"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第三十九条发行人应当在定期报告中披露占报告期末发行人合并报表范围总资产10%以上的资产类报表项目的项目名称和主要构成。</w:t>
            </w:r>
          </w:p>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报告期末发行人合并报表范围主要资产项目同比变动超过30%的，应当披露项目名称、变动比例以及原因。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定期报告指引》第四十条</w:t>
            </w:r>
          </w:p>
        </w:tc>
        <w:tc>
          <w:tcPr>
            <w:tcW w:w="5595"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发行人报告期内合并报表范围亏损超过合并报表范围上年末净资产10%的，应当披露亏损情况、亏损原因以及对公司生产经营和偿债能力的影响。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定期报告指引》第四十二条</w:t>
            </w:r>
          </w:p>
        </w:tc>
        <w:tc>
          <w:tcPr>
            <w:tcW w:w="5595" w:type="dxa"/>
            <w:vAlign w:val="center"/>
          </w:tcPr>
          <w:p>
            <w:pPr>
              <w:adjustRightInd w:val="0"/>
              <w:snapToGrid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报告期末发行人及其子公司存在可对抗第三人的优先偿付负债情况的，发行人应当披露该负债的发生原因、到期时间（如有）、目前的状态以及对公司偿债能力可能产生的影响。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定期报告指引》第四十三条</w:t>
            </w:r>
          </w:p>
        </w:tc>
        <w:tc>
          <w:tcPr>
            <w:tcW w:w="5595" w:type="dxa"/>
            <w:vAlign w:val="center"/>
          </w:tcPr>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发行人应当披露报告期内合并报表范围非经营性往来占款和资金拆借的期初余额、期末余额以及是否存在违反募集说明书相关约定或者承诺的情况。报告期末未收回的非经营性往来占款和资金拆借总额超过合并报表范围净资产10%的，发行人应当披露截至报告期末未收回的非经营性往来占款和资金拆借的金额、主要构成、形成原因、账龄结构、回款相关安排和履行的程序,并按债务人说明截至报告期末占款和拆借余额前5名的债务人名称、资信状况、报告期内发生额、报告期末未收回金额、未收回原因和未来回款安排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定期报告指引》第四十四条</w:t>
            </w:r>
          </w:p>
        </w:tc>
        <w:tc>
          <w:tcPr>
            <w:tcW w:w="5595" w:type="dxa"/>
            <w:vAlign w:val="center"/>
          </w:tcPr>
          <w:p>
            <w:pPr>
              <w:numPr>
                <w:ilvl w:val="0"/>
                <w:numId w:val="0"/>
              </w:numPr>
              <w:adjustRightInd/>
              <w:snapToGrid/>
              <w:spacing w:line="240" w:lineRule="auto"/>
              <w:jc w:val="both"/>
              <w:rPr>
                <w:rFonts w:hint="eastAsia" w:ascii="宋体" w:hAnsi="宋体" w:eastAsia="宋体" w:cs="宋体"/>
                <w:sz w:val="21"/>
                <w:szCs w:val="21"/>
              </w:rPr>
            </w:pPr>
            <w:r>
              <w:rPr>
                <w:rFonts w:hint="eastAsia" w:ascii="宋体" w:hAnsi="宋体" w:eastAsia="宋体" w:cs="宋体"/>
                <w:bCs/>
                <w:sz w:val="21"/>
                <w:szCs w:val="21"/>
              </w:rPr>
              <w:t>报告期末发行人及其合并报表范围主要负债项目同比变动超过30%的，应当披露项目名称、变动比例以及原因。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定期报告指引》第四十五条</w:t>
            </w:r>
          </w:p>
        </w:tc>
        <w:tc>
          <w:tcPr>
            <w:tcW w:w="5595"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发行人应当披露报告期末发行人合并报表范围有息债务总额及其同比变动比例、有息债务类别和期限结构等情况。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7" w:type="dxa"/>
            <w:vMerge w:val="continue"/>
            <w:vAlign w:val="center"/>
          </w:tcPr>
          <w:p>
            <w:pPr>
              <w:adjustRightInd w:val="0"/>
              <w:snapToGrid w:val="0"/>
              <w:spacing w:line="240" w:lineRule="auto"/>
              <w:jc w:val="both"/>
              <w:rPr>
                <w:rFonts w:hint="eastAsia" w:ascii="宋体" w:hAnsi="宋体" w:eastAsia="宋体" w:cs="宋体"/>
                <w:sz w:val="21"/>
                <w:szCs w:val="21"/>
              </w:rPr>
            </w:pPr>
          </w:p>
        </w:tc>
        <w:tc>
          <w:tcPr>
            <w:tcW w:w="2180"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定期报告指引》第四十七条</w:t>
            </w:r>
          </w:p>
        </w:tc>
        <w:tc>
          <w:tcPr>
            <w:tcW w:w="5595" w:type="dxa"/>
            <w:vAlign w:val="center"/>
          </w:tcPr>
          <w:p>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单个子公司的净利润或者对单个参股公司的投资收益占发行人合并报表范围净利润达到20%以上的，发行人应当披露公司名称、发行人持股比例，该公司主营业务运营情况和总资产、净资产、主营业务收入、主营业务利润等财务数据。</w:t>
            </w:r>
          </w:p>
        </w:tc>
      </w:tr>
    </w:tbl>
    <w:p>
      <w:pPr>
        <w:widowControl/>
        <w:jc w:val="left"/>
        <w:rPr>
          <w:rFonts w:ascii="仿宋_GB2312" w:hAnsi="黑体" w:eastAsia="仿宋_GB2312"/>
          <w:sz w:val="30"/>
          <w:szCs w:val="30"/>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6"/>
      </w:rPr>
    </w:pPr>
  </w:p>
  <w:p>
    <w:pPr>
      <w:pStyle w:val="8"/>
      <w:jc w:val="right"/>
      <w:rPr>
        <w:rFonts w:ascii="仿宋_GB2312" w:hAnsi="仿宋_GB2312" w:eastAsia="仿宋_GB2312" w:cs="仿宋_GB2312"/>
      </w:rPr>
    </w:pPr>
    <w:r>
      <w:rPr>
        <w:rFonts w:hint="eastAsia" w:ascii="仿宋_GB2312" w:hAnsi="仿宋_GB2312" w:eastAsia="仿宋_GB2312" w:cs="仿宋_GB2312"/>
        <w:bCs/>
        <w:sz w:val="28"/>
      </w:rPr>
      <w:t>－</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Fonts w:ascii="仿宋_GB2312" w:hAnsi="仿宋_GB2312" w:eastAsia="仿宋_GB2312" w:cs="仿宋_GB2312"/>
        <w:sz w:val="28"/>
      </w:rPr>
      <w:t>15</w:t>
    </w:r>
    <w:r>
      <w:rPr>
        <w:rFonts w:hint="eastAsia" w:ascii="仿宋_GB2312" w:hAnsi="仿宋_GB2312" w:eastAsia="仿宋_GB2312" w:cs="仿宋_GB2312"/>
        <w:sz w:val="28"/>
      </w:rPr>
      <w:fldChar w:fldCharType="end"/>
    </w:r>
    <w:r>
      <w:rPr>
        <w:rFonts w:hint="eastAsia" w:ascii="仿宋_GB2312" w:hAnsi="仿宋_GB2312" w:eastAsia="仿宋_GB2312" w:cs="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6"/>
      </w:rPr>
    </w:pPr>
  </w:p>
  <w:p>
    <w:pPr>
      <w:pStyle w:val="8"/>
      <w:rPr>
        <w:rFonts w:ascii="仿宋_GB2312" w:hAnsi="仿宋_GB2312" w:eastAsia="仿宋_GB2312" w:cs="仿宋_GB2312"/>
      </w:rPr>
    </w:pPr>
    <w:r>
      <w:rPr>
        <w:rFonts w:hint="eastAsia" w:ascii="仿宋_GB2312" w:hAnsi="仿宋_GB2312" w:eastAsia="仿宋_GB2312" w:cs="仿宋_GB2312"/>
        <w:bCs/>
        <w:sz w:val="28"/>
      </w:rPr>
      <w:t>－</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Fonts w:ascii="仿宋_GB2312" w:hAnsi="仿宋_GB2312" w:eastAsia="仿宋_GB2312" w:cs="仿宋_GB2312"/>
        <w:sz w:val="28"/>
      </w:rPr>
      <w:t>14</w:t>
    </w:r>
    <w:r>
      <w:rPr>
        <w:rFonts w:hint="eastAsia" w:ascii="仿宋_GB2312" w:hAnsi="仿宋_GB2312" w:eastAsia="仿宋_GB2312" w:cs="仿宋_GB2312"/>
        <w:sz w:val="28"/>
      </w:rPr>
      <w:fldChar w:fldCharType="end"/>
    </w:r>
    <w:r>
      <w:rPr>
        <w:rFonts w:hint="eastAsia" w:ascii="仿宋_GB2312" w:hAnsi="仿宋_GB2312" w:eastAsia="仿宋_GB2312" w:cs="仿宋_GB2312"/>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0"/>
        <w:rPr>
          <w:rFonts w:ascii="宋体" w:hAnsi="宋体" w:eastAsia="宋体"/>
        </w:rPr>
      </w:pPr>
      <w:r>
        <w:rPr>
          <w:rStyle w:val="19"/>
          <w:rFonts w:ascii="宋体" w:hAnsi="宋体" w:eastAsia="宋体"/>
        </w:rPr>
        <w:footnoteRef/>
      </w:r>
      <w:r>
        <w:rPr>
          <w:rFonts w:hint="eastAsia" w:ascii="宋体" w:hAnsi="宋体" w:eastAsia="宋体"/>
        </w:rPr>
        <w:t>发行人披露的权益投资情况通常为最近一年末的相关情况，如最近一期或截至募集说明书签署日权益投资情况发生较大变化的，应补充披露。</w:t>
      </w:r>
    </w:p>
  </w:footnote>
  <w:footnote w:id="1">
    <w:p>
      <w:pPr>
        <w:pStyle w:val="10"/>
        <w:jc w:val="both"/>
        <w:rPr>
          <w:rFonts w:ascii="宋体" w:hAnsi="宋体" w:eastAsia="宋体"/>
        </w:rPr>
      </w:pPr>
      <w:r>
        <w:rPr>
          <w:rStyle w:val="19"/>
          <w:rFonts w:ascii="宋体" w:hAnsi="宋体" w:eastAsia="宋体"/>
        </w:rPr>
        <w:footnoteRef/>
      </w:r>
      <w:r>
        <w:rPr>
          <w:rFonts w:hint="eastAsia" w:ascii="宋体" w:hAnsi="宋体" w:eastAsia="宋体"/>
        </w:rPr>
        <w:t>包括发行人董事、监事、高级管理人员涉嫌违法违纪被有权机关调查、被采取强制措施或存在严重失信行为的情况。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MDY5ZWZkMjNhZjM4OTRjYWYwMzNiOWM2NWVmNDMifQ=="/>
  </w:docVars>
  <w:rsids>
    <w:rsidRoot w:val="006E17BF"/>
    <w:rsid w:val="00007902"/>
    <w:rsid w:val="0001228B"/>
    <w:rsid w:val="0001638A"/>
    <w:rsid w:val="0001679C"/>
    <w:rsid w:val="0001731D"/>
    <w:rsid w:val="00020695"/>
    <w:rsid w:val="00021DC2"/>
    <w:rsid w:val="000262D5"/>
    <w:rsid w:val="0003061D"/>
    <w:rsid w:val="00040EAD"/>
    <w:rsid w:val="00040EB8"/>
    <w:rsid w:val="00042016"/>
    <w:rsid w:val="00043584"/>
    <w:rsid w:val="00043E67"/>
    <w:rsid w:val="00052ED1"/>
    <w:rsid w:val="000542E4"/>
    <w:rsid w:val="00060B3C"/>
    <w:rsid w:val="000631E0"/>
    <w:rsid w:val="00070297"/>
    <w:rsid w:val="00072A17"/>
    <w:rsid w:val="00074010"/>
    <w:rsid w:val="00074C84"/>
    <w:rsid w:val="00076184"/>
    <w:rsid w:val="000770DB"/>
    <w:rsid w:val="00083CFA"/>
    <w:rsid w:val="00085403"/>
    <w:rsid w:val="000A2FBC"/>
    <w:rsid w:val="000A6362"/>
    <w:rsid w:val="000A79A7"/>
    <w:rsid w:val="000B6292"/>
    <w:rsid w:val="000C160E"/>
    <w:rsid w:val="000C7B3F"/>
    <w:rsid w:val="000E5C64"/>
    <w:rsid w:val="000E738F"/>
    <w:rsid w:val="000F21F8"/>
    <w:rsid w:val="00101C47"/>
    <w:rsid w:val="00127481"/>
    <w:rsid w:val="0013245A"/>
    <w:rsid w:val="00133A49"/>
    <w:rsid w:val="0013769E"/>
    <w:rsid w:val="0014527B"/>
    <w:rsid w:val="00153077"/>
    <w:rsid w:val="001532DA"/>
    <w:rsid w:val="0015612B"/>
    <w:rsid w:val="00157718"/>
    <w:rsid w:val="00162106"/>
    <w:rsid w:val="0016210B"/>
    <w:rsid w:val="00164024"/>
    <w:rsid w:val="00165247"/>
    <w:rsid w:val="00165E55"/>
    <w:rsid w:val="00172486"/>
    <w:rsid w:val="001742D2"/>
    <w:rsid w:val="00175E16"/>
    <w:rsid w:val="00181273"/>
    <w:rsid w:val="001845AD"/>
    <w:rsid w:val="001A4B7D"/>
    <w:rsid w:val="001B606C"/>
    <w:rsid w:val="001C5060"/>
    <w:rsid w:val="001C5E28"/>
    <w:rsid w:val="001D1403"/>
    <w:rsid w:val="001D5A1D"/>
    <w:rsid w:val="001D6225"/>
    <w:rsid w:val="001E1382"/>
    <w:rsid w:val="001E18B6"/>
    <w:rsid w:val="001E1ACB"/>
    <w:rsid w:val="001E57F7"/>
    <w:rsid w:val="001F0E57"/>
    <w:rsid w:val="001F145A"/>
    <w:rsid w:val="001F36CE"/>
    <w:rsid w:val="001F3928"/>
    <w:rsid w:val="001F4BB4"/>
    <w:rsid w:val="002028D1"/>
    <w:rsid w:val="0020387A"/>
    <w:rsid w:val="00204FAB"/>
    <w:rsid w:val="002140A8"/>
    <w:rsid w:val="00230D1E"/>
    <w:rsid w:val="00233571"/>
    <w:rsid w:val="002405B1"/>
    <w:rsid w:val="00241E04"/>
    <w:rsid w:val="0024439C"/>
    <w:rsid w:val="00263345"/>
    <w:rsid w:val="002637A7"/>
    <w:rsid w:val="0026518B"/>
    <w:rsid w:val="00265DAE"/>
    <w:rsid w:val="002861FD"/>
    <w:rsid w:val="0028756C"/>
    <w:rsid w:val="00291A10"/>
    <w:rsid w:val="0029305A"/>
    <w:rsid w:val="002A04A3"/>
    <w:rsid w:val="002A1458"/>
    <w:rsid w:val="002A6F3C"/>
    <w:rsid w:val="002B0D99"/>
    <w:rsid w:val="002B5BD7"/>
    <w:rsid w:val="002C526A"/>
    <w:rsid w:val="002E4A4A"/>
    <w:rsid w:val="002E7DD9"/>
    <w:rsid w:val="002F4D76"/>
    <w:rsid w:val="002F5933"/>
    <w:rsid w:val="00301B10"/>
    <w:rsid w:val="0030478A"/>
    <w:rsid w:val="00306C17"/>
    <w:rsid w:val="00307E01"/>
    <w:rsid w:val="00310881"/>
    <w:rsid w:val="003129F1"/>
    <w:rsid w:val="00323168"/>
    <w:rsid w:val="00325309"/>
    <w:rsid w:val="00327516"/>
    <w:rsid w:val="00336E10"/>
    <w:rsid w:val="003423B7"/>
    <w:rsid w:val="003440CC"/>
    <w:rsid w:val="003522C3"/>
    <w:rsid w:val="00352532"/>
    <w:rsid w:val="003534CA"/>
    <w:rsid w:val="00354494"/>
    <w:rsid w:val="00357A7B"/>
    <w:rsid w:val="00360996"/>
    <w:rsid w:val="00371A15"/>
    <w:rsid w:val="00373133"/>
    <w:rsid w:val="00375E40"/>
    <w:rsid w:val="00377A9C"/>
    <w:rsid w:val="0038087C"/>
    <w:rsid w:val="00393158"/>
    <w:rsid w:val="003A6B37"/>
    <w:rsid w:val="003B5D65"/>
    <w:rsid w:val="003B72F0"/>
    <w:rsid w:val="003C43D8"/>
    <w:rsid w:val="003C6DE3"/>
    <w:rsid w:val="003C728A"/>
    <w:rsid w:val="003D61D1"/>
    <w:rsid w:val="003D6A90"/>
    <w:rsid w:val="003E5C27"/>
    <w:rsid w:val="003E6805"/>
    <w:rsid w:val="003E79E6"/>
    <w:rsid w:val="003F0546"/>
    <w:rsid w:val="003F2665"/>
    <w:rsid w:val="003F3787"/>
    <w:rsid w:val="003F6CBA"/>
    <w:rsid w:val="004227EF"/>
    <w:rsid w:val="00433F5B"/>
    <w:rsid w:val="004360C4"/>
    <w:rsid w:val="00442A95"/>
    <w:rsid w:val="00443CEC"/>
    <w:rsid w:val="004457A9"/>
    <w:rsid w:val="00445BFF"/>
    <w:rsid w:val="004471B2"/>
    <w:rsid w:val="0046660C"/>
    <w:rsid w:val="004678D7"/>
    <w:rsid w:val="00467C68"/>
    <w:rsid w:val="0048029A"/>
    <w:rsid w:val="00480D5E"/>
    <w:rsid w:val="00486156"/>
    <w:rsid w:val="0049762F"/>
    <w:rsid w:val="004A2640"/>
    <w:rsid w:val="004A4B98"/>
    <w:rsid w:val="004A4E67"/>
    <w:rsid w:val="004B1EED"/>
    <w:rsid w:val="004C6303"/>
    <w:rsid w:val="004C7182"/>
    <w:rsid w:val="004D11E0"/>
    <w:rsid w:val="004D59F2"/>
    <w:rsid w:val="004E3096"/>
    <w:rsid w:val="004F4C43"/>
    <w:rsid w:val="005010D2"/>
    <w:rsid w:val="005036DF"/>
    <w:rsid w:val="00521AA2"/>
    <w:rsid w:val="005319E7"/>
    <w:rsid w:val="0053438D"/>
    <w:rsid w:val="00540064"/>
    <w:rsid w:val="005401B8"/>
    <w:rsid w:val="005413DA"/>
    <w:rsid w:val="0054550B"/>
    <w:rsid w:val="005511D3"/>
    <w:rsid w:val="005526AE"/>
    <w:rsid w:val="00554681"/>
    <w:rsid w:val="00563DC0"/>
    <w:rsid w:val="0057202E"/>
    <w:rsid w:val="00584CEF"/>
    <w:rsid w:val="00586EE9"/>
    <w:rsid w:val="00592EC2"/>
    <w:rsid w:val="005A1A6C"/>
    <w:rsid w:val="005A685D"/>
    <w:rsid w:val="005A708B"/>
    <w:rsid w:val="005B48FA"/>
    <w:rsid w:val="005B7C10"/>
    <w:rsid w:val="005C6C74"/>
    <w:rsid w:val="005D692D"/>
    <w:rsid w:val="005E3B93"/>
    <w:rsid w:val="005E3E6F"/>
    <w:rsid w:val="005E51A6"/>
    <w:rsid w:val="005F4123"/>
    <w:rsid w:val="005F42F5"/>
    <w:rsid w:val="00601ADA"/>
    <w:rsid w:val="00606144"/>
    <w:rsid w:val="006217D6"/>
    <w:rsid w:val="00623844"/>
    <w:rsid w:val="00623EA4"/>
    <w:rsid w:val="0063279A"/>
    <w:rsid w:val="00632F1B"/>
    <w:rsid w:val="00635FE5"/>
    <w:rsid w:val="0063753F"/>
    <w:rsid w:val="0064604D"/>
    <w:rsid w:val="006511B6"/>
    <w:rsid w:val="00652D63"/>
    <w:rsid w:val="00673EA2"/>
    <w:rsid w:val="006809F9"/>
    <w:rsid w:val="00683AA2"/>
    <w:rsid w:val="0069062D"/>
    <w:rsid w:val="006A0F13"/>
    <w:rsid w:val="006B0209"/>
    <w:rsid w:val="006B55F4"/>
    <w:rsid w:val="006C0CBF"/>
    <w:rsid w:val="006C5922"/>
    <w:rsid w:val="006D2394"/>
    <w:rsid w:val="006E17BF"/>
    <w:rsid w:val="006F1D6B"/>
    <w:rsid w:val="00710901"/>
    <w:rsid w:val="00715720"/>
    <w:rsid w:val="00721D76"/>
    <w:rsid w:val="00726294"/>
    <w:rsid w:val="00730220"/>
    <w:rsid w:val="00731020"/>
    <w:rsid w:val="00740EAA"/>
    <w:rsid w:val="0074440A"/>
    <w:rsid w:val="00752BE6"/>
    <w:rsid w:val="00753A10"/>
    <w:rsid w:val="00755B36"/>
    <w:rsid w:val="0076084B"/>
    <w:rsid w:val="00760E6C"/>
    <w:rsid w:val="007631E4"/>
    <w:rsid w:val="0077178A"/>
    <w:rsid w:val="007746FE"/>
    <w:rsid w:val="0078538E"/>
    <w:rsid w:val="00786447"/>
    <w:rsid w:val="0079012C"/>
    <w:rsid w:val="0079122A"/>
    <w:rsid w:val="00791D57"/>
    <w:rsid w:val="007A6FD4"/>
    <w:rsid w:val="007B173B"/>
    <w:rsid w:val="007B5A27"/>
    <w:rsid w:val="007C16E5"/>
    <w:rsid w:val="007C2E60"/>
    <w:rsid w:val="007C4848"/>
    <w:rsid w:val="007E0706"/>
    <w:rsid w:val="007E2DC9"/>
    <w:rsid w:val="007F2809"/>
    <w:rsid w:val="007F526B"/>
    <w:rsid w:val="007F6B25"/>
    <w:rsid w:val="007F729A"/>
    <w:rsid w:val="00804A6A"/>
    <w:rsid w:val="00805AA8"/>
    <w:rsid w:val="008070A0"/>
    <w:rsid w:val="0081088B"/>
    <w:rsid w:val="00813F9F"/>
    <w:rsid w:val="0081750A"/>
    <w:rsid w:val="00817DCD"/>
    <w:rsid w:val="00826D95"/>
    <w:rsid w:val="00833054"/>
    <w:rsid w:val="0083375C"/>
    <w:rsid w:val="00836D5F"/>
    <w:rsid w:val="00841031"/>
    <w:rsid w:val="008447E4"/>
    <w:rsid w:val="00854D04"/>
    <w:rsid w:val="00854E7F"/>
    <w:rsid w:val="00854FFB"/>
    <w:rsid w:val="008603E7"/>
    <w:rsid w:val="00862F10"/>
    <w:rsid w:val="00864AB6"/>
    <w:rsid w:val="00864ED4"/>
    <w:rsid w:val="00866853"/>
    <w:rsid w:val="00871A67"/>
    <w:rsid w:val="00883530"/>
    <w:rsid w:val="00893B7D"/>
    <w:rsid w:val="008965ED"/>
    <w:rsid w:val="008A1309"/>
    <w:rsid w:val="008A1D57"/>
    <w:rsid w:val="008A2EFC"/>
    <w:rsid w:val="008A5CDE"/>
    <w:rsid w:val="008C269D"/>
    <w:rsid w:val="008C47E8"/>
    <w:rsid w:val="008C7DDA"/>
    <w:rsid w:val="008D7196"/>
    <w:rsid w:val="008D7573"/>
    <w:rsid w:val="008E22D7"/>
    <w:rsid w:val="008E52CC"/>
    <w:rsid w:val="008F228B"/>
    <w:rsid w:val="008F325A"/>
    <w:rsid w:val="008F3663"/>
    <w:rsid w:val="008F573B"/>
    <w:rsid w:val="008F5A17"/>
    <w:rsid w:val="009006E7"/>
    <w:rsid w:val="00901128"/>
    <w:rsid w:val="00903A5C"/>
    <w:rsid w:val="00906D0B"/>
    <w:rsid w:val="009108E4"/>
    <w:rsid w:val="00923B47"/>
    <w:rsid w:val="00927C44"/>
    <w:rsid w:val="00944FB2"/>
    <w:rsid w:val="00955970"/>
    <w:rsid w:val="00957EF8"/>
    <w:rsid w:val="00962160"/>
    <w:rsid w:val="00964FFF"/>
    <w:rsid w:val="00976202"/>
    <w:rsid w:val="009805BB"/>
    <w:rsid w:val="00982135"/>
    <w:rsid w:val="0098404A"/>
    <w:rsid w:val="009944FC"/>
    <w:rsid w:val="009947BE"/>
    <w:rsid w:val="00997274"/>
    <w:rsid w:val="009A04D5"/>
    <w:rsid w:val="009A08A0"/>
    <w:rsid w:val="009A1771"/>
    <w:rsid w:val="009A3B90"/>
    <w:rsid w:val="009C1EDC"/>
    <w:rsid w:val="009C786A"/>
    <w:rsid w:val="009D0B63"/>
    <w:rsid w:val="009D1EDD"/>
    <w:rsid w:val="009E1A04"/>
    <w:rsid w:val="009F055B"/>
    <w:rsid w:val="00A0191A"/>
    <w:rsid w:val="00A05CD9"/>
    <w:rsid w:val="00A11AFB"/>
    <w:rsid w:val="00A12C28"/>
    <w:rsid w:val="00A14D48"/>
    <w:rsid w:val="00A37264"/>
    <w:rsid w:val="00A3760E"/>
    <w:rsid w:val="00A37FEA"/>
    <w:rsid w:val="00A42C56"/>
    <w:rsid w:val="00A50AC2"/>
    <w:rsid w:val="00A53C67"/>
    <w:rsid w:val="00A61679"/>
    <w:rsid w:val="00A7030D"/>
    <w:rsid w:val="00A71496"/>
    <w:rsid w:val="00A82B7C"/>
    <w:rsid w:val="00A9209B"/>
    <w:rsid w:val="00A95053"/>
    <w:rsid w:val="00A97832"/>
    <w:rsid w:val="00A97D43"/>
    <w:rsid w:val="00AA32B1"/>
    <w:rsid w:val="00AC2CD8"/>
    <w:rsid w:val="00AC51B8"/>
    <w:rsid w:val="00AC7573"/>
    <w:rsid w:val="00AD1CB8"/>
    <w:rsid w:val="00AE19D1"/>
    <w:rsid w:val="00AE45E1"/>
    <w:rsid w:val="00AE6018"/>
    <w:rsid w:val="00AF1B5A"/>
    <w:rsid w:val="00AF1FD4"/>
    <w:rsid w:val="00AF2A3A"/>
    <w:rsid w:val="00AF302A"/>
    <w:rsid w:val="00AF6968"/>
    <w:rsid w:val="00B11EAE"/>
    <w:rsid w:val="00B12706"/>
    <w:rsid w:val="00B13752"/>
    <w:rsid w:val="00B14073"/>
    <w:rsid w:val="00B15452"/>
    <w:rsid w:val="00B218C6"/>
    <w:rsid w:val="00B21FAD"/>
    <w:rsid w:val="00B23C48"/>
    <w:rsid w:val="00B27A2D"/>
    <w:rsid w:val="00B30943"/>
    <w:rsid w:val="00B4413C"/>
    <w:rsid w:val="00B64ED5"/>
    <w:rsid w:val="00B66899"/>
    <w:rsid w:val="00B722A6"/>
    <w:rsid w:val="00B7299D"/>
    <w:rsid w:val="00B73532"/>
    <w:rsid w:val="00B74C7D"/>
    <w:rsid w:val="00B80B92"/>
    <w:rsid w:val="00B824B3"/>
    <w:rsid w:val="00B86360"/>
    <w:rsid w:val="00B876BC"/>
    <w:rsid w:val="00B95F90"/>
    <w:rsid w:val="00B95FB2"/>
    <w:rsid w:val="00BB6170"/>
    <w:rsid w:val="00BC0E0D"/>
    <w:rsid w:val="00BC6E13"/>
    <w:rsid w:val="00BD2D94"/>
    <w:rsid w:val="00BF27BA"/>
    <w:rsid w:val="00C004B0"/>
    <w:rsid w:val="00C10ED1"/>
    <w:rsid w:val="00C1167D"/>
    <w:rsid w:val="00C122BE"/>
    <w:rsid w:val="00C16B9B"/>
    <w:rsid w:val="00C2266D"/>
    <w:rsid w:val="00C22C71"/>
    <w:rsid w:val="00C23290"/>
    <w:rsid w:val="00C2465A"/>
    <w:rsid w:val="00C27FCF"/>
    <w:rsid w:val="00C331F6"/>
    <w:rsid w:val="00C3671A"/>
    <w:rsid w:val="00C45CC2"/>
    <w:rsid w:val="00C46295"/>
    <w:rsid w:val="00C54D44"/>
    <w:rsid w:val="00C66B7D"/>
    <w:rsid w:val="00C70006"/>
    <w:rsid w:val="00C90575"/>
    <w:rsid w:val="00C908F4"/>
    <w:rsid w:val="00CA2CAD"/>
    <w:rsid w:val="00CA495B"/>
    <w:rsid w:val="00CA66E8"/>
    <w:rsid w:val="00CB04B2"/>
    <w:rsid w:val="00CB1C93"/>
    <w:rsid w:val="00CB1DCD"/>
    <w:rsid w:val="00CB283B"/>
    <w:rsid w:val="00CB3BC3"/>
    <w:rsid w:val="00CB4CB7"/>
    <w:rsid w:val="00CB517D"/>
    <w:rsid w:val="00CB6166"/>
    <w:rsid w:val="00CB6D16"/>
    <w:rsid w:val="00CC1B60"/>
    <w:rsid w:val="00CC48AE"/>
    <w:rsid w:val="00CC4BC1"/>
    <w:rsid w:val="00CC718D"/>
    <w:rsid w:val="00CC756E"/>
    <w:rsid w:val="00CD4BEE"/>
    <w:rsid w:val="00CD50DF"/>
    <w:rsid w:val="00CD7056"/>
    <w:rsid w:val="00CF33E4"/>
    <w:rsid w:val="00CF3497"/>
    <w:rsid w:val="00D0175C"/>
    <w:rsid w:val="00D07D3B"/>
    <w:rsid w:val="00D113CF"/>
    <w:rsid w:val="00D137FD"/>
    <w:rsid w:val="00D13C8E"/>
    <w:rsid w:val="00D14463"/>
    <w:rsid w:val="00D16584"/>
    <w:rsid w:val="00D34A53"/>
    <w:rsid w:val="00D34ECB"/>
    <w:rsid w:val="00D42B8F"/>
    <w:rsid w:val="00D533E3"/>
    <w:rsid w:val="00D60E5E"/>
    <w:rsid w:val="00D64ED8"/>
    <w:rsid w:val="00D677B5"/>
    <w:rsid w:val="00D71E25"/>
    <w:rsid w:val="00D71F87"/>
    <w:rsid w:val="00D73930"/>
    <w:rsid w:val="00D769E9"/>
    <w:rsid w:val="00D85E79"/>
    <w:rsid w:val="00D86588"/>
    <w:rsid w:val="00D9110B"/>
    <w:rsid w:val="00D978D4"/>
    <w:rsid w:val="00DA7998"/>
    <w:rsid w:val="00DB04E7"/>
    <w:rsid w:val="00DB16A3"/>
    <w:rsid w:val="00DC059C"/>
    <w:rsid w:val="00DC3C14"/>
    <w:rsid w:val="00DC41B0"/>
    <w:rsid w:val="00DC7380"/>
    <w:rsid w:val="00DC741B"/>
    <w:rsid w:val="00DD06C8"/>
    <w:rsid w:val="00DD0823"/>
    <w:rsid w:val="00DE2328"/>
    <w:rsid w:val="00DF3648"/>
    <w:rsid w:val="00DF44F4"/>
    <w:rsid w:val="00DF4F40"/>
    <w:rsid w:val="00E02F8D"/>
    <w:rsid w:val="00E17711"/>
    <w:rsid w:val="00E17FF7"/>
    <w:rsid w:val="00E249EA"/>
    <w:rsid w:val="00E25ECD"/>
    <w:rsid w:val="00E33ADC"/>
    <w:rsid w:val="00E3476F"/>
    <w:rsid w:val="00E353FE"/>
    <w:rsid w:val="00E40B2C"/>
    <w:rsid w:val="00E40EBC"/>
    <w:rsid w:val="00E41286"/>
    <w:rsid w:val="00E41CBF"/>
    <w:rsid w:val="00E50CFB"/>
    <w:rsid w:val="00E5216E"/>
    <w:rsid w:val="00E52C47"/>
    <w:rsid w:val="00E53165"/>
    <w:rsid w:val="00E57EB7"/>
    <w:rsid w:val="00E60BA6"/>
    <w:rsid w:val="00E670D9"/>
    <w:rsid w:val="00E67844"/>
    <w:rsid w:val="00E71A85"/>
    <w:rsid w:val="00E85238"/>
    <w:rsid w:val="00E85C7F"/>
    <w:rsid w:val="00E91704"/>
    <w:rsid w:val="00E92E42"/>
    <w:rsid w:val="00E94A55"/>
    <w:rsid w:val="00E97C14"/>
    <w:rsid w:val="00E97C7D"/>
    <w:rsid w:val="00EA10B8"/>
    <w:rsid w:val="00EA20DA"/>
    <w:rsid w:val="00EA3A49"/>
    <w:rsid w:val="00EA760E"/>
    <w:rsid w:val="00EB1839"/>
    <w:rsid w:val="00EC04B6"/>
    <w:rsid w:val="00EC50F8"/>
    <w:rsid w:val="00EC5A7A"/>
    <w:rsid w:val="00ED04F1"/>
    <w:rsid w:val="00ED11E5"/>
    <w:rsid w:val="00EE2920"/>
    <w:rsid w:val="00EE5589"/>
    <w:rsid w:val="00F03AE5"/>
    <w:rsid w:val="00F10FDF"/>
    <w:rsid w:val="00F151DD"/>
    <w:rsid w:val="00F15AAE"/>
    <w:rsid w:val="00F16B00"/>
    <w:rsid w:val="00F234F2"/>
    <w:rsid w:val="00F2394A"/>
    <w:rsid w:val="00F27152"/>
    <w:rsid w:val="00F30980"/>
    <w:rsid w:val="00F34E5E"/>
    <w:rsid w:val="00F41F6C"/>
    <w:rsid w:val="00F45642"/>
    <w:rsid w:val="00F504EB"/>
    <w:rsid w:val="00F70299"/>
    <w:rsid w:val="00F77BEC"/>
    <w:rsid w:val="00F820F9"/>
    <w:rsid w:val="00F82CF2"/>
    <w:rsid w:val="00F855D7"/>
    <w:rsid w:val="00F9160E"/>
    <w:rsid w:val="00F931A4"/>
    <w:rsid w:val="00F978E1"/>
    <w:rsid w:val="00FC313E"/>
    <w:rsid w:val="00FC3912"/>
    <w:rsid w:val="00FC5A72"/>
    <w:rsid w:val="00FD028E"/>
    <w:rsid w:val="00FE2D3D"/>
    <w:rsid w:val="00FE2F18"/>
    <w:rsid w:val="00FE4D49"/>
    <w:rsid w:val="00FE6323"/>
    <w:rsid w:val="00FF11A8"/>
    <w:rsid w:val="00FF694E"/>
    <w:rsid w:val="0280758E"/>
    <w:rsid w:val="0320176D"/>
    <w:rsid w:val="03B53A50"/>
    <w:rsid w:val="04C55DB8"/>
    <w:rsid w:val="05340D8D"/>
    <w:rsid w:val="05E83071"/>
    <w:rsid w:val="07EA7730"/>
    <w:rsid w:val="0B931E71"/>
    <w:rsid w:val="0C024BF2"/>
    <w:rsid w:val="0CFC0568"/>
    <w:rsid w:val="0F0C5A4D"/>
    <w:rsid w:val="0F7C56AF"/>
    <w:rsid w:val="0FAB795C"/>
    <w:rsid w:val="10BB2E7F"/>
    <w:rsid w:val="10EE0C20"/>
    <w:rsid w:val="111A671C"/>
    <w:rsid w:val="1173042F"/>
    <w:rsid w:val="13096C04"/>
    <w:rsid w:val="13A66595"/>
    <w:rsid w:val="16975275"/>
    <w:rsid w:val="1875673D"/>
    <w:rsid w:val="190D4244"/>
    <w:rsid w:val="1A321ED5"/>
    <w:rsid w:val="1CE94BDB"/>
    <w:rsid w:val="1D7417D3"/>
    <w:rsid w:val="1F916290"/>
    <w:rsid w:val="1FAD16C8"/>
    <w:rsid w:val="21A5013B"/>
    <w:rsid w:val="22FF0749"/>
    <w:rsid w:val="23230118"/>
    <w:rsid w:val="234E4979"/>
    <w:rsid w:val="235774D3"/>
    <w:rsid w:val="24A756CB"/>
    <w:rsid w:val="24C17A47"/>
    <w:rsid w:val="24DD12E7"/>
    <w:rsid w:val="27CD064E"/>
    <w:rsid w:val="29870F2F"/>
    <w:rsid w:val="2A81421E"/>
    <w:rsid w:val="2A854977"/>
    <w:rsid w:val="2B291BF7"/>
    <w:rsid w:val="2CD37586"/>
    <w:rsid w:val="2D3C5C52"/>
    <w:rsid w:val="2DB24C88"/>
    <w:rsid w:val="2ED2014B"/>
    <w:rsid w:val="2FAF7B4B"/>
    <w:rsid w:val="2FBD48E2"/>
    <w:rsid w:val="2FD6516F"/>
    <w:rsid w:val="30350143"/>
    <w:rsid w:val="303F1FCA"/>
    <w:rsid w:val="306058C5"/>
    <w:rsid w:val="30DB6CFA"/>
    <w:rsid w:val="311E5100"/>
    <w:rsid w:val="31F03B87"/>
    <w:rsid w:val="32C33A62"/>
    <w:rsid w:val="338F3912"/>
    <w:rsid w:val="338F55A8"/>
    <w:rsid w:val="34285D64"/>
    <w:rsid w:val="344A041F"/>
    <w:rsid w:val="3554290A"/>
    <w:rsid w:val="3664704E"/>
    <w:rsid w:val="38C53632"/>
    <w:rsid w:val="38E64466"/>
    <w:rsid w:val="39711673"/>
    <w:rsid w:val="3ACE495E"/>
    <w:rsid w:val="3CBC69E4"/>
    <w:rsid w:val="40A009DF"/>
    <w:rsid w:val="40F70F22"/>
    <w:rsid w:val="40FB237D"/>
    <w:rsid w:val="41955928"/>
    <w:rsid w:val="42713ABE"/>
    <w:rsid w:val="43F010B4"/>
    <w:rsid w:val="443D3AFC"/>
    <w:rsid w:val="44E32560"/>
    <w:rsid w:val="46457955"/>
    <w:rsid w:val="483C359A"/>
    <w:rsid w:val="487B05B3"/>
    <w:rsid w:val="488933DA"/>
    <w:rsid w:val="48AA7A74"/>
    <w:rsid w:val="48BC34C1"/>
    <w:rsid w:val="4C3E2C2D"/>
    <w:rsid w:val="4CE62EF8"/>
    <w:rsid w:val="4D643F0C"/>
    <w:rsid w:val="4E137126"/>
    <w:rsid w:val="4E4F7631"/>
    <w:rsid w:val="50B46E08"/>
    <w:rsid w:val="513F17BE"/>
    <w:rsid w:val="515371F8"/>
    <w:rsid w:val="517204FD"/>
    <w:rsid w:val="51C10CE2"/>
    <w:rsid w:val="532877AF"/>
    <w:rsid w:val="53B67C4A"/>
    <w:rsid w:val="53D31F8E"/>
    <w:rsid w:val="53F341D7"/>
    <w:rsid w:val="548D19A5"/>
    <w:rsid w:val="54900D94"/>
    <w:rsid w:val="55813BAB"/>
    <w:rsid w:val="55D67CE1"/>
    <w:rsid w:val="566E1913"/>
    <w:rsid w:val="57C310A1"/>
    <w:rsid w:val="59F9627E"/>
    <w:rsid w:val="5A1E02B8"/>
    <w:rsid w:val="5B37696C"/>
    <w:rsid w:val="5B7E0F08"/>
    <w:rsid w:val="5BC8419B"/>
    <w:rsid w:val="5C2F21DC"/>
    <w:rsid w:val="5D45567C"/>
    <w:rsid w:val="5D7F7454"/>
    <w:rsid w:val="5F574918"/>
    <w:rsid w:val="5F600208"/>
    <w:rsid w:val="609C3123"/>
    <w:rsid w:val="60DC6AC4"/>
    <w:rsid w:val="629978E6"/>
    <w:rsid w:val="638B4F06"/>
    <w:rsid w:val="648C2404"/>
    <w:rsid w:val="64C45AEE"/>
    <w:rsid w:val="64CE2842"/>
    <w:rsid w:val="65135B60"/>
    <w:rsid w:val="65A373BF"/>
    <w:rsid w:val="683B3E0E"/>
    <w:rsid w:val="69D31106"/>
    <w:rsid w:val="6AC37FB5"/>
    <w:rsid w:val="6BC45C6D"/>
    <w:rsid w:val="6C9920E9"/>
    <w:rsid w:val="6DFE54BB"/>
    <w:rsid w:val="6EA425CF"/>
    <w:rsid w:val="6F2723A2"/>
    <w:rsid w:val="70BF22EA"/>
    <w:rsid w:val="70C35A0C"/>
    <w:rsid w:val="7163104A"/>
    <w:rsid w:val="718654BA"/>
    <w:rsid w:val="71A878F5"/>
    <w:rsid w:val="755272BF"/>
    <w:rsid w:val="75724A9D"/>
    <w:rsid w:val="75B837C2"/>
    <w:rsid w:val="76E34A65"/>
    <w:rsid w:val="792932B5"/>
    <w:rsid w:val="7A510CC5"/>
    <w:rsid w:val="7A5C3FD5"/>
    <w:rsid w:val="7B1E231A"/>
    <w:rsid w:val="7D566909"/>
    <w:rsid w:val="7F8D26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after="120" w:line="360" w:lineRule="auto"/>
    </w:pPr>
    <w:rPr>
      <w:rFonts w:ascii="Times New Roman" w:hAnsi="Times New Roman" w:eastAsia="宋体" w:cs="Times New Roman"/>
      <w:kern w:val="0"/>
      <w:sz w:val="20"/>
      <w:szCs w:val="24"/>
    </w:rPr>
  </w:style>
  <w:style w:type="paragraph" w:styleId="5">
    <w:name w:val="annotation text"/>
    <w:basedOn w:val="1"/>
    <w:link w:val="23"/>
    <w:unhideWhenUsed/>
    <w:qFormat/>
    <w:uiPriority w:val="99"/>
    <w:pPr>
      <w:jc w:val="left"/>
    </w:pPr>
  </w:style>
  <w:style w:type="paragraph" w:styleId="6">
    <w:name w:val="Plain Text"/>
    <w:semiHidden/>
    <w:unhideWhenUsed/>
    <w:qFormat/>
    <w:uiPriority w:val="99"/>
    <w:pPr>
      <w:widowControl w:val="0"/>
      <w:jc w:val="both"/>
    </w:pPr>
    <w:rPr>
      <w:rFonts w:ascii="宋体" w:hAnsi="Courier New" w:eastAsiaTheme="minorEastAsia" w:cstheme="minorBidi"/>
      <w:kern w:val="2"/>
      <w:sz w:val="21"/>
      <w:szCs w:val="22"/>
      <w:lang w:val="en-US" w:eastAsia="zh-CN" w:bidi="ar-SA"/>
    </w:r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6"/>
    <w:unhideWhenUsed/>
    <w:qFormat/>
    <w:uiPriority w:val="99"/>
    <w:pPr>
      <w:snapToGrid w:val="0"/>
      <w:jc w:val="left"/>
    </w:pPr>
    <w:rPr>
      <w:sz w:val="18"/>
      <w:szCs w:val="18"/>
    </w:rPr>
  </w:style>
  <w:style w:type="paragraph" w:styleId="11">
    <w:name w:val="annotation subject"/>
    <w:basedOn w:val="5"/>
    <w:next w:val="5"/>
    <w:link w:val="24"/>
    <w:semiHidden/>
    <w:unhideWhenUsed/>
    <w:qFormat/>
    <w:uiPriority w:val="99"/>
    <w:rPr>
      <w:b/>
      <w:bCs/>
    </w:rPr>
  </w:style>
  <w:style w:type="table" w:styleId="13">
    <w:name w:val="Table Grid"/>
    <w:basedOn w:val="1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page number"/>
    <w:basedOn w:val="14"/>
    <w:qFormat/>
    <w:uiPriority w:val="0"/>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styleId="19">
    <w:name w:val="footnote reference"/>
    <w:basedOn w:val="14"/>
    <w:unhideWhenUsed/>
    <w:qFormat/>
    <w:uiPriority w:val="99"/>
    <w:rPr>
      <w:vertAlign w:val="superscript"/>
    </w:rPr>
  </w:style>
  <w:style w:type="character" w:customStyle="1" w:styleId="20">
    <w:name w:val="页脚 Char"/>
    <w:basedOn w:val="14"/>
    <w:link w:val="8"/>
    <w:qFormat/>
    <w:uiPriority w:val="99"/>
    <w:rPr>
      <w:sz w:val="18"/>
      <w:szCs w:val="18"/>
    </w:rPr>
  </w:style>
  <w:style w:type="character" w:customStyle="1" w:styleId="21">
    <w:name w:val="批注框文本 Char"/>
    <w:basedOn w:val="14"/>
    <w:link w:val="7"/>
    <w:semiHidden/>
    <w:qFormat/>
    <w:uiPriority w:val="99"/>
    <w:rPr>
      <w:sz w:val="18"/>
      <w:szCs w:val="18"/>
    </w:rPr>
  </w:style>
  <w:style w:type="character" w:customStyle="1" w:styleId="22">
    <w:name w:val="页眉 Char"/>
    <w:basedOn w:val="14"/>
    <w:link w:val="9"/>
    <w:qFormat/>
    <w:uiPriority w:val="99"/>
    <w:rPr>
      <w:sz w:val="18"/>
      <w:szCs w:val="18"/>
    </w:rPr>
  </w:style>
  <w:style w:type="character" w:customStyle="1" w:styleId="23">
    <w:name w:val="批注文字 Char"/>
    <w:basedOn w:val="14"/>
    <w:link w:val="5"/>
    <w:qFormat/>
    <w:uiPriority w:val="99"/>
  </w:style>
  <w:style w:type="character" w:customStyle="1" w:styleId="24">
    <w:name w:val="批注主题 Char"/>
    <w:basedOn w:val="23"/>
    <w:link w:val="11"/>
    <w:semiHidden/>
    <w:qFormat/>
    <w:uiPriority w:val="99"/>
    <w:rPr>
      <w:b/>
      <w:bCs/>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报告正文"/>
    <w:basedOn w:val="1"/>
    <w:link w:val="27"/>
    <w:qFormat/>
    <w:uiPriority w:val="99"/>
    <w:pPr>
      <w:overflowPunct w:val="0"/>
      <w:autoSpaceDN w:val="0"/>
      <w:spacing w:line="600" w:lineRule="exact"/>
      <w:ind w:firstLine="200" w:firstLineChars="200"/>
    </w:pPr>
    <w:rPr>
      <w:rFonts w:ascii="仿宋_GB2312" w:eastAsia="仿宋_GB2312"/>
      <w:sz w:val="30"/>
      <w:szCs w:val="30"/>
    </w:rPr>
  </w:style>
  <w:style w:type="character" w:customStyle="1" w:styleId="27">
    <w:name w:val="报告正文 Char"/>
    <w:basedOn w:val="14"/>
    <w:link w:val="26"/>
    <w:qFormat/>
    <w:uiPriority w:val="99"/>
    <w:rPr>
      <w:rFonts w:ascii="仿宋_GB2312" w:eastAsia="仿宋_GB2312" w:hAnsiTheme="minorHAnsi" w:cstheme="minorBidi"/>
      <w:kern w:val="2"/>
      <w:sz w:val="30"/>
      <w:szCs w:val="30"/>
    </w:rPr>
  </w:style>
  <w:style w:type="paragraph" w:customStyle="1" w:styleId="28">
    <w:name w:val="一级"/>
    <w:basedOn w:val="3"/>
    <w:link w:val="29"/>
    <w:qFormat/>
    <w:uiPriority w:val="0"/>
    <w:pPr>
      <w:keepNext w:val="0"/>
      <w:keepLines w:val="0"/>
      <w:jc w:val="center"/>
    </w:pPr>
    <w:rPr>
      <w:sz w:val="36"/>
      <w:szCs w:val="36"/>
    </w:rPr>
  </w:style>
  <w:style w:type="character" w:customStyle="1" w:styleId="29">
    <w:name w:val="一级 字符"/>
    <w:basedOn w:val="30"/>
    <w:link w:val="28"/>
    <w:qFormat/>
    <w:uiPriority w:val="0"/>
    <w:rPr>
      <w:rFonts w:asciiTheme="minorHAnsi" w:hAnsiTheme="minorHAnsi" w:eastAsiaTheme="minorEastAsia" w:cstheme="minorBidi"/>
      <w:kern w:val="44"/>
      <w:sz w:val="36"/>
      <w:szCs w:val="36"/>
    </w:rPr>
  </w:style>
  <w:style w:type="character" w:customStyle="1" w:styleId="30">
    <w:name w:val="标题 1 Char"/>
    <w:basedOn w:val="14"/>
    <w:link w:val="3"/>
    <w:qFormat/>
    <w:uiPriority w:val="9"/>
    <w:rPr>
      <w:rFonts w:asciiTheme="minorHAnsi" w:hAnsiTheme="minorHAnsi" w:eastAsiaTheme="minorEastAsia" w:cstheme="minorBidi"/>
      <w:b/>
      <w:bCs/>
      <w:kern w:val="44"/>
      <w:sz w:val="44"/>
      <w:szCs w:val="44"/>
    </w:rPr>
  </w:style>
  <w:style w:type="paragraph" w:customStyle="1" w:styleId="31">
    <w:name w:val="二级"/>
    <w:basedOn w:val="4"/>
    <w:link w:val="32"/>
    <w:qFormat/>
    <w:uiPriority w:val="0"/>
    <w:pPr>
      <w:keepNext w:val="0"/>
      <w:keepLines w:val="0"/>
      <w:spacing w:before="0" w:after="0" w:line="600" w:lineRule="exact"/>
      <w:ind w:firstLine="602" w:firstLineChars="200"/>
      <w:contextualSpacing/>
    </w:pPr>
    <w:rPr>
      <w:rFonts w:ascii="仿宋_GB2312" w:eastAsia="仿宋_GB2312"/>
      <w:sz w:val="30"/>
      <w:szCs w:val="30"/>
    </w:rPr>
  </w:style>
  <w:style w:type="character" w:customStyle="1" w:styleId="32">
    <w:name w:val="二级 字符"/>
    <w:basedOn w:val="33"/>
    <w:link w:val="31"/>
    <w:qFormat/>
    <w:uiPriority w:val="0"/>
    <w:rPr>
      <w:rFonts w:ascii="仿宋_GB2312" w:eastAsia="仿宋_GB2312" w:hAnsiTheme="majorHAnsi" w:cstheme="majorBidi"/>
      <w:kern w:val="2"/>
      <w:sz w:val="30"/>
      <w:szCs w:val="30"/>
    </w:rPr>
  </w:style>
  <w:style w:type="character" w:customStyle="1" w:styleId="33">
    <w:name w:val="标题 2 Char"/>
    <w:basedOn w:val="14"/>
    <w:link w:val="4"/>
    <w:semiHidden/>
    <w:qFormat/>
    <w:uiPriority w:val="9"/>
    <w:rPr>
      <w:rFonts w:asciiTheme="majorHAnsi" w:hAnsiTheme="majorHAnsi" w:eastAsiaTheme="majorEastAsia" w:cstheme="majorBidi"/>
      <w:b/>
      <w:bCs/>
      <w:kern w:val="2"/>
      <w:sz w:val="32"/>
      <w:szCs w:val="32"/>
    </w:rPr>
  </w:style>
  <w:style w:type="paragraph" w:customStyle="1" w:styleId="3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styleId="35">
    <w:name w:val="List Paragraph"/>
    <w:basedOn w:val="1"/>
    <w:qFormat/>
    <w:uiPriority w:val="99"/>
    <w:pPr>
      <w:ind w:firstLine="420" w:firstLineChars="200"/>
    </w:pPr>
  </w:style>
  <w:style w:type="character" w:customStyle="1" w:styleId="36">
    <w:name w:val="脚注文本 Char"/>
    <w:basedOn w:val="14"/>
    <w:link w:val="10"/>
    <w:qFormat/>
    <w:uiPriority w:val="99"/>
    <w:rPr>
      <w:rFonts w:asciiTheme="minorHAnsi" w:hAnsiTheme="minorHAnsi" w:eastAsiaTheme="minorEastAsia" w:cstheme="minorBidi"/>
      <w:kern w:val="2"/>
      <w:sz w:val="18"/>
      <w:szCs w:val="18"/>
    </w:rPr>
  </w:style>
  <w:style w:type="paragraph" w:customStyle="1" w:styleId="37">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铁龙_DD正文"/>
    <w:basedOn w:val="1"/>
    <w:qFormat/>
    <w:uiPriority w:val="34"/>
    <w:pPr>
      <w:spacing w:before="120"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C4D07-6051-4B0C-B7A2-2986D2E65A31}">
  <ds:schemaRefs/>
</ds:datastoreItem>
</file>

<file path=docProps/app.xml><?xml version="1.0" encoding="utf-8"?>
<Properties xmlns="http://schemas.openxmlformats.org/officeDocument/2006/extended-properties" xmlns:vt="http://schemas.openxmlformats.org/officeDocument/2006/docPropsVTypes">
  <Template>Normal</Template>
  <Pages>56</Pages>
  <Words>4700</Words>
  <Characters>26796</Characters>
  <Lines>223</Lines>
  <Paragraphs>62</Paragraphs>
  <TotalTime>18</TotalTime>
  <ScaleCrop>false</ScaleCrop>
  <LinksUpToDate>false</LinksUpToDate>
  <CharactersWithSpaces>31434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2024-02-29T11:55:00Z</dcterms:created>
  <dc:creator>叶俊艺</dc:creator>
  <cp:lastModifiedBy>彭冬珊</cp:lastModifiedBy>
  <cp:lastPrinted>2024-08-22T02:25:00Z</cp:lastPrinted>
  <dcterms:modified xsi:type="dcterms:W3CDTF">2024-09-27T01:26:29Z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79E40EA748F345B4ABAE83612F67A150</vt:lpwstr>
  </property>
</Properties>
</file>