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312" w:afterLines="100" w:afterAutospacing="0" w:line="273" w:lineRule="auto"/>
        <w:ind w:left="0" w:right="0" w:firstLine="0" w:firstLineChars="0"/>
        <w:jc w:val="left"/>
        <w:rPr>
          <w:rFonts w:hint="default" w:ascii="Times New Roman" w:hAnsi="Times New Roman" w:eastAsia="仿宋" w:cs="Times New Roman"/>
          <w:b/>
          <w:bCs/>
          <w:color w:val="auto"/>
          <w:kern w:val="2"/>
          <w:sz w:val="22"/>
          <w:szCs w:val="22"/>
        </w:rPr>
      </w:pPr>
    </w:p>
    <w:p>
      <w:pPr>
        <w:keepNext w:val="0"/>
        <w:keepLines w:val="0"/>
        <w:widowControl w:val="0"/>
        <w:suppressLineNumbers w:val="0"/>
        <w:adjustRightInd w:val="0"/>
        <w:snapToGrid w:val="0"/>
        <w:spacing w:before="0" w:beforeAutospacing="0" w:after="312" w:afterLines="100" w:afterAutospacing="0" w:line="273" w:lineRule="auto"/>
        <w:ind w:left="0" w:right="0"/>
        <w:jc w:val="center"/>
        <w:rPr>
          <w:rFonts w:hint="default" w:ascii="Times New Roman" w:hAnsi="Times New Roman" w:eastAsia="等线" w:cs="Times New Roman"/>
          <w:b/>
          <w:bCs/>
          <w:color w:val="auto"/>
          <w:kern w:val="2"/>
          <w:sz w:val="32"/>
          <w:szCs w:val="32"/>
        </w:rPr>
      </w:pPr>
      <w:r>
        <w:rPr>
          <w:rFonts w:hint="default" w:ascii="Times New Roman" w:hAnsi="Times New Roman" w:eastAsia="仿宋" w:cs="Times New Roman"/>
          <w:b/>
          <w:bCs/>
          <w:snapToGrid/>
          <w:color w:val="auto"/>
          <w:kern w:val="2"/>
          <w:sz w:val="22"/>
          <w:szCs w:val="22"/>
          <w:lang w:val="en-US" w:eastAsia="zh-CN" w:bidi="ar"/>
        </w:rPr>
        <w:t xml:space="preserve"> </w:t>
      </w:r>
      <w:r>
        <w:rPr>
          <w:rFonts w:hint="eastAsia" w:ascii="Times New Roman" w:hAnsi="Times New Roman" w:eastAsia="等线" w:cs="Times New Roman"/>
          <w:b/>
          <w:bCs/>
          <w:color w:val="auto"/>
          <w:kern w:val="2"/>
          <w:sz w:val="32"/>
          <w:szCs w:val="32"/>
          <w:lang w:val="en-US" w:eastAsia="zh-CN" w:bidi="ar"/>
        </w:rPr>
        <w:t xml:space="preserve">Chapter 4 </w:t>
      </w:r>
      <w:r>
        <w:rPr>
          <w:rFonts w:hint="default" w:ascii="Times New Roman" w:hAnsi="Times New Roman" w:eastAsia="等线" w:cs="Times New Roman"/>
          <w:b/>
          <w:bCs/>
          <w:color w:val="auto"/>
          <w:kern w:val="2"/>
          <w:sz w:val="32"/>
          <w:szCs w:val="32"/>
          <w:lang w:val="en-US" w:eastAsia="zh-CN" w:bidi="ar"/>
        </w:rPr>
        <w:t>Energy Utilization</w:t>
      </w:r>
      <w:bookmarkStart w:id="21" w:name="_GoBack"/>
      <w:bookmarkEnd w:id="21"/>
    </w:p>
    <w:p>
      <w:pPr>
        <w:keepNext w:val="0"/>
        <w:keepLines w:val="0"/>
        <w:widowControl w:val="0"/>
        <w:suppressLineNumbers w:val="0"/>
        <w:adjustRightInd w:val="0"/>
        <w:snapToGrid w:val="0"/>
        <w:spacing w:before="0" w:beforeAutospacing="0" w:after="312" w:afterLines="100" w:afterAutospacing="0" w:line="273" w:lineRule="auto"/>
        <w:ind w:left="0" w:right="0" w:firstLine="442" w:firstLineChars="200"/>
        <w:jc w:val="left"/>
        <w:rPr>
          <w:rFonts w:hint="default" w:ascii="Times New Roman" w:hAnsi="Times New Roman" w:eastAsia="仿宋" w:cs="Times New Roman"/>
          <w:b/>
          <w:bCs/>
          <w:color w:val="auto"/>
          <w:kern w:val="2"/>
          <w:sz w:val="22"/>
          <w:szCs w:val="22"/>
        </w:rPr>
      </w:pPr>
    </w:p>
    <w:p>
      <w:pPr>
        <w:keepNext w:val="0"/>
        <w:keepLines w:val="0"/>
        <w:widowControl w:val="0"/>
        <w:suppressLineNumbers w:val="0"/>
        <w:adjustRightInd w:val="0"/>
        <w:snapToGrid w:val="0"/>
        <w:spacing w:before="0" w:beforeAutospacing="0" w:after="312" w:afterLines="100" w:afterAutospacing="0" w:line="273" w:lineRule="auto"/>
        <w:ind w:left="0" w:right="0"/>
        <w:jc w:val="center"/>
        <w:rPr>
          <w:rFonts w:hint="default" w:ascii="Times New Roman" w:hAnsi="Times New Roman" w:eastAsia="等线" w:cs="Times New Roman"/>
          <w:b/>
          <w:bCs/>
          <w:color w:val="auto"/>
          <w:kern w:val="2"/>
          <w:sz w:val="32"/>
          <w:szCs w:val="32"/>
        </w:rPr>
      </w:pPr>
      <w:r>
        <w:rPr>
          <w:rFonts w:hint="default" w:ascii="Times New Roman" w:hAnsi="Times New Roman" w:eastAsia="仿宋" w:cs="Times New Roman"/>
          <w:b/>
          <w:bCs/>
          <w:snapToGrid/>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keepNext w:val="0"/>
        <w:keepLines w:val="0"/>
        <w:widowControl/>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p>
    <w:p>
      <w:pPr>
        <w:keepNext w:val="0"/>
        <w:keepLines w:val="0"/>
        <w:widowControl w:val="0"/>
        <w:suppressLineNumbers w:val="0"/>
        <w:adjustRightInd w:val="0"/>
        <w:snapToGrid w:val="0"/>
        <w:spacing w:before="0" w:beforeAutospacing="0" w:after="312" w:afterLines="100" w:afterAutospacing="0" w:line="273" w:lineRule="auto"/>
        <w:ind w:left="0" w:right="0"/>
        <w:jc w:val="center"/>
        <w:rPr>
          <w:rFonts w:hint="default" w:ascii="Times New Roman" w:hAnsi="Times New Roman" w:eastAsia="等线" w:cs="Times New Roman"/>
          <w:b/>
          <w:bCs w:val="0"/>
          <w:color w:val="auto"/>
          <w:kern w:val="2"/>
          <w:sz w:val="28"/>
          <w:szCs w:val="28"/>
        </w:rPr>
      </w:pPr>
      <w:r>
        <w:rPr>
          <w:rFonts w:hint="default" w:ascii="Times New Roman" w:hAnsi="Times New Roman" w:eastAsia="等线" w:cs="Times New Roman"/>
          <w:b/>
          <w:bCs w:val="0"/>
          <w:color w:val="auto"/>
          <w:kern w:val="2"/>
          <w:sz w:val="28"/>
          <w:szCs w:val="28"/>
          <w:lang w:val="en-US" w:eastAsia="zh-CN" w:bidi="ar"/>
        </w:rPr>
        <w:t>Table of Contents</w:t>
      </w:r>
    </w:p>
    <w:p>
      <w:pPr>
        <w:pStyle w:val="8"/>
        <w:widowControl/>
        <w:tabs>
          <w:tab w:val="left" w:pos="1050"/>
          <w:tab w:val="right" w:leader="dot" w:pos="8296"/>
        </w:tabs>
        <w:adjustRightInd w:val="0"/>
        <w:snapToGrid w:val="0"/>
        <w:spacing w:after="312" w:afterLines="100" w:afterAutospacing="0" w:line="273" w:lineRule="auto"/>
        <w:rPr>
          <w:rFonts w:hint="default" w:ascii="Times New Roman" w:hAnsi="Times New Roman" w:eastAsia="等线" w:cs="Times New Roman"/>
          <w:b/>
          <w:bCs w:val="0"/>
          <w:color w:val="auto"/>
          <w:kern w:val="2"/>
          <w:sz w:val="22"/>
          <w:szCs w:val="22"/>
          <w:u w:val="none"/>
        </w:rPr>
      </w:pPr>
      <w:r>
        <w:rPr>
          <w:color w:val="auto"/>
          <w:u w:val="none"/>
        </w:rPr>
        <w:fldChar w:fldCharType="begin"/>
      </w:r>
      <w:r>
        <w:rPr>
          <w:color w:val="auto"/>
          <w:u w:val="none"/>
        </w:rPr>
        <w:instrText xml:space="preserve"> HYPERLINK "" \l "_Toc207873776" </w:instrText>
      </w:r>
      <w:r>
        <w:rPr>
          <w:color w:val="auto"/>
          <w:u w:val="none"/>
        </w:rPr>
        <w:fldChar w:fldCharType="separate"/>
      </w:r>
      <w:r>
        <w:rPr>
          <w:rStyle w:val="14"/>
          <w:rFonts w:hint="eastAsia" w:ascii="Times New Roman" w:hAnsi="Times New Roman" w:eastAsia="等线" w:cs="Times New Roman"/>
          <w:b/>
          <w:bCs w:val="0"/>
          <w:color w:val="auto"/>
          <w:sz w:val="22"/>
          <w:szCs w:val="22"/>
          <w:u w:val="none"/>
          <w:lang w:val="en-US" w:eastAsia="zh-CN"/>
        </w:rPr>
        <w:t>Section</w:t>
      </w:r>
      <w:r>
        <w:rPr>
          <w:rStyle w:val="14"/>
          <w:rFonts w:hint="default" w:ascii="Times New Roman" w:hAnsi="Times New Roman" w:eastAsia="等线" w:cs="Times New Roman"/>
          <w:b/>
          <w:bCs w:val="0"/>
          <w:color w:val="auto"/>
          <w:sz w:val="22"/>
          <w:szCs w:val="22"/>
          <w:u w:val="none"/>
        </w:rPr>
        <w:t xml:space="preserve"> I</w:t>
      </w:r>
      <w:r>
        <w:rPr>
          <w:rStyle w:val="14"/>
          <w:rFonts w:hint="default" w:ascii="Times New Roman" w:hAnsi="Times New Roman" w:eastAsia="等线" w:cs="Times New Roman"/>
          <w:b/>
          <w:bCs w:val="0"/>
          <w:color w:val="auto"/>
          <w:kern w:val="2"/>
          <w:sz w:val="22"/>
          <w:szCs w:val="22"/>
          <w:u w:val="none"/>
        </w:rPr>
        <w:tab/>
      </w:r>
      <w:r>
        <w:rPr>
          <w:rStyle w:val="14"/>
          <w:rFonts w:hint="default" w:ascii="Times New Roman" w:hAnsi="Times New Roman" w:eastAsia="等线" w:cs="Times New Roman"/>
          <w:b/>
          <w:bCs w:val="0"/>
          <w:color w:val="auto"/>
          <w:sz w:val="22"/>
          <w:szCs w:val="22"/>
          <w:u w:val="none"/>
        </w:rPr>
        <w:t>Assessment of Energy-Related Risks and Opportunities</w:t>
      </w:r>
      <w:r>
        <w:rPr>
          <w:rStyle w:val="14"/>
          <w:rFonts w:hint="default" w:ascii="Times New Roman" w:hAnsi="Times New Roman" w:eastAsia="等线" w:cs="Times New Roman"/>
          <w:b/>
          <w:bCs w:val="0"/>
          <w:color w:val="auto"/>
          <w:kern w:val="2"/>
          <w:sz w:val="22"/>
          <w:szCs w:val="22"/>
          <w:u w:val="none"/>
        </w:rPr>
        <w:tab/>
      </w:r>
      <w:r>
        <w:rPr>
          <w:rStyle w:val="14"/>
          <w:rFonts w:hint="eastAsia" w:ascii="Times New Roman" w:hAnsi="Times New Roman" w:cs="Times New Roman"/>
          <w:b/>
          <w:bCs w:val="0"/>
          <w:color w:val="auto"/>
          <w:kern w:val="2"/>
          <w:sz w:val="22"/>
          <w:szCs w:val="22"/>
          <w:u w:val="none"/>
          <w:lang w:val="en-US" w:eastAsia="zh-CN"/>
        </w:rPr>
        <w:t>1</w:t>
      </w:r>
      <w:r>
        <w:rPr>
          <w:color w:val="auto"/>
          <w:u w:val="none"/>
        </w:rPr>
        <w:fldChar w:fldCharType="end"/>
      </w:r>
    </w:p>
    <w:p>
      <w:pPr>
        <w:pStyle w:val="10"/>
        <w:keepNext w:val="0"/>
        <w:keepLines w:val="0"/>
        <w:widowControl w:val="0"/>
        <w:suppressLineNumbers w:val="0"/>
        <w:tabs>
          <w:tab w:val="left" w:pos="1560"/>
          <w:tab w:val="right" w:leader="dot" w:pos="8296"/>
        </w:tabs>
        <w:adjustRightInd w:val="0"/>
        <w:snapToGrid w:val="0"/>
        <w:spacing w:before="100" w:beforeAutospacing="1" w:after="312" w:afterLines="100" w:afterAutospacing="0" w:line="273" w:lineRule="auto"/>
        <w:ind w:left="420" w:leftChars="200" w:right="0" w:firstLine="680" w:firstLineChars="324"/>
        <w:jc w:val="both"/>
        <w:rPr>
          <w:rFonts w:hint="default" w:ascii="Times New Roman" w:hAnsi="Times New Roman" w:eastAsia="等线" w:cs="Times New Roman"/>
          <w:color w:val="auto"/>
          <w:kern w:val="2"/>
          <w:sz w:val="22"/>
          <w:szCs w:val="22"/>
          <w:u w:val="none"/>
        </w:rPr>
      </w:pPr>
      <w:r>
        <w:rPr>
          <w:rFonts w:hint="default" w:ascii="等线" w:hAnsi="等线" w:eastAsia="等线" w:cs="Times New Roman"/>
          <w:color w:val="auto"/>
          <w:kern w:val="2"/>
          <w:sz w:val="21"/>
          <w:szCs w:val="21"/>
          <w:u w:val="none"/>
          <w:lang w:val="en-US" w:eastAsia="zh-CN" w:bidi="ar"/>
        </w:rPr>
        <w:fldChar w:fldCharType="begin"/>
      </w:r>
      <w:r>
        <w:rPr>
          <w:rFonts w:hint="default" w:ascii="等线" w:hAnsi="等线" w:eastAsia="等线" w:cs="Times New Roman"/>
          <w:color w:val="auto"/>
          <w:kern w:val="2"/>
          <w:sz w:val="21"/>
          <w:szCs w:val="21"/>
          <w:u w:val="none"/>
          <w:lang w:val="en-US" w:eastAsia="zh-CN" w:bidi="ar"/>
        </w:rPr>
        <w:instrText xml:space="preserve"> HYPERLINK "" \l "_Toc207873777" </w:instrText>
      </w:r>
      <w:r>
        <w:rPr>
          <w:rFonts w:hint="default" w:ascii="等线" w:hAnsi="等线" w:eastAsia="等线" w:cs="Times New Roman"/>
          <w:color w:val="auto"/>
          <w:kern w:val="2"/>
          <w:sz w:val="21"/>
          <w:szCs w:val="21"/>
          <w:u w:val="none"/>
          <w:lang w:val="en-US" w:eastAsia="zh-CN" w:bidi="ar"/>
        </w:rPr>
        <w:fldChar w:fldCharType="separate"/>
      </w:r>
      <w:r>
        <w:rPr>
          <w:rStyle w:val="15"/>
          <w:rFonts w:hint="default" w:ascii="Times New Roman" w:hAnsi="Times New Roman" w:eastAsia="等线" w:cs="Times New Roman"/>
          <w:color w:val="auto"/>
          <w:sz w:val="22"/>
          <w:szCs w:val="22"/>
          <w:u w:val="none"/>
        </w:rPr>
        <w:t>I.</w:t>
      </w:r>
      <w:r>
        <w:rPr>
          <w:rStyle w:val="15"/>
          <w:rFonts w:hint="default" w:ascii="Times New Roman" w:hAnsi="Times New Roman" w:eastAsia="等线" w:cs="Times New Roman"/>
          <w:color w:val="auto"/>
          <w:kern w:val="2"/>
          <w:sz w:val="22"/>
          <w:szCs w:val="22"/>
          <w:u w:val="none"/>
        </w:rPr>
        <w:tab/>
      </w:r>
      <w:r>
        <w:rPr>
          <w:rStyle w:val="15"/>
          <w:rFonts w:hint="default" w:ascii="Times New Roman" w:hAnsi="Times New Roman" w:eastAsia="等线" w:cs="Times New Roman"/>
          <w:color w:val="auto"/>
          <w:sz w:val="22"/>
          <w:szCs w:val="22"/>
          <w:u w:val="none"/>
        </w:rPr>
        <w:t>Energy-Related Risks and Opportunities</w:t>
      </w:r>
      <w:r>
        <w:rPr>
          <w:rStyle w:val="15"/>
          <w:rFonts w:hint="default" w:ascii="Times New Roman" w:hAnsi="Times New Roman" w:eastAsia="等线" w:cs="Times New Roman"/>
          <w:color w:val="auto"/>
          <w:kern w:val="2"/>
          <w:sz w:val="22"/>
          <w:szCs w:val="22"/>
          <w:u w:val="none"/>
        </w:rPr>
        <w:tab/>
      </w:r>
      <w:r>
        <w:rPr>
          <w:rStyle w:val="15"/>
          <w:rFonts w:hint="eastAsia" w:ascii="Times New Roman" w:hAnsi="Times New Roman" w:eastAsia="等线" w:cs="Times New Roman"/>
          <w:color w:val="auto"/>
          <w:kern w:val="2"/>
          <w:sz w:val="22"/>
          <w:szCs w:val="22"/>
          <w:u w:val="none"/>
          <w:lang w:val="en-US" w:eastAsia="zh-CN"/>
        </w:rPr>
        <w:t>1</w:t>
      </w:r>
      <w:r>
        <w:rPr>
          <w:rFonts w:hint="default" w:ascii="等线" w:hAnsi="等线" w:eastAsia="等线" w:cs="Times New Roman"/>
          <w:color w:val="auto"/>
          <w:kern w:val="2"/>
          <w:sz w:val="21"/>
          <w:szCs w:val="21"/>
          <w:u w:val="none"/>
          <w:lang w:val="en-US" w:eastAsia="zh-CN" w:bidi="ar"/>
        </w:rPr>
        <w:fldChar w:fldCharType="end"/>
      </w:r>
    </w:p>
    <w:p>
      <w:pPr>
        <w:pStyle w:val="10"/>
        <w:keepNext w:val="0"/>
        <w:keepLines w:val="0"/>
        <w:widowControl w:val="0"/>
        <w:suppressLineNumbers w:val="0"/>
        <w:tabs>
          <w:tab w:val="left" w:pos="1560"/>
          <w:tab w:val="right" w:leader="dot" w:pos="8296"/>
        </w:tabs>
        <w:adjustRightInd w:val="0"/>
        <w:snapToGrid w:val="0"/>
        <w:spacing w:before="100" w:beforeAutospacing="1" w:after="312" w:afterLines="100" w:afterAutospacing="0" w:line="273" w:lineRule="auto"/>
        <w:ind w:left="420" w:leftChars="200" w:right="0" w:firstLine="680" w:firstLineChars="324"/>
        <w:jc w:val="both"/>
        <w:rPr>
          <w:rFonts w:hint="default" w:ascii="Times New Roman" w:hAnsi="Times New Roman" w:eastAsia="等线" w:cs="Times New Roman"/>
          <w:color w:val="auto"/>
          <w:kern w:val="2"/>
          <w:sz w:val="22"/>
          <w:szCs w:val="22"/>
          <w:u w:val="none"/>
        </w:rPr>
      </w:pPr>
      <w:r>
        <w:rPr>
          <w:rFonts w:hint="default" w:ascii="等线" w:hAnsi="等线" w:eastAsia="等线" w:cs="Times New Roman"/>
          <w:color w:val="auto"/>
          <w:kern w:val="2"/>
          <w:sz w:val="21"/>
          <w:szCs w:val="21"/>
          <w:u w:val="none"/>
          <w:lang w:val="en-US" w:eastAsia="zh-CN" w:bidi="ar"/>
        </w:rPr>
        <w:fldChar w:fldCharType="begin"/>
      </w:r>
      <w:r>
        <w:rPr>
          <w:rFonts w:hint="default" w:ascii="等线" w:hAnsi="等线" w:eastAsia="等线" w:cs="Times New Roman"/>
          <w:color w:val="auto"/>
          <w:kern w:val="2"/>
          <w:sz w:val="21"/>
          <w:szCs w:val="21"/>
          <w:u w:val="none"/>
          <w:lang w:val="en-US" w:eastAsia="zh-CN" w:bidi="ar"/>
        </w:rPr>
        <w:instrText xml:space="preserve"> HYPERLINK "" \l "_Toc207873778" </w:instrText>
      </w:r>
      <w:r>
        <w:rPr>
          <w:rFonts w:hint="default" w:ascii="等线" w:hAnsi="等线" w:eastAsia="等线" w:cs="Times New Roman"/>
          <w:color w:val="auto"/>
          <w:kern w:val="2"/>
          <w:sz w:val="21"/>
          <w:szCs w:val="21"/>
          <w:u w:val="none"/>
          <w:lang w:val="en-US" w:eastAsia="zh-CN" w:bidi="ar"/>
        </w:rPr>
        <w:fldChar w:fldCharType="separate"/>
      </w:r>
      <w:r>
        <w:rPr>
          <w:rStyle w:val="15"/>
          <w:rFonts w:hint="default" w:ascii="Times New Roman" w:hAnsi="Times New Roman" w:eastAsia="等线" w:cs="Times New Roman"/>
          <w:color w:val="auto"/>
          <w:sz w:val="22"/>
          <w:szCs w:val="22"/>
          <w:u w:val="none"/>
        </w:rPr>
        <w:t>II.</w:t>
      </w:r>
      <w:r>
        <w:rPr>
          <w:rStyle w:val="15"/>
          <w:rFonts w:hint="default" w:ascii="Times New Roman" w:hAnsi="Times New Roman" w:eastAsia="等线" w:cs="Times New Roman"/>
          <w:color w:val="auto"/>
          <w:kern w:val="2"/>
          <w:sz w:val="22"/>
          <w:szCs w:val="22"/>
          <w:u w:val="none"/>
        </w:rPr>
        <w:tab/>
      </w:r>
      <w:r>
        <w:rPr>
          <w:rStyle w:val="15"/>
          <w:rFonts w:hint="default" w:ascii="Times New Roman" w:hAnsi="Times New Roman" w:eastAsia="等线" w:cs="Times New Roman"/>
          <w:color w:val="auto"/>
          <w:sz w:val="22"/>
          <w:szCs w:val="22"/>
          <w:u w:val="none"/>
        </w:rPr>
        <w:t>Financial Effects of Energy-Related Risks and Opportunities</w:t>
      </w:r>
      <w:r>
        <w:rPr>
          <w:rStyle w:val="15"/>
          <w:rFonts w:hint="default" w:ascii="Times New Roman" w:hAnsi="Times New Roman" w:eastAsia="等线" w:cs="Times New Roman"/>
          <w:color w:val="auto"/>
          <w:kern w:val="2"/>
          <w:sz w:val="22"/>
          <w:szCs w:val="22"/>
          <w:u w:val="none"/>
        </w:rPr>
        <w:tab/>
      </w:r>
      <w:r>
        <w:rPr>
          <w:rStyle w:val="15"/>
          <w:rFonts w:hint="eastAsia" w:ascii="Times New Roman" w:hAnsi="Times New Roman" w:eastAsia="等线" w:cs="Times New Roman"/>
          <w:color w:val="auto"/>
          <w:kern w:val="2"/>
          <w:sz w:val="22"/>
          <w:szCs w:val="22"/>
          <w:u w:val="none"/>
          <w:lang w:val="en-US" w:eastAsia="zh-CN"/>
        </w:rPr>
        <w:t>4</w:t>
      </w:r>
      <w:r>
        <w:rPr>
          <w:rFonts w:hint="default" w:ascii="等线" w:hAnsi="等线" w:eastAsia="等线" w:cs="Times New Roman"/>
          <w:color w:val="auto"/>
          <w:kern w:val="2"/>
          <w:sz w:val="21"/>
          <w:szCs w:val="21"/>
          <w:u w:val="none"/>
          <w:lang w:val="en-US" w:eastAsia="zh-CN" w:bidi="ar"/>
        </w:rPr>
        <w:fldChar w:fldCharType="end"/>
      </w:r>
    </w:p>
    <w:p>
      <w:pPr>
        <w:pStyle w:val="8"/>
        <w:widowControl/>
        <w:tabs>
          <w:tab w:val="left" w:pos="1260"/>
          <w:tab w:val="right" w:leader="dot" w:pos="8296"/>
        </w:tabs>
        <w:adjustRightInd w:val="0"/>
        <w:snapToGrid w:val="0"/>
        <w:spacing w:after="312" w:afterLines="100" w:afterAutospacing="0" w:line="273" w:lineRule="auto"/>
        <w:rPr>
          <w:rFonts w:hint="default" w:ascii="Times New Roman" w:hAnsi="Times New Roman" w:eastAsia="等线" w:cs="Times New Roman"/>
          <w:b/>
          <w:bCs w:val="0"/>
          <w:color w:val="auto"/>
          <w:kern w:val="2"/>
          <w:sz w:val="22"/>
          <w:szCs w:val="22"/>
          <w:u w:val="none"/>
        </w:rPr>
      </w:pPr>
      <w:r>
        <w:rPr>
          <w:color w:val="auto"/>
          <w:u w:val="none"/>
        </w:rPr>
        <w:fldChar w:fldCharType="begin"/>
      </w:r>
      <w:r>
        <w:rPr>
          <w:color w:val="auto"/>
          <w:u w:val="none"/>
        </w:rPr>
        <w:instrText xml:space="preserve"> HYPERLINK "" \l "_Toc207873779" </w:instrText>
      </w:r>
      <w:r>
        <w:rPr>
          <w:color w:val="auto"/>
          <w:u w:val="none"/>
        </w:rPr>
        <w:fldChar w:fldCharType="separate"/>
      </w:r>
      <w:r>
        <w:rPr>
          <w:rStyle w:val="14"/>
          <w:rFonts w:hint="eastAsia" w:ascii="Times New Roman" w:hAnsi="Times New Roman" w:eastAsia="等线" w:cs="Times New Roman"/>
          <w:b/>
          <w:bCs w:val="0"/>
          <w:color w:val="auto"/>
          <w:sz w:val="22"/>
          <w:szCs w:val="22"/>
          <w:u w:val="none"/>
          <w:lang w:val="en-US" w:eastAsia="zh-CN"/>
        </w:rPr>
        <w:t xml:space="preserve">Section </w:t>
      </w:r>
      <w:r>
        <w:rPr>
          <w:rStyle w:val="14"/>
          <w:rFonts w:hint="default" w:ascii="Times New Roman" w:hAnsi="Times New Roman" w:eastAsia="等线" w:cs="Times New Roman"/>
          <w:b/>
          <w:bCs w:val="0"/>
          <w:color w:val="auto"/>
          <w:sz w:val="22"/>
          <w:szCs w:val="22"/>
          <w:u w:val="none"/>
        </w:rPr>
        <w:t>II</w:t>
      </w:r>
      <w:r>
        <w:rPr>
          <w:rStyle w:val="14"/>
          <w:rFonts w:hint="default" w:ascii="Times New Roman" w:hAnsi="Times New Roman" w:eastAsia="等线" w:cs="Times New Roman"/>
          <w:b/>
          <w:bCs w:val="0"/>
          <w:color w:val="auto"/>
          <w:kern w:val="2"/>
          <w:sz w:val="22"/>
          <w:szCs w:val="22"/>
          <w:u w:val="none"/>
        </w:rPr>
        <w:tab/>
      </w:r>
      <w:r>
        <w:rPr>
          <w:rStyle w:val="14"/>
          <w:rFonts w:hint="default" w:ascii="Times New Roman" w:hAnsi="Times New Roman" w:eastAsia="等线" w:cs="Times New Roman"/>
          <w:b/>
          <w:bCs w:val="0"/>
          <w:color w:val="auto"/>
          <w:sz w:val="22"/>
          <w:szCs w:val="22"/>
          <w:u w:val="none"/>
        </w:rPr>
        <w:t>Method for Calculating Comprehensive Energy Consumption</w:t>
      </w:r>
      <w:r>
        <w:rPr>
          <w:rStyle w:val="14"/>
          <w:rFonts w:hint="default" w:ascii="Times New Roman" w:hAnsi="Times New Roman" w:eastAsia="等线" w:cs="Times New Roman"/>
          <w:b/>
          <w:bCs w:val="0"/>
          <w:color w:val="auto"/>
          <w:kern w:val="2"/>
          <w:sz w:val="22"/>
          <w:szCs w:val="22"/>
          <w:u w:val="none"/>
        </w:rPr>
        <w:tab/>
      </w:r>
      <w:r>
        <w:rPr>
          <w:color w:val="auto"/>
          <w:u w:val="none"/>
        </w:rPr>
        <w:fldChar w:fldCharType="end"/>
      </w:r>
      <w:r>
        <w:rPr>
          <w:rStyle w:val="15"/>
          <w:rFonts w:hint="eastAsia" w:ascii="Times New Roman" w:hAnsi="Times New Roman" w:cs="Times New Roman"/>
          <w:b/>
          <w:bCs w:val="0"/>
          <w:color w:val="auto"/>
          <w:kern w:val="2"/>
          <w:sz w:val="22"/>
          <w:szCs w:val="22"/>
          <w:u w:val="none"/>
          <w:lang w:val="en-US" w:eastAsia="zh-CN"/>
        </w:rPr>
        <w:t>5</w:t>
      </w:r>
    </w:p>
    <w:p>
      <w:pPr>
        <w:pStyle w:val="8"/>
        <w:widowControl/>
        <w:tabs>
          <w:tab w:val="left" w:pos="1260"/>
          <w:tab w:val="right" w:leader="dot" w:pos="8296"/>
        </w:tabs>
        <w:adjustRightInd w:val="0"/>
        <w:snapToGrid w:val="0"/>
        <w:spacing w:after="312" w:afterLines="100" w:afterAutospacing="0" w:line="273" w:lineRule="auto"/>
        <w:rPr>
          <w:rFonts w:hint="default" w:ascii="Times New Roman" w:hAnsi="Times New Roman" w:eastAsia="等线" w:cs="Times New Roman"/>
          <w:b/>
          <w:bCs w:val="0"/>
          <w:color w:val="auto"/>
          <w:kern w:val="2"/>
          <w:sz w:val="22"/>
          <w:szCs w:val="22"/>
          <w:u w:val="none"/>
        </w:rPr>
      </w:pPr>
      <w:r>
        <w:rPr>
          <w:color w:val="auto"/>
          <w:u w:val="none"/>
        </w:rPr>
        <w:fldChar w:fldCharType="begin"/>
      </w:r>
      <w:r>
        <w:rPr>
          <w:color w:val="auto"/>
          <w:u w:val="none"/>
        </w:rPr>
        <w:instrText xml:space="preserve"> HYPERLINK "" \l "_Toc207873780" </w:instrText>
      </w:r>
      <w:r>
        <w:rPr>
          <w:color w:val="auto"/>
          <w:u w:val="none"/>
        </w:rPr>
        <w:fldChar w:fldCharType="separate"/>
      </w:r>
      <w:r>
        <w:rPr>
          <w:rStyle w:val="15"/>
          <w:rFonts w:hint="eastAsia" w:ascii="Times New Roman" w:hAnsi="Times New Roman" w:cs="Times New Roman"/>
          <w:b/>
          <w:bCs w:val="0"/>
          <w:color w:val="auto"/>
          <w:sz w:val="22"/>
          <w:szCs w:val="22"/>
          <w:u w:val="none"/>
          <w:lang w:val="en-US" w:eastAsia="zh-CN"/>
        </w:rPr>
        <w:t xml:space="preserve">Section </w:t>
      </w:r>
      <w:r>
        <w:rPr>
          <w:rStyle w:val="15"/>
          <w:rFonts w:hint="default" w:ascii="Times New Roman" w:hAnsi="Times New Roman" w:eastAsia="等线" w:cs="Times New Roman"/>
          <w:b/>
          <w:bCs w:val="0"/>
          <w:color w:val="auto"/>
          <w:sz w:val="22"/>
          <w:szCs w:val="22"/>
          <w:u w:val="none"/>
        </w:rPr>
        <w:t>III</w:t>
      </w:r>
      <w:r>
        <w:rPr>
          <w:rStyle w:val="15"/>
          <w:rFonts w:hint="default" w:ascii="Times New Roman" w:hAnsi="Times New Roman" w:eastAsia="等线" w:cs="Times New Roman"/>
          <w:b/>
          <w:bCs w:val="0"/>
          <w:color w:val="auto"/>
          <w:kern w:val="2"/>
          <w:sz w:val="22"/>
          <w:szCs w:val="22"/>
          <w:u w:val="none"/>
        </w:rPr>
        <w:tab/>
      </w:r>
      <w:r>
        <w:rPr>
          <w:rStyle w:val="15"/>
          <w:rFonts w:hint="default" w:ascii="Times New Roman" w:hAnsi="Times New Roman" w:eastAsia="等线" w:cs="Times New Roman"/>
          <w:b/>
          <w:bCs w:val="0"/>
          <w:color w:val="auto"/>
          <w:sz w:val="22"/>
          <w:szCs w:val="22"/>
          <w:u w:val="none"/>
        </w:rPr>
        <w:t>Key Disclosure Items</w:t>
      </w:r>
      <w:r>
        <w:rPr>
          <w:rStyle w:val="15"/>
          <w:rFonts w:hint="default" w:ascii="Times New Roman" w:hAnsi="Times New Roman" w:eastAsia="等线" w:cs="Times New Roman"/>
          <w:b/>
          <w:bCs w:val="0"/>
          <w:color w:val="auto"/>
          <w:kern w:val="2"/>
          <w:sz w:val="22"/>
          <w:szCs w:val="22"/>
          <w:u w:val="none"/>
        </w:rPr>
        <w:tab/>
      </w:r>
      <w:r>
        <w:rPr>
          <w:color w:val="auto"/>
          <w:u w:val="none"/>
        </w:rPr>
        <w:fldChar w:fldCharType="end"/>
      </w:r>
      <w:r>
        <w:rPr>
          <w:rStyle w:val="15"/>
          <w:rFonts w:hint="eastAsia" w:ascii="Times New Roman" w:hAnsi="Times New Roman" w:cs="Times New Roman"/>
          <w:b/>
          <w:bCs w:val="0"/>
          <w:color w:val="auto"/>
          <w:kern w:val="2"/>
          <w:sz w:val="22"/>
          <w:szCs w:val="22"/>
          <w:u w:val="none"/>
          <w:lang w:val="en-US" w:eastAsia="zh-CN"/>
        </w:rPr>
        <w:t>7</w:t>
      </w:r>
    </w:p>
    <w:p>
      <w:pPr>
        <w:pStyle w:val="10"/>
        <w:keepNext w:val="0"/>
        <w:keepLines w:val="0"/>
        <w:widowControl w:val="0"/>
        <w:suppressLineNumbers w:val="0"/>
        <w:tabs>
          <w:tab w:val="right" w:leader="dot" w:pos="8296"/>
        </w:tabs>
        <w:adjustRightInd w:val="0"/>
        <w:snapToGrid w:val="0"/>
        <w:spacing w:before="100" w:beforeAutospacing="1" w:after="312" w:afterLines="100" w:afterAutospacing="0" w:line="273" w:lineRule="auto"/>
        <w:ind w:left="420" w:leftChars="0" w:right="0" w:firstLine="630" w:firstLineChars="0"/>
        <w:jc w:val="both"/>
        <w:rPr>
          <w:rFonts w:hint="default" w:ascii="Times New Roman" w:hAnsi="Times New Roman" w:eastAsia="等线" w:cs="Times New Roman"/>
          <w:color w:val="auto"/>
          <w:kern w:val="2"/>
          <w:sz w:val="22"/>
          <w:szCs w:val="22"/>
          <w:u w:val="none"/>
        </w:rPr>
      </w:pPr>
      <w:r>
        <w:rPr>
          <w:rFonts w:hint="default" w:ascii="等线" w:hAnsi="等线" w:eastAsia="等线" w:cs="Times New Roman"/>
          <w:color w:val="auto"/>
          <w:kern w:val="2"/>
          <w:sz w:val="21"/>
          <w:szCs w:val="21"/>
          <w:u w:val="none"/>
          <w:lang w:val="en-US" w:eastAsia="zh-CN" w:bidi="ar"/>
        </w:rPr>
        <w:fldChar w:fldCharType="begin"/>
      </w:r>
      <w:r>
        <w:rPr>
          <w:rFonts w:hint="default" w:ascii="等线" w:hAnsi="等线" w:eastAsia="等线" w:cs="Times New Roman"/>
          <w:color w:val="auto"/>
          <w:kern w:val="2"/>
          <w:sz w:val="21"/>
          <w:szCs w:val="21"/>
          <w:u w:val="none"/>
          <w:lang w:val="en-US" w:eastAsia="zh-CN" w:bidi="ar"/>
        </w:rPr>
        <w:instrText xml:space="preserve"> HYPERLINK "" \l "_Toc207873781" </w:instrText>
      </w:r>
      <w:r>
        <w:rPr>
          <w:rFonts w:hint="default" w:ascii="等线" w:hAnsi="等线" w:eastAsia="等线" w:cs="Times New Roman"/>
          <w:color w:val="auto"/>
          <w:kern w:val="2"/>
          <w:sz w:val="21"/>
          <w:szCs w:val="21"/>
          <w:u w:val="none"/>
          <w:lang w:val="en-US" w:eastAsia="zh-CN" w:bidi="ar"/>
        </w:rPr>
        <w:fldChar w:fldCharType="separate"/>
      </w:r>
      <w:r>
        <w:rPr>
          <w:rStyle w:val="14"/>
          <w:rFonts w:hint="default" w:ascii="Times New Roman" w:hAnsi="Times New Roman" w:eastAsia="等线" w:cs="Times New Roman"/>
          <w:color w:val="auto"/>
          <w:sz w:val="22"/>
          <w:szCs w:val="22"/>
          <w:u w:val="none"/>
        </w:rPr>
        <w:t>Key Disclosure Item 1: Basic Information on Energy Usage</w:t>
      </w:r>
      <w:r>
        <w:rPr>
          <w:rStyle w:val="14"/>
          <w:rFonts w:hint="default" w:ascii="Times New Roman" w:hAnsi="Times New Roman" w:eastAsia="等线" w:cs="Times New Roman"/>
          <w:color w:val="auto"/>
          <w:kern w:val="2"/>
          <w:sz w:val="22"/>
          <w:szCs w:val="22"/>
          <w:u w:val="none"/>
        </w:rPr>
        <w:tab/>
      </w:r>
      <w:r>
        <w:rPr>
          <w:rFonts w:hint="default" w:ascii="等线" w:hAnsi="等线" w:eastAsia="等线" w:cs="Times New Roman"/>
          <w:color w:val="auto"/>
          <w:kern w:val="2"/>
          <w:sz w:val="21"/>
          <w:szCs w:val="21"/>
          <w:u w:val="none"/>
          <w:lang w:val="en-US" w:eastAsia="zh-CN" w:bidi="ar"/>
        </w:rPr>
        <w:fldChar w:fldCharType="end"/>
      </w:r>
      <w:r>
        <w:rPr>
          <w:rStyle w:val="15"/>
          <w:rFonts w:hint="eastAsia" w:ascii="Times New Roman" w:hAnsi="Times New Roman" w:eastAsia="等线" w:cs="Times New Roman"/>
          <w:color w:val="auto"/>
          <w:kern w:val="2"/>
          <w:sz w:val="22"/>
          <w:szCs w:val="22"/>
          <w:u w:val="none"/>
          <w:lang w:val="en-US" w:eastAsia="zh-CN"/>
        </w:rPr>
        <w:t>7</w:t>
      </w:r>
    </w:p>
    <w:p>
      <w:pPr>
        <w:pStyle w:val="10"/>
        <w:keepNext w:val="0"/>
        <w:keepLines w:val="0"/>
        <w:widowControl w:val="0"/>
        <w:suppressLineNumbers w:val="0"/>
        <w:tabs>
          <w:tab w:val="right" w:leader="dot" w:pos="8296"/>
        </w:tabs>
        <w:adjustRightInd w:val="0"/>
        <w:snapToGrid w:val="0"/>
        <w:spacing w:before="100" w:beforeAutospacing="1" w:after="312" w:afterLines="100" w:afterAutospacing="0" w:line="273" w:lineRule="auto"/>
        <w:ind w:left="420" w:leftChars="0" w:right="0" w:firstLine="630" w:firstLineChars="0"/>
        <w:jc w:val="both"/>
        <w:rPr>
          <w:rFonts w:hint="default" w:ascii="Times New Roman" w:hAnsi="Times New Roman" w:eastAsia="等线" w:cs="Times New Roman"/>
          <w:color w:val="auto"/>
          <w:kern w:val="2"/>
          <w:sz w:val="22"/>
          <w:szCs w:val="22"/>
          <w:u w:val="none"/>
        </w:rPr>
      </w:pPr>
      <w:r>
        <w:rPr>
          <w:rFonts w:hint="default" w:ascii="等线" w:hAnsi="等线" w:eastAsia="等线" w:cs="Times New Roman"/>
          <w:color w:val="auto"/>
          <w:kern w:val="2"/>
          <w:sz w:val="21"/>
          <w:szCs w:val="21"/>
          <w:u w:val="none"/>
          <w:lang w:val="en-US" w:eastAsia="zh-CN" w:bidi="ar"/>
        </w:rPr>
        <w:fldChar w:fldCharType="begin"/>
      </w:r>
      <w:r>
        <w:rPr>
          <w:rFonts w:hint="default" w:ascii="等线" w:hAnsi="等线" w:eastAsia="等线" w:cs="Times New Roman"/>
          <w:color w:val="auto"/>
          <w:kern w:val="2"/>
          <w:sz w:val="21"/>
          <w:szCs w:val="21"/>
          <w:u w:val="none"/>
          <w:lang w:val="en-US" w:eastAsia="zh-CN" w:bidi="ar"/>
        </w:rPr>
        <w:instrText xml:space="preserve"> HYPERLINK "" \l "_Toc207873782" </w:instrText>
      </w:r>
      <w:r>
        <w:rPr>
          <w:rFonts w:hint="default" w:ascii="等线" w:hAnsi="等线" w:eastAsia="等线" w:cs="Times New Roman"/>
          <w:color w:val="auto"/>
          <w:kern w:val="2"/>
          <w:sz w:val="21"/>
          <w:szCs w:val="21"/>
          <w:u w:val="none"/>
          <w:lang w:val="en-US" w:eastAsia="zh-CN" w:bidi="ar"/>
        </w:rPr>
        <w:fldChar w:fldCharType="separate"/>
      </w:r>
      <w:r>
        <w:rPr>
          <w:rStyle w:val="15"/>
          <w:rFonts w:hint="default" w:ascii="Times New Roman" w:hAnsi="Times New Roman" w:eastAsia="等线" w:cs="Times New Roman"/>
          <w:color w:val="auto"/>
          <w:sz w:val="22"/>
          <w:szCs w:val="22"/>
          <w:u w:val="none"/>
        </w:rPr>
        <w:t>Key Disclosure Item 2: Clean Energy Usage</w:t>
      </w:r>
      <w:r>
        <w:rPr>
          <w:rStyle w:val="15"/>
          <w:rFonts w:hint="default" w:ascii="Times New Roman" w:hAnsi="Times New Roman" w:eastAsia="等线" w:cs="Times New Roman"/>
          <w:color w:val="auto"/>
          <w:kern w:val="2"/>
          <w:sz w:val="22"/>
          <w:szCs w:val="22"/>
          <w:u w:val="none"/>
        </w:rPr>
        <w:tab/>
      </w:r>
      <w:r>
        <w:rPr>
          <w:rFonts w:hint="default" w:ascii="等线" w:hAnsi="等线" w:eastAsia="等线" w:cs="Times New Roman"/>
          <w:color w:val="auto"/>
          <w:kern w:val="2"/>
          <w:sz w:val="21"/>
          <w:szCs w:val="21"/>
          <w:u w:val="none"/>
          <w:lang w:val="en-US" w:eastAsia="zh-CN" w:bidi="ar"/>
        </w:rPr>
        <w:fldChar w:fldCharType="end"/>
      </w:r>
      <w:r>
        <w:rPr>
          <w:rStyle w:val="15"/>
          <w:rFonts w:hint="eastAsia" w:ascii="Times New Roman" w:hAnsi="Times New Roman" w:eastAsia="等线" w:cs="Times New Roman"/>
          <w:color w:val="auto"/>
          <w:kern w:val="2"/>
          <w:sz w:val="22"/>
          <w:szCs w:val="22"/>
          <w:u w:val="none"/>
          <w:lang w:val="en-US" w:eastAsia="zh-CN"/>
        </w:rPr>
        <w:t>8</w:t>
      </w:r>
    </w:p>
    <w:p>
      <w:pPr>
        <w:pStyle w:val="10"/>
        <w:keepNext w:val="0"/>
        <w:keepLines w:val="0"/>
        <w:widowControl w:val="0"/>
        <w:suppressLineNumbers w:val="0"/>
        <w:tabs>
          <w:tab w:val="right" w:leader="dot" w:pos="8296"/>
        </w:tabs>
        <w:adjustRightInd w:val="0"/>
        <w:snapToGrid w:val="0"/>
        <w:spacing w:before="100" w:beforeAutospacing="1" w:after="312" w:afterLines="100" w:afterAutospacing="0" w:line="273" w:lineRule="auto"/>
        <w:ind w:left="420" w:leftChars="0" w:right="0" w:firstLine="630" w:firstLineChars="0"/>
        <w:jc w:val="both"/>
        <w:rPr>
          <w:rFonts w:hint="default" w:ascii="Times New Roman" w:hAnsi="Times New Roman" w:eastAsia="等线" w:cs="Times New Roman"/>
          <w:color w:val="auto"/>
          <w:kern w:val="2"/>
          <w:sz w:val="22"/>
          <w:szCs w:val="22"/>
          <w:u w:val="none"/>
        </w:rPr>
      </w:pPr>
      <w:r>
        <w:rPr>
          <w:rFonts w:hint="default" w:ascii="等线" w:hAnsi="等线" w:eastAsia="等线" w:cs="Times New Roman"/>
          <w:color w:val="auto"/>
          <w:kern w:val="2"/>
          <w:sz w:val="21"/>
          <w:szCs w:val="21"/>
          <w:u w:val="none"/>
          <w:lang w:val="en-US" w:eastAsia="zh-CN" w:bidi="ar"/>
        </w:rPr>
        <w:fldChar w:fldCharType="begin"/>
      </w:r>
      <w:r>
        <w:rPr>
          <w:rFonts w:hint="default" w:ascii="等线" w:hAnsi="等线" w:eastAsia="等线" w:cs="Times New Roman"/>
          <w:color w:val="auto"/>
          <w:kern w:val="2"/>
          <w:sz w:val="21"/>
          <w:szCs w:val="21"/>
          <w:u w:val="none"/>
          <w:lang w:val="en-US" w:eastAsia="zh-CN" w:bidi="ar"/>
        </w:rPr>
        <w:instrText xml:space="preserve"> HYPERLINK "" \l "_Toc207873783" </w:instrText>
      </w:r>
      <w:r>
        <w:rPr>
          <w:rFonts w:hint="default" w:ascii="等线" w:hAnsi="等线" w:eastAsia="等线" w:cs="Times New Roman"/>
          <w:color w:val="auto"/>
          <w:kern w:val="2"/>
          <w:sz w:val="21"/>
          <w:szCs w:val="21"/>
          <w:u w:val="none"/>
          <w:lang w:val="en-US" w:eastAsia="zh-CN" w:bidi="ar"/>
        </w:rPr>
        <w:fldChar w:fldCharType="separate"/>
      </w:r>
      <w:r>
        <w:rPr>
          <w:rStyle w:val="15"/>
          <w:rFonts w:hint="default" w:ascii="Times New Roman" w:hAnsi="Times New Roman" w:eastAsia="等线" w:cs="Times New Roman"/>
          <w:color w:val="auto"/>
          <w:sz w:val="22"/>
          <w:szCs w:val="22"/>
          <w:u w:val="none"/>
        </w:rPr>
        <w:t>Key Disclosure Item 3: Energy Conservation Targets and Specific Actions</w:t>
      </w:r>
      <w:r>
        <w:rPr>
          <w:rStyle w:val="15"/>
          <w:rFonts w:hint="default" w:ascii="Times New Roman" w:hAnsi="Times New Roman" w:eastAsia="等线" w:cs="Times New Roman"/>
          <w:color w:val="auto"/>
          <w:kern w:val="2"/>
          <w:sz w:val="22"/>
          <w:szCs w:val="22"/>
          <w:u w:val="none"/>
        </w:rPr>
        <w:tab/>
      </w:r>
      <w:r>
        <w:rPr>
          <w:rFonts w:hint="default" w:ascii="等线" w:hAnsi="等线" w:eastAsia="等线" w:cs="Times New Roman"/>
          <w:color w:val="auto"/>
          <w:kern w:val="2"/>
          <w:sz w:val="21"/>
          <w:szCs w:val="21"/>
          <w:u w:val="none"/>
          <w:lang w:val="en-US" w:eastAsia="zh-CN" w:bidi="ar"/>
        </w:rPr>
        <w:fldChar w:fldCharType="end"/>
      </w:r>
      <w:r>
        <w:rPr>
          <w:rStyle w:val="15"/>
          <w:rFonts w:hint="eastAsia" w:ascii="Times New Roman" w:hAnsi="Times New Roman" w:eastAsia="等线" w:cs="Times New Roman"/>
          <w:color w:val="auto"/>
          <w:kern w:val="2"/>
          <w:sz w:val="22"/>
          <w:szCs w:val="22"/>
          <w:u w:val="none"/>
          <w:lang w:val="en-US" w:eastAsia="zh-CN"/>
        </w:rPr>
        <w:t>8</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sectPr>
          <w:footerReference r:id="rId5" w:type="default"/>
          <w:pgSz w:w="11906" w:h="16838"/>
          <w:pgMar w:top="1440" w:right="1800" w:bottom="1440" w:left="1800" w:header="851" w:footer="992" w:gutter="0"/>
          <w:pgNumType w:start="1"/>
          <w:cols w:space="720" w:num="1"/>
          <w:docGrid w:type="lines" w:linePitch="312" w:charSpace="0"/>
        </w:sectPr>
      </w:pPr>
    </w:p>
    <w:p>
      <w:pPr>
        <w:pStyle w:val="2"/>
        <w:widowControl/>
        <w:spacing w:after="312" w:afterAutospacing="0"/>
        <w:jc w:val="center"/>
        <w:rPr>
          <w:rFonts w:hint="default" w:ascii="Times New Roman" w:hAnsi="Times New Roman" w:eastAsia="宋体" w:cs="Times New Roman"/>
          <w:b/>
          <w:bCs w:val="0"/>
          <w:color w:val="auto"/>
          <w:kern w:val="2"/>
          <w:sz w:val="24"/>
          <w:szCs w:val="24"/>
        </w:rPr>
      </w:pPr>
      <w:bookmarkStart w:id="0" w:name="_Toc207873776"/>
      <w:bookmarkEnd w:id="0"/>
      <w:r>
        <w:rPr>
          <w:rFonts w:hint="eastAsia" w:ascii="Times New Roman" w:hAnsi="Times New Roman" w:cs="Times New Roman"/>
          <w:b/>
          <w:bCs w:val="0"/>
          <w:color w:val="auto"/>
          <w:kern w:val="2"/>
          <w:sz w:val="24"/>
          <w:szCs w:val="24"/>
          <w:lang w:val="en-US" w:eastAsia="zh-CN"/>
        </w:rPr>
        <w:t>Section</w:t>
      </w:r>
      <w:r>
        <w:rPr>
          <w:rFonts w:hint="default" w:ascii="Times New Roman" w:hAnsi="Times New Roman" w:eastAsia="宋体" w:cs="Times New Roman"/>
          <w:b/>
          <w:bCs w:val="0"/>
          <w:color w:val="auto"/>
          <w:kern w:val="2"/>
          <w:sz w:val="24"/>
          <w:szCs w:val="24"/>
        </w:rPr>
        <w:t xml:space="preserve"> I</w:t>
      </w:r>
      <w:r>
        <w:rPr>
          <w:rFonts w:hint="default" w:ascii="Times New Roman" w:hAnsi="Times New Roman" w:eastAsia="宋体" w:cs="Times New Roman"/>
          <w:b/>
          <w:bCs w:val="0"/>
          <w:color w:val="auto"/>
          <w:kern w:val="2"/>
          <w:sz w:val="24"/>
          <w:szCs w:val="24"/>
        </w:rPr>
        <w:tab/>
      </w:r>
      <w:r>
        <w:rPr>
          <w:rFonts w:hint="default" w:ascii="Times New Roman" w:hAnsi="Times New Roman" w:eastAsia="宋体" w:cs="Times New Roman"/>
          <w:b/>
          <w:bCs w:val="0"/>
          <w:color w:val="auto"/>
          <w:kern w:val="2"/>
          <w:sz w:val="24"/>
          <w:szCs w:val="24"/>
        </w:rPr>
        <w:t>Assessment of Energy-Related Risks and Opportunities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 xml:space="preserve">Enterprises use a diverse range of energy resources, such as coal, petroleum, natural gas, solar, wind, hydro, biomass, geothermal, and nuclear energy. Energy-related risks and opportunities of a disclosing entity may have negative or positive impacts on its business model, operations, development strategy, or financial position. Disclosing entities shall use energy </w:t>
      </w:r>
      <w:r>
        <w:rPr>
          <w:rFonts w:hint="default" w:ascii="Times New Roman" w:hAnsi="Times New Roman" w:eastAsia="宋体" w:cs="Times New Roman"/>
          <w:color w:val="auto"/>
          <w:kern w:val="2"/>
          <w:sz w:val="22"/>
          <w:szCs w:val="22"/>
          <w:lang w:val="en-US" w:eastAsia="zh-CN" w:bidi="ar"/>
        </w:rPr>
        <w:t>intensively and efficiently, enhance conservation management throughout the energy usage process, and promote energy reduction, reuse, and recycling in production and distribution processes.</w:t>
      </w:r>
    </w:p>
    <w:p>
      <w:pPr>
        <w:pStyle w:val="3"/>
        <w:widowControl/>
        <w:spacing w:after="312" w:afterAutospacing="0"/>
        <w:rPr>
          <w:rFonts w:hint="default" w:ascii="Times New Roman" w:hAnsi="Times New Roman" w:eastAsia="宋体" w:cs="Times New Roman"/>
          <w:b w:val="0"/>
          <w:color w:val="auto"/>
          <w:kern w:val="2"/>
          <w:sz w:val="22"/>
          <w:szCs w:val="22"/>
        </w:rPr>
      </w:pPr>
      <w:bookmarkStart w:id="1" w:name="_Toc207873777"/>
      <w:bookmarkEnd w:id="1"/>
      <w:r>
        <w:rPr>
          <w:rFonts w:hint="default" w:ascii="Times New Roman" w:hAnsi="Times New Roman" w:eastAsia="宋体" w:cs="Times New Roman"/>
          <w:b/>
          <w:bCs w:val="0"/>
          <w:color w:val="auto"/>
          <w:kern w:val="2"/>
          <w:sz w:val="22"/>
          <w:szCs w:val="22"/>
        </w:rPr>
        <w:t>I.</w:t>
      </w:r>
      <w:r>
        <w:rPr>
          <w:rFonts w:hint="default" w:ascii="Times New Roman" w:hAnsi="Times New Roman" w:eastAsia="宋体" w:cs="Times New Roman"/>
          <w:b/>
          <w:bCs w:val="0"/>
          <w:color w:val="auto"/>
          <w:kern w:val="2"/>
          <w:sz w:val="22"/>
          <w:szCs w:val="22"/>
        </w:rPr>
        <w:tab/>
      </w:r>
      <w:r>
        <w:rPr>
          <w:rFonts w:hint="default" w:ascii="Times New Roman" w:hAnsi="Times New Roman" w:eastAsia="宋体" w:cs="Times New Roman"/>
          <w:b/>
          <w:bCs w:val="0"/>
          <w:color w:val="auto"/>
          <w:kern w:val="2"/>
          <w:sz w:val="22"/>
          <w:szCs w:val="22"/>
        </w:rPr>
        <w:t>Energy-Related Risks and Opportunities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b/>
          <w:bCs w:val="0"/>
          <w:color w:val="auto"/>
          <w:kern w:val="2"/>
          <w:sz w:val="22"/>
          <w:szCs w:val="22"/>
        </w:rPr>
      </w:pPr>
      <w:r>
        <w:rPr>
          <w:rFonts w:hint="default" w:ascii="Times New Roman" w:hAnsi="Times New Roman" w:eastAsia="等线" w:cs="Times New Roman"/>
          <w:b/>
          <w:bCs w:val="0"/>
          <w:color w:val="auto"/>
          <w:kern w:val="2"/>
          <w:sz w:val="22"/>
          <w:szCs w:val="22"/>
          <w:lang w:val="en-US" w:eastAsia="zh-CN" w:bidi="ar"/>
        </w:rPr>
        <w:t>(I)</w:t>
      </w:r>
      <w:r>
        <w:rPr>
          <w:rFonts w:hint="default" w:ascii="Times New Roman" w:hAnsi="Times New Roman" w:eastAsia="等线" w:cs="Times New Roman"/>
          <w:b/>
          <w:bCs w:val="0"/>
          <w:color w:val="auto"/>
          <w:kern w:val="2"/>
          <w:sz w:val="22"/>
          <w:szCs w:val="22"/>
          <w:lang w:val="en-US" w:eastAsia="zh-CN" w:bidi="ar"/>
        </w:rPr>
        <w:tab/>
      </w:r>
      <w:r>
        <w:rPr>
          <w:rFonts w:hint="default" w:ascii="Times New Roman" w:hAnsi="Times New Roman" w:eastAsia="等线" w:cs="Times New Roman"/>
          <w:b/>
          <w:bCs w:val="0"/>
          <w:color w:val="auto"/>
          <w:kern w:val="2"/>
          <w:sz w:val="22"/>
          <w:szCs w:val="22"/>
          <w:lang w:val="en-US" w:eastAsia="zh-CN" w:bidi="ar"/>
        </w:rPr>
        <w:t>Energy-Related Risks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 xml:space="preserve">Energy-related risks mainly manifest in the impacts of energy shortages, supply disruptions, and energy price fluctuations on enterprises. These risks </w:t>
      </w:r>
      <w:r>
        <w:rPr>
          <w:rFonts w:hint="eastAsia" w:ascii="Times New Roman" w:hAnsi="Times New Roman" w:eastAsia="等线" w:cs="Times New Roman"/>
          <w:color w:val="auto"/>
          <w:kern w:val="2"/>
          <w:sz w:val="22"/>
          <w:szCs w:val="22"/>
          <w:lang w:val="en-US" w:eastAsia="zh-CN" w:bidi="ar"/>
        </w:rPr>
        <w:t>may</w:t>
      </w:r>
      <w:r>
        <w:rPr>
          <w:rFonts w:hint="default" w:ascii="Times New Roman" w:hAnsi="Times New Roman" w:eastAsia="等线" w:cs="Times New Roman"/>
          <w:color w:val="auto"/>
          <w:kern w:val="2"/>
          <w:sz w:val="22"/>
          <w:szCs w:val="22"/>
          <w:lang w:val="en-US" w:eastAsia="zh-CN" w:bidi="ar"/>
        </w:rPr>
        <w:t xml:space="preserve"> have financial effects on disclosing entities, such as direct asset losses and indirect implications from supply chain disruptions.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eastAsia" w:ascii="Times New Roman" w:hAnsi="Times New Roman" w:eastAsia="等线" w:cs="Times New Roman"/>
          <w:color w:val="auto"/>
          <w:kern w:val="2"/>
          <w:sz w:val="22"/>
          <w:szCs w:val="22"/>
          <w:lang w:val="en-US" w:eastAsia="zh-CN" w:bidi="ar"/>
        </w:rPr>
        <w:t>P</w:t>
      </w:r>
      <w:r>
        <w:rPr>
          <w:rFonts w:hint="default" w:ascii="Times New Roman" w:hAnsi="Times New Roman" w:eastAsia="等线" w:cs="Times New Roman"/>
          <w:color w:val="auto"/>
          <w:kern w:val="2"/>
          <w:sz w:val="22"/>
          <w:szCs w:val="22"/>
          <w:lang w:val="en-US" w:eastAsia="zh-CN" w:bidi="ar"/>
        </w:rPr>
        <w:t>hysical risks related to energy utilization</w:t>
      </w:r>
      <w:r>
        <w:rPr>
          <w:rFonts w:hint="eastAsia" w:ascii="Times New Roman" w:hAnsi="Times New Roman" w:eastAsia="等线" w:cs="Times New Roman"/>
          <w:color w:val="auto"/>
          <w:kern w:val="2"/>
          <w:sz w:val="22"/>
          <w:szCs w:val="22"/>
          <w:lang w:val="en-US" w:eastAsia="zh-CN" w:bidi="ar"/>
        </w:rPr>
        <w:t xml:space="preserve"> </w:t>
      </w:r>
      <w:r>
        <w:rPr>
          <w:rFonts w:hint="default" w:ascii="Times New Roman" w:hAnsi="Times New Roman" w:eastAsia="等线" w:cs="Times New Roman"/>
          <w:color w:val="auto"/>
          <w:kern w:val="2"/>
          <w:sz w:val="22"/>
          <w:szCs w:val="22"/>
          <w:lang w:val="en-US" w:eastAsia="zh-CN" w:bidi="ar"/>
        </w:rPr>
        <w:t>are those affecting the stability of energy supply due to dependence on specific energy sources or changes in the natural environment. Examples include insufficient recoverable reserves of fossil fuels and increasing extraction difficulty, as well as damag</w:t>
      </w:r>
      <w:r>
        <w:rPr>
          <w:rFonts w:hint="eastAsia" w:ascii="Times New Roman" w:hAnsi="Times New Roman" w:eastAsia="等线" w:cs="Times New Roman"/>
          <w:color w:val="auto"/>
          <w:kern w:val="2"/>
          <w:sz w:val="22"/>
          <w:szCs w:val="22"/>
          <w:lang w:val="en-US" w:eastAsia="zh-CN" w:bidi="ar"/>
        </w:rPr>
        <w:t>e to</w:t>
      </w:r>
      <w:r>
        <w:rPr>
          <w:rFonts w:hint="default" w:ascii="Times New Roman" w:hAnsi="Times New Roman" w:eastAsia="等线" w:cs="Times New Roman"/>
          <w:color w:val="auto"/>
          <w:kern w:val="2"/>
          <w:sz w:val="22"/>
          <w:szCs w:val="22"/>
          <w:lang w:val="en-US" w:eastAsia="zh-CN" w:bidi="ar"/>
        </w:rPr>
        <w:t xml:space="preserve"> power transmission networks, refineries, and other energy infrastructure</w:t>
      </w:r>
      <w:r>
        <w:rPr>
          <w:rFonts w:hint="eastAsia" w:ascii="Times New Roman" w:hAnsi="Times New Roman" w:eastAsia="等线" w:cs="Times New Roman"/>
          <w:color w:val="auto"/>
          <w:kern w:val="2"/>
          <w:sz w:val="22"/>
          <w:szCs w:val="22"/>
          <w:lang w:val="en-US" w:eastAsia="zh-CN" w:bidi="ar"/>
        </w:rPr>
        <w:t xml:space="preserve"> caused by </w:t>
      </w:r>
      <w:r>
        <w:rPr>
          <w:rFonts w:hint="default" w:ascii="Times New Roman" w:hAnsi="Times New Roman" w:eastAsia="等线" w:cs="Times New Roman"/>
          <w:color w:val="auto"/>
          <w:kern w:val="2"/>
          <w:sz w:val="22"/>
          <w:szCs w:val="22"/>
          <w:lang w:val="en-US" w:eastAsia="zh-CN" w:bidi="ar"/>
        </w:rPr>
        <w:t>extreme weather, thereby undermining supply chain stability.</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lang w:val="en-US" w:eastAsia="zh-CN" w:bidi="ar"/>
        </w:rPr>
      </w:pPr>
      <w:r>
        <w:rPr>
          <w:rFonts w:hint="default" w:ascii="Times New Roman" w:hAnsi="Times New Roman" w:eastAsia="等线" w:cs="Times New Roman"/>
          <w:color w:val="auto"/>
          <w:kern w:val="2"/>
          <w:sz w:val="22"/>
          <w:szCs w:val="22"/>
          <w:lang w:val="en-US" w:eastAsia="zh-CN" w:bidi="ar"/>
        </w:rPr>
        <w:t xml:space="preserve">Transition risks related to energy utilization, including </w:t>
      </w:r>
      <w:r>
        <w:rPr>
          <w:rFonts w:hint="eastAsia" w:ascii="Times New Roman" w:hAnsi="Times New Roman" w:eastAsia="等线" w:cs="Times New Roman"/>
          <w:color w:val="auto"/>
          <w:kern w:val="2"/>
          <w:sz w:val="22"/>
          <w:szCs w:val="22"/>
          <w:lang w:val="en-US" w:eastAsia="zh-CN" w:bidi="ar"/>
        </w:rPr>
        <w:t xml:space="preserve">changes in </w:t>
      </w:r>
      <w:r>
        <w:rPr>
          <w:rFonts w:hint="default" w:ascii="Times New Roman" w:hAnsi="Times New Roman" w:eastAsia="等线" w:cs="Times New Roman"/>
          <w:color w:val="auto"/>
          <w:kern w:val="2"/>
          <w:sz w:val="22"/>
          <w:szCs w:val="22"/>
          <w:lang w:val="en-US" w:eastAsia="zh-CN" w:bidi="ar"/>
        </w:rPr>
        <w:t>policies, laws, technologies, and market conditions, leading to energy price fluctuations and increased operating costs. Examples include restrictions on energy import caused by geopolitical instability,</w:t>
      </w:r>
      <w:r>
        <w:rPr>
          <w:rFonts w:hint="eastAsia" w:ascii="Times New Roman" w:hAnsi="Times New Roman" w:eastAsia="等线" w:cs="Times New Roman"/>
          <w:color w:val="auto"/>
          <w:kern w:val="2"/>
          <w:sz w:val="22"/>
          <w:szCs w:val="22"/>
          <w:lang w:val="en-US" w:eastAsia="zh-CN" w:bidi="ar"/>
        </w:rPr>
        <w:t xml:space="preserve"> </w:t>
      </w:r>
      <w:r>
        <w:rPr>
          <w:rFonts w:hint="default" w:ascii="Times New Roman" w:hAnsi="Times New Roman" w:eastAsia="等线" w:cs="Times New Roman"/>
          <w:color w:val="auto"/>
          <w:kern w:val="2"/>
          <w:sz w:val="22"/>
          <w:szCs w:val="22"/>
          <w:lang w:val="en-US" w:eastAsia="zh-CN" w:bidi="ar"/>
        </w:rPr>
        <w:t>carbon emission caps and reductions in new energy subsidies, which are expected to raise operational costs, may prompt companies to reevaluate their production processes, adopt energy-saving technologies, or switch energy suppliers.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lang w:val="en-US" w:eastAsia="zh-CN" w:bidi="ar"/>
        </w:rPr>
      </w:pPr>
      <w:r>
        <w:rPr>
          <w:rFonts w:hint="default" w:ascii="Times New Roman" w:hAnsi="Times New Roman" w:eastAsia="等线" w:cs="Times New Roman"/>
          <w:color w:val="auto"/>
          <w:kern w:val="2"/>
          <w:sz w:val="22"/>
          <w:szCs w:val="22"/>
          <w:lang w:val="en-US" w:eastAsia="zh-CN" w:bidi="ar"/>
        </w:rPr>
        <w:t>An annual assessment is not required if there are no material changes to the company's business model or to the policy and natural environment it faces. The assessment should be conducted in a manner that aligns with the company's practical circumstances and takes into account the affordability of costs.</w:t>
      </w:r>
    </w:p>
    <w:p>
      <w:pPr>
        <w:keepNext w:val="0"/>
        <w:keepLines w:val="0"/>
        <w:widowControl w:val="0"/>
        <w:suppressLineNumbers w:val="0"/>
        <w:adjustRightInd w:val="0"/>
        <w:snapToGrid w:val="0"/>
        <w:spacing w:before="0" w:beforeAutospacing="0" w:after="312" w:afterLines="100" w:afterAutospacing="0" w:line="273" w:lineRule="auto"/>
        <w:ind w:left="0" w:right="0"/>
        <w:jc w:val="center"/>
        <w:rPr>
          <w:rFonts w:hint="default" w:ascii="Times New Roman" w:hAnsi="Times New Roman" w:eastAsia="等线" w:cs="Times New Roman"/>
          <w:b/>
          <w:bCs w:val="0"/>
          <w:color w:val="auto"/>
          <w:kern w:val="2"/>
          <w:sz w:val="22"/>
          <w:szCs w:val="22"/>
        </w:rPr>
      </w:pPr>
      <w:r>
        <w:rPr>
          <w:rFonts w:hint="default" w:ascii="Times New Roman" w:hAnsi="Times New Roman" w:eastAsia="等线" w:cs="Times New Roman"/>
          <w:b/>
          <w:bCs w:val="0"/>
          <w:color w:val="auto"/>
          <w:kern w:val="2"/>
          <w:sz w:val="22"/>
          <w:szCs w:val="22"/>
          <w:lang w:val="en-US" w:eastAsia="zh-CN" w:bidi="ar"/>
        </w:rPr>
        <w:t>Table 1: Examples of Energy-Related Risks</w:t>
      </w:r>
    </w:p>
    <w:tbl>
      <w:tblPr>
        <w:tblStyle w:val="11"/>
        <w:tblW w:w="866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0"/>
        <w:gridCol w:w="7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660"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等线" w:cs="Times New Roman"/>
                <w:b/>
                <w:bCs/>
                <w:color w:val="auto"/>
                <w:kern w:val="2"/>
                <w:sz w:val="22"/>
                <w:szCs w:val="22"/>
              </w:rPr>
            </w:pPr>
            <w:r>
              <w:rPr>
                <w:rFonts w:hint="default" w:ascii="Times New Roman" w:hAnsi="Times New Roman" w:eastAsia="宋体" w:cs="Times New Roman"/>
                <w:b/>
                <w:bCs/>
                <w:color w:val="auto"/>
                <w:kern w:val="2"/>
                <w:sz w:val="22"/>
                <w:szCs w:val="22"/>
                <w:lang w:val="en-US" w:eastAsia="zh-CN" w:bidi="ar"/>
              </w:rPr>
              <w:t>Examples (company may conduct analysis based on its own circumstances)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Energy-related physical risks</w:t>
            </w:r>
          </w:p>
        </w:tc>
        <w:tc>
          <w:tcPr>
            <w:tcW w:w="7580" w:type="dxa"/>
            <w:tcBorders>
              <w:top w:val="single" w:color="000000" w:sz="4" w:space="0"/>
              <w:left w:val="nil"/>
              <w:bottom w:val="single" w:color="000000" w:sz="4" w:space="0"/>
              <w:right w:val="single" w:color="000000" w:sz="4" w:space="0"/>
            </w:tcBorders>
            <w:noWrap w:val="0"/>
            <w:vAlign w:val="top"/>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1.</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Damage to energy infrastructure, disruption of energy supply, or impediments to energy production caused by extreme weather, geological disasters, or other natural environmental changes.</w:t>
            </w:r>
          </w:p>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2.</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 xml:space="preserve">Dependence of certain renewable energy technologies on specific resources. For example, changes in the extraction and transportation of lithium or cobalt—essential resources for energy storage—may affect the continuity and stability of energy supply; light </w:t>
            </w:r>
            <w:r>
              <w:rPr>
                <w:rFonts w:hint="eastAsia" w:ascii="Times New Roman" w:hAnsi="Times New Roman" w:eastAsia="等线" w:cs="Times New Roman"/>
                <w:color w:val="auto"/>
                <w:kern w:val="2"/>
                <w:sz w:val="22"/>
                <w:szCs w:val="22"/>
                <w:lang w:val="en-US" w:eastAsia="zh-CN" w:bidi="ar"/>
              </w:rPr>
              <w:t xml:space="preserve">intensity </w:t>
            </w:r>
            <w:r>
              <w:rPr>
                <w:rFonts w:hint="default" w:ascii="Times New Roman" w:hAnsi="Times New Roman" w:eastAsia="等线" w:cs="Times New Roman"/>
                <w:color w:val="auto"/>
                <w:kern w:val="2"/>
                <w:sz w:val="22"/>
                <w:szCs w:val="22"/>
                <w:lang w:val="en-US" w:eastAsia="zh-CN" w:bidi="ar"/>
              </w:rPr>
              <w:t>fluctuation</w:t>
            </w:r>
            <w:r>
              <w:rPr>
                <w:rFonts w:hint="eastAsia" w:ascii="Times New Roman" w:hAnsi="Times New Roman" w:eastAsia="等线" w:cs="Times New Roman"/>
                <w:color w:val="auto"/>
                <w:kern w:val="2"/>
                <w:sz w:val="22"/>
                <w:szCs w:val="22"/>
                <w:lang w:val="en-US" w:eastAsia="zh-CN" w:bidi="ar"/>
              </w:rPr>
              <w:t xml:space="preserve">s </w:t>
            </w:r>
            <w:r>
              <w:rPr>
                <w:rFonts w:hint="default" w:ascii="Times New Roman" w:hAnsi="Times New Roman" w:eastAsia="等线" w:cs="Times New Roman"/>
                <w:color w:val="auto"/>
                <w:kern w:val="2"/>
                <w:sz w:val="22"/>
                <w:szCs w:val="22"/>
                <w:lang w:val="en-US" w:eastAsia="zh-CN" w:bidi="ar"/>
              </w:rPr>
              <w:t>will direct</w:t>
            </w:r>
            <w:r>
              <w:rPr>
                <w:rFonts w:hint="eastAsia" w:ascii="Times New Roman" w:hAnsi="Times New Roman" w:eastAsia="等线" w:cs="Times New Roman"/>
                <w:color w:val="auto"/>
                <w:kern w:val="2"/>
                <w:sz w:val="22"/>
                <w:szCs w:val="22"/>
                <w:lang w:val="en-US" w:eastAsia="zh-CN" w:bidi="ar"/>
              </w:rPr>
              <w:t>ly</w:t>
            </w:r>
            <w:r>
              <w:rPr>
                <w:rFonts w:hint="default" w:ascii="Times New Roman" w:hAnsi="Times New Roman" w:eastAsia="等线" w:cs="Times New Roman"/>
                <w:color w:val="auto"/>
                <w:kern w:val="2"/>
                <w:sz w:val="22"/>
                <w:szCs w:val="22"/>
                <w:lang w:val="en-US" w:eastAsia="zh-CN" w:bidi="ar"/>
              </w:rPr>
              <w:t xml:space="preserve"> impact the efficiency of solar and photovoltaic power generation.</w:t>
            </w:r>
          </w:p>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3.</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Changes in regional natural conditions, such as insufficient recoverable reserves of fossil fuels and escalating extraction challenges.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Energy-related transition risks</w:t>
            </w:r>
          </w:p>
        </w:tc>
        <w:tc>
          <w:tcPr>
            <w:tcW w:w="7580" w:type="dxa"/>
            <w:tcBorders>
              <w:top w:val="single" w:color="000000" w:sz="4" w:space="0"/>
              <w:left w:val="nil"/>
              <w:bottom w:val="single" w:color="000000" w:sz="4" w:space="0"/>
              <w:right w:val="single" w:color="000000" w:sz="4" w:space="0"/>
            </w:tcBorders>
            <w:noWrap w:val="0"/>
            <w:vAlign w:val="top"/>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1.</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 xml:space="preserve">Impacts from environmental protection and public policies. Tightened fossil fuel policies would </w:t>
            </w:r>
            <w:bookmarkStart w:id="2" w:name="OLE_LINK11"/>
            <w:r>
              <w:rPr>
                <w:rFonts w:hint="default" w:ascii="Times New Roman" w:hAnsi="Times New Roman" w:eastAsia="等线" w:cs="Times New Roman"/>
                <w:color w:val="auto"/>
                <w:kern w:val="2"/>
                <w:sz w:val="22"/>
                <w:szCs w:val="22"/>
                <w:lang w:val="en-US" w:eastAsia="zh-CN" w:bidi="ar"/>
              </w:rPr>
              <w:t>potentially</w:t>
            </w:r>
            <w:bookmarkEnd w:id="2"/>
            <w:r>
              <w:rPr>
                <w:rFonts w:hint="default" w:ascii="Times New Roman" w:hAnsi="Times New Roman" w:eastAsia="等线" w:cs="Times New Roman"/>
                <w:color w:val="auto"/>
                <w:kern w:val="2"/>
                <w:sz w:val="22"/>
                <w:szCs w:val="22"/>
                <w:lang w:val="en-US" w:eastAsia="zh-CN" w:bidi="ar"/>
              </w:rPr>
              <w:t xml:space="preserve"> drive GHG emission prices up; heightened energy efficiency and consumption requirements may increase operational costs.</w:t>
            </w:r>
          </w:p>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2.</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Shifts in customer preferences. Reduced market demand for fossil fuels may decrease revenues of fossil fuel companies, lower the sales and income of manufacturers using fossil fuels, or pose impairment risks for fossil fuel-related production and service facilities.</w:t>
            </w:r>
          </w:p>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3.</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Development of energy alternatives or new low-carbon energy (e.g., hydrogen energy, energy storage) increase companies’ capital expenditures on technology development.</w:t>
            </w:r>
          </w:p>
        </w:tc>
      </w:tr>
    </w:tbl>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 xml:space="preserve"> </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b/>
          <w:bCs w:val="0"/>
          <w:color w:val="auto"/>
          <w:kern w:val="2"/>
          <w:sz w:val="22"/>
          <w:szCs w:val="22"/>
        </w:rPr>
      </w:pPr>
      <w:r>
        <w:rPr>
          <w:rFonts w:hint="default" w:ascii="Times New Roman" w:hAnsi="Times New Roman" w:eastAsia="等线" w:cs="Times New Roman"/>
          <w:b/>
          <w:bCs w:val="0"/>
          <w:color w:val="auto"/>
          <w:kern w:val="2"/>
          <w:sz w:val="22"/>
          <w:szCs w:val="22"/>
          <w:lang w:val="en-US" w:eastAsia="zh-CN" w:bidi="ar"/>
        </w:rPr>
        <w:t>(II)</w:t>
      </w:r>
      <w:r>
        <w:rPr>
          <w:rFonts w:hint="default" w:ascii="Times New Roman" w:hAnsi="Times New Roman" w:eastAsia="等线" w:cs="Times New Roman"/>
          <w:b/>
          <w:bCs w:val="0"/>
          <w:color w:val="auto"/>
          <w:kern w:val="2"/>
          <w:sz w:val="22"/>
          <w:szCs w:val="22"/>
          <w:lang w:val="en-US" w:eastAsia="zh-CN" w:bidi="ar"/>
        </w:rPr>
        <w:tab/>
      </w:r>
      <w:r>
        <w:rPr>
          <w:rFonts w:hint="default" w:ascii="Times New Roman" w:hAnsi="Times New Roman" w:eastAsia="等线" w:cs="Times New Roman"/>
          <w:b/>
          <w:bCs w:val="0"/>
          <w:color w:val="auto"/>
          <w:kern w:val="2"/>
          <w:sz w:val="22"/>
          <w:szCs w:val="22"/>
          <w:lang w:val="en-US" w:eastAsia="zh-CN" w:bidi="ar"/>
        </w:rPr>
        <w:t>Energy-Related Opportunities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Energy-related opportunities refer to the potential positive impacts of energy utilization on disclosing entities. For example, technological innovation can drive more efficient energy use and improve energy efficiency, thereby creating opportunities such as cost savings, development of new products and services, and expansion into international markets. Energy-related opportunities vary depending on the region, market, and industry in which the disclosing entity operates. Typical opportunities may involve, among others, markets, energy resource efficiency, products and services, capital flows and financing, as well as reputation.</w:t>
      </w:r>
    </w:p>
    <w:p>
      <w:pPr>
        <w:keepNext/>
        <w:keepLines w:val="0"/>
        <w:widowControl/>
        <w:suppressLineNumbers w:val="0"/>
        <w:adjustRightInd w:val="0"/>
        <w:snapToGrid w:val="0"/>
        <w:spacing w:before="0" w:beforeAutospacing="0" w:after="312" w:afterLines="100" w:afterAutospacing="0" w:line="273" w:lineRule="auto"/>
        <w:ind w:left="0" w:right="0"/>
        <w:jc w:val="center"/>
        <w:rPr>
          <w:rFonts w:hint="default" w:ascii="Times New Roman" w:hAnsi="Times New Roman" w:eastAsia="等线" w:cs="Times New Roman"/>
          <w:b/>
          <w:bCs w:val="0"/>
          <w:color w:val="auto"/>
          <w:kern w:val="2"/>
          <w:sz w:val="22"/>
          <w:szCs w:val="22"/>
        </w:rPr>
      </w:pPr>
      <w:r>
        <w:rPr>
          <w:rFonts w:hint="default" w:ascii="Times New Roman" w:hAnsi="Times New Roman" w:eastAsia="等线" w:cs="Times New Roman"/>
          <w:b/>
          <w:bCs w:val="0"/>
          <w:color w:val="auto"/>
          <w:kern w:val="2"/>
          <w:sz w:val="22"/>
          <w:szCs w:val="22"/>
          <w:lang w:val="en-US" w:eastAsia="zh-CN" w:bidi="ar"/>
        </w:rPr>
        <w:t>Table 2: Examples of Energy-Related Opportunities</w:t>
      </w: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7"/>
        <w:gridCol w:w="6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0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等线" w:cs="Times New Roman"/>
                <w:b/>
                <w:bCs/>
                <w:color w:val="auto"/>
                <w:kern w:val="2"/>
                <w:sz w:val="22"/>
                <w:szCs w:val="22"/>
              </w:rPr>
            </w:pPr>
            <w:r>
              <w:rPr>
                <w:rFonts w:hint="default" w:ascii="Times New Roman" w:hAnsi="Times New Roman" w:eastAsia="宋体" w:cs="Times New Roman"/>
                <w:b/>
                <w:bCs/>
                <w:color w:val="auto"/>
                <w:kern w:val="2"/>
                <w:sz w:val="22"/>
                <w:szCs w:val="22"/>
                <w:lang w:val="en-US" w:eastAsia="zh-CN" w:bidi="ar"/>
              </w:rPr>
              <w:t>Examples (company may conduct analysis based on its own circumstances)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6"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bookmarkStart w:id="3" w:name="OLE_LINK28"/>
            <w:r>
              <w:rPr>
                <w:rFonts w:hint="default" w:ascii="Times New Roman" w:hAnsi="Times New Roman" w:eastAsia="等线" w:cs="Times New Roman"/>
                <w:color w:val="auto"/>
                <w:kern w:val="2"/>
                <w:sz w:val="22"/>
                <w:szCs w:val="22"/>
                <w:lang w:val="en-US" w:eastAsia="zh-CN" w:bidi="ar"/>
              </w:rPr>
              <w:t>Energy-related opportunities</w:t>
            </w:r>
            <w:bookmarkEnd w:id="3"/>
          </w:p>
        </w:tc>
        <w:tc>
          <w:tcPr>
            <w:tcW w:w="68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1.</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By using energy-saving equipment, implementing energy cascade utilization, and establishing energy management systems, companies can enhance energy efficiency, reduce their reliance on energy resources, and lower energy procurement costs. Adopting renewable energy, hydrogen energy, and energy storage solutions, companies can further decrease operational expenses.</w:t>
            </w:r>
          </w:p>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2.</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Due to financial institutions’ green financial products and investor preferences, companies and projects with high energy efficiency and strong environmental performance are more likely to secure low-cost financing support.</w:t>
            </w:r>
          </w:p>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3.</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Scientific energy utilization and management help build a positive image, win customer trust, enhance industry influence and brand value, and open up new product and market opportunities.</w:t>
            </w:r>
          </w:p>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4.</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 xml:space="preserve">Companies can </w:t>
            </w:r>
            <w:bookmarkStart w:id="4" w:name="OLE_LINK1"/>
            <w:r>
              <w:rPr>
                <w:rFonts w:hint="default" w:ascii="Times New Roman" w:hAnsi="Times New Roman" w:eastAsia="等线" w:cs="Times New Roman"/>
                <w:color w:val="auto"/>
                <w:kern w:val="2"/>
                <w:sz w:val="22"/>
                <w:szCs w:val="22"/>
                <w:lang w:val="en-US" w:eastAsia="zh-CN" w:bidi="ar"/>
              </w:rPr>
              <w:t>enjoy subsidies</w:t>
            </w:r>
            <w:bookmarkEnd w:id="4"/>
            <w:r>
              <w:rPr>
                <w:rFonts w:hint="default" w:ascii="Times New Roman" w:hAnsi="Times New Roman" w:eastAsia="等线" w:cs="Times New Roman"/>
                <w:color w:val="auto"/>
                <w:kern w:val="2"/>
                <w:sz w:val="22"/>
                <w:szCs w:val="22"/>
                <w:lang w:val="en-US" w:eastAsia="zh-CN" w:bidi="ar"/>
              </w:rPr>
              <w:t>, tax benefits, and other policy incentives, including government subsidies, tax exemptions, or low-interest loans for clean energy and energy efficiency projects.</w:t>
            </w:r>
          </w:p>
        </w:tc>
      </w:tr>
    </w:tbl>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 xml:space="preserve"> </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 xml:space="preserve">Energy-related opportunities, including innovations in renewable energy technologies and advancements in energy storage, allow companies to reduce energy costs and develop new energy products. These opportunities may also affect </w:t>
      </w:r>
      <w:r>
        <w:rPr>
          <w:rFonts w:hint="eastAsia" w:ascii="Times New Roman" w:hAnsi="Times New Roman" w:eastAsia="等线" w:cs="Times New Roman"/>
          <w:color w:val="auto"/>
          <w:kern w:val="2"/>
          <w:sz w:val="22"/>
          <w:szCs w:val="22"/>
          <w:lang w:val="en-US" w:eastAsia="zh-CN" w:bidi="ar"/>
        </w:rPr>
        <w:t xml:space="preserve">some </w:t>
      </w:r>
      <w:r>
        <w:rPr>
          <w:rFonts w:hint="default" w:ascii="Times New Roman" w:hAnsi="Times New Roman" w:eastAsia="等线" w:cs="Times New Roman"/>
          <w:color w:val="auto"/>
          <w:kern w:val="2"/>
          <w:sz w:val="22"/>
          <w:szCs w:val="22"/>
          <w:lang w:val="en-US" w:eastAsia="zh-CN" w:bidi="ar"/>
        </w:rPr>
        <w:t>companies’ strategic decisions on infrastructure investment and supply chain planning, or drive them to adjust product strategies, develop low-carbon product lines, and improve brand competitiveness through green certifications.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Disclosing entities are not required to assess energy-related risks and opportunities across their entire value chain on annually. Instead, they may conduct such assessments periodically or on an ad hoc basis based on their specific circumstances. However, reassessment shall be considered when material events or changes occur.</w:t>
      </w:r>
    </w:p>
    <w:p>
      <w:pPr>
        <w:keepNext w:val="0"/>
        <w:keepLines w:val="0"/>
        <w:widowControl w:val="0"/>
        <w:suppressLineNumbers w:val="0"/>
        <w:adjustRightInd w:val="0"/>
        <w:snapToGrid w:val="0"/>
        <w:spacing w:before="0" w:beforeAutospacing="0" w:after="312" w:afterLines="100" w:afterAutospacing="0" w:line="273" w:lineRule="auto"/>
        <w:ind w:left="0" w:right="0"/>
        <w:jc w:val="center"/>
        <w:rPr>
          <w:rFonts w:hint="default" w:ascii="Times New Roman" w:hAnsi="Times New Roman" w:eastAsia="等线" w:cs="Times New Roman"/>
          <w:b/>
          <w:bCs w:val="0"/>
          <w:color w:val="auto"/>
          <w:kern w:val="2"/>
          <w:sz w:val="22"/>
          <w:szCs w:val="22"/>
        </w:rPr>
      </w:pPr>
      <w:r>
        <w:rPr>
          <w:rFonts w:hint="default" w:ascii="Times New Roman" w:hAnsi="Times New Roman" w:eastAsia="等线" w:cs="Times New Roman"/>
          <w:b/>
          <w:bCs w:val="0"/>
          <w:color w:val="auto"/>
          <w:kern w:val="2"/>
          <w:sz w:val="22"/>
          <w:szCs w:val="22"/>
          <w:lang w:val="en-US" w:eastAsia="zh-CN" w:bidi="ar"/>
        </w:rPr>
        <w:t>Table 3: Scenarios for Company to Reassess Energy-Related Risks and Opportunities Across the Value Chain</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3"/>
        <w:gridCol w:w="6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等线" w:cs="Times New Roman"/>
                <w:b/>
                <w:bCs/>
                <w:color w:val="auto"/>
                <w:kern w:val="2"/>
                <w:sz w:val="22"/>
                <w:szCs w:val="22"/>
              </w:rPr>
            </w:pPr>
            <w:r>
              <w:rPr>
                <w:rFonts w:hint="default" w:ascii="Times New Roman" w:hAnsi="Times New Roman" w:eastAsia="等线" w:cs="Times New Roman"/>
                <w:b/>
                <w:bCs/>
                <w:color w:val="auto"/>
                <w:kern w:val="2"/>
                <w:sz w:val="22"/>
                <w:szCs w:val="22"/>
                <w:lang w:val="en-US" w:eastAsia="zh-CN" w:bidi="ar"/>
              </w:rPr>
              <w:t>Material Changes</w:t>
            </w:r>
          </w:p>
        </w:tc>
        <w:tc>
          <w:tcPr>
            <w:tcW w:w="6033"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等线" w:cs="Times New Roman"/>
                <w:b/>
                <w:bCs/>
                <w:color w:val="auto"/>
                <w:kern w:val="2"/>
                <w:sz w:val="22"/>
                <w:szCs w:val="22"/>
              </w:rPr>
            </w:pPr>
            <w:r>
              <w:rPr>
                <w:rFonts w:hint="default" w:ascii="Times New Roman" w:hAnsi="Times New Roman" w:eastAsia="等线" w:cs="Times New Roman"/>
                <w:b/>
                <w:bCs/>
                <w:color w:val="auto"/>
                <w:kern w:val="2"/>
                <w:sz w:val="22"/>
                <w:szCs w:val="22"/>
                <w:lang w:val="en-US" w:eastAsia="zh-CN" w:bidi="ar"/>
              </w:rPr>
              <w:t>Examples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Material changes in energy mix</w:t>
            </w:r>
          </w:p>
        </w:tc>
        <w:tc>
          <w:tcPr>
            <w:tcW w:w="60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Switching from coal to natural gas as part of energy substitution efforts; shifting from traditional grid electricity procurement to self-built distributed photovoltaic power generation.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bookmarkStart w:id="5" w:name="OLE_LINK4"/>
            <w:r>
              <w:rPr>
                <w:rFonts w:hint="default" w:ascii="Times New Roman" w:hAnsi="Times New Roman" w:eastAsia="等线" w:cs="Times New Roman"/>
                <w:color w:val="auto"/>
                <w:kern w:val="2"/>
                <w:sz w:val="22"/>
                <w:szCs w:val="22"/>
                <w:lang w:val="en-US" w:eastAsia="zh-CN" w:bidi="ar"/>
              </w:rPr>
              <w:t xml:space="preserve">Material changes in </w:t>
            </w:r>
            <w:bookmarkEnd w:id="5"/>
            <w:r>
              <w:rPr>
                <w:rFonts w:hint="default" w:ascii="Times New Roman" w:hAnsi="Times New Roman" w:eastAsia="等线" w:cs="Times New Roman"/>
                <w:color w:val="auto"/>
                <w:kern w:val="2"/>
                <w:sz w:val="22"/>
                <w:szCs w:val="22"/>
                <w:lang w:val="en-US" w:eastAsia="zh-CN" w:bidi="ar"/>
              </w:rPr>
              <w:t>business model, activities, or corporate structure</w:t>
            </w:r>
          </w:p>
        </w:tc>
        <w:tc>
          <w:tcPr>
            <w:tcW w:w="60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Seeking mergers or acquisitions that expand the company’s value chain.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2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Material changes in energy policies within the supply chain</w:t>
            </w:r>
          </w:p>
        </w:tc>
        <w:tc>
          <w:tcPr>
            <w:tcW w:w="60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Making major adjustments to the company’s energy supply sources and mix when energy suppliers in the value chain are affected by unexpected policy or regulatory changes.</w:t>
            </w:r>
          </w:p>
        </w:tc>
      </w:tr>
    </w:tbl>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 xml:space="preserve"> </w:t>
      </w:r>
    </w:p>
    <w:p>
      <w:pPr>
        <w:pStyle w:val="3"/>
        <w:widowControl/>
        <w:spacing w:after="312" w:afterAutospacing="0"/>
        <w:rPr>
          <w:rFonts w:hint="default" w:ascii="Times New Roman" w:hAnsi="Times New Roman" w:eastAsia="宋体" w:cs="Times New Roman"/>
          <w:b/>
          <w:bCs w:val="0"/>
          <w:color w:val="auto"/>
          <w:kern w:val="2"/>
          <w:sz w:val="22"/>
          <w:szCs w:val="22"/>
        </w:rPr>
      </w:pPr>
      <w:bookmarkStart w:id="6" w:name="_Toc207873778"/>
      <w:bookmarkEnd w:id="6"/>
      <w:r>
        <w:rPr>
          <w:rFonts w:hint="default" w:ascii="Times New Roman" w:hAnsi="Times New Roman" w:eastAsia="宋体" w:cs="Times New Roman"/>
          <w:b/>
          <w:bCs w:val="0"/>
          <w:color w:val="auto"/>
          <w:kern w:val="2"/>
          <w:sz w:val="22"/>
          <w:szCs w:val="22"/>
        </w:rPr>
        <w:t>II.</w:t>
      </w:r>
      <w:r>
        <w:rPr>
          <w:rFonts w:hint="default" w:ascii="Times New Roman" w:hAnsi="Times New Roman" w:eastAsia="宋体" w:cs="Times New Roman"/>
          <w:b/>
          <w:bCs w:val="0"/>
          <w:color w:val="auto"/>
          <w:kern w:val="2"/>
          <w:sz w:val="22"/>
          <w:szCs w:val="22"/>
        </w:rPr>
        <w:tab/>
      </w:r>
      <w:r>
        <w:rPr>
          <w:rFonts w:hint="default" w:ascii="Times New Roman" w:hAnsi="Times New Roman" w:eastAsia="宋体" w:cs="Times New Roman"/>
          <w:b/>
          <w:bCs w:val="0"/>
          <w:color w:val="auto"/>
          <w:kern w:val="2"/>
          <w:sz w:val="22"/>
          <w:szCs w:val="22"/>
        </w:rPr>
        <w:t>Financial Effects of Energy-Related Risks and Opportunities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宋体" w:cs="Times New Roman"/>
          <w:color w:val="auto"/>
          <w:kern w:val="2"/>
          <w:sz w:val="22"/>
          <w:szCs w:val="22"/>
        </w:rPr>
      </w:pPr>
      <w:r>
        <w:rPr>
          <w:rFonts w:hint="default" w:ascii="Times New Roman" w:hAnsi="Times New Roman" w:eastAsia="宋体" w:cs="Times New Roman"/>
          <w:color w:val="auto"/>
          <w:kern w:val="2"/>
          <w:sz w:val="22"/>
          <w:szCs w:val="22"/>
          <w:lang w:val="en-US" w:eastAsia="zh-CN" w:bidi="ar"/>
        </w:rPr>
        <w:t>The financial effects of energy-related risks and opportunities on a disclosing entity stem from such risks and opportunities the entity faces and are related to the entity’s strategies and decisions in managing them. These risks and opportunities may have impacts on the entity’s financial position, operating results, and cash flows, including both current and expected financial effects.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宋体" w:cs="Times New Roman"/>
          <w:color w:val="auto"/>
          <w:kern w:val="2"/>
          <w:sz w:val="22"/>
          <w:szCs w:val="22"/>
        </w:rPr>
      </w:pPr>
      <w:r>
        <w:rPr>
          <w:rFonts w:hint="default" w:ascii="Times New Roman" w:hAnsi="Times New Roman" w:eastAsia="宋体" w:cs="Times New Roman"/>
          <w:color w:val="auto"/>
          <w:kern w:val="2"/>
          <w:sz w:val="22"/>
          <w:szCs w:val="22"/>
          <w:lang w:val="en-US" w:eastAsia="zh-CN" w:bidi="ar"/>
        </w:rPr>
        <w:t>The financial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effects of energy-related risks and opportunities mainly involve the following financial categories: revenues and expenses (income statement); assets and liabilities (balance sheet); and cash inflows and outflows (cash flow statement).</w:t>
      </w:r>
    </w:p>
    <w:p>
      <w:pPr>
        <w:keepNext w:val="0"/>
        <w:keepLines w:val="0"/>
        <w:widowControl w:val="0"/>
        <w:suppressLineNumbers w:val="0"/>
        <w:adjustRightInd w:val="0"/>
        <w:snapToGrid w:val="0"/>
        <w:spacing w:before="0" w:beforeAutospacing="0" w:after="312" w:afterLines="100" w:afterAutospacing="0" w:line="273" w:lineRule="auto"/>
        <w:ind w:left="0" w:right="0"/>
        <w:jc w:val="center"/>
        <w:rPr>
          <w:rFonts w:hint="default" w:ascii="Times New Roman" w:hAnsi="Times New Roman" w:eastAsia="宋体" w:cs="Times New Roman"/>
          <w:b/>
          <w:bCs w:val="0"/>
          <w:color w:val="auto"/>
          <w:kern w:val="2"/>
          <w:sz w:val="22"/>
          <w:szCs w:val="22"/>
        </w:rPr>
      </w:pPr>
      <w:r>
        <w:rPr>
          <w:rFonts w:hint="default" w:ascii="Times New Roman" w:hAnsi="Times New Roman" w:eastAsia="宋体" w:cs="Times New Roman"/>
          <w:b/>
          <w:bCs w:val="0"/>
          <w:color w:val="auto"/>
          <w:kern w:val="2"/>
          <w:sz w:val="22"/>
          <w:szCs w:val="22"/>
          <w:lang w:val="en-US" w:eastAsia="zh-CN" w:bidi="ar"/>
        </w:rPr>
        <w:t>Table 4: Major Categories of Financial Effects Related to Energy Utilization</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6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等线" w:cs="Times New Roman"/>
                <w:b/>
                <w:bCs/>
                <w:color w:val="auto"/>
                <w:kern w:val="2"/>
                <w:sz w:val="22"/>
                <w:szCs w:val="22"/>
              </w:rPr>
            </w:pPr>
            <w:r>
              <w:rPr>
                <w:rFonts w:hint="default" w:ascii="Times New Roman" w:hAnsi="Times New Roman" w:eastAsia="等线" w:cs="Times New Roman"/>
                <w:b/>
                <w:bCs/>
                <w:color w:val="auto"/>
                <w:kern w:val="2"/>
                <w:sz w:val="22"/>
                <w:szCs w:val="22"/>
                <w:lang w:val="en-US" w:eastAsia="zh-CN" w:bidi="ar"/>
              </w:rPr>
              <w:t>Category</w:t>
            </w:r>
          </w:p>
        </w:tc>
        <w:tc>
          <w:tcPr>
            <w:tcW w:w="6741"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等线" w:cs="Times New Roman"/>
                <w:b/>
                <w:bCs/>
                <w:color w:val="auto"/>
                <w:kern w:val="2"/>
                <w:sz w:val="22"/>
                <w:szCs w:val="22"/>
              </w:rPr>
            </w:pPr>
            <w:r>
              <w:rPr>
                <w:rFonts w:hint="default" w:ascii="Times New Roman" w:hAnsi="Times New Roman" w:eastAsia="等线" w:cs="Times New Roman"/>
                <w:b/>
                <w:bCs/>
                <w:color w:val="auto"/>
                <w:kern w:val="2"/>
                <w:sz w:val="22"/>
                <w:szCs w:val="22"/>
                <w:lang w:val="en-US" w:eastAsia="zh-CN" w:bidi="ar"/>
              </w:rPr>
              <w:t>Description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Revenue</w:t>
            </w:r>
          </w:p>
        </w:tc>
        <w:tc>
          <w:tcPr>
            <w:tcW w:w="6741"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Extreme weather events can impact or even disrupt energy supply, thereby affecting revenue. As renewable energy and green low-carbon technologies receive strong national support, companies should consider the potential impacts of energy utilization on revenue while identifying opportunities to increase or create income.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Expenses</w:t>
            </w:r>
          </w:p>
        </w:tc>
        <w:tc>
          <w:tcPr>
            <w:tcW w:w="6741"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Future energy transition requires increased R&amp;D expenditures on new technologies, including strengthening research and application of hydrogen energy, energy storage, and biomass fuels.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Assets and Liabilities</w:t>
            </w:r>
          </w:p>
        </w:tc>
        <w:tc>
          <w:tcPr>
            <w:tcW w:w="6741"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New energy efficiency metrics, climate change policies, and other relevant policies</w:t>
            </w:r>
            <w:bookmarkStart w:id="7" w:name="OLE_LINK8"/>
            <w:r>
              <w:rPr>
                <w:rFonts w:hint="eastAsia" w:ascii="Times New Roman" w:hAnsi="Times New Roman" w:eastAsia="等线" w:cs="Times New Roman"/>
                <w:color w:val="auto"/>
                <w:kern w:val="2"/>
                <w:sz w:val="22"/>
                <w:szCs w:val="22"/>
                <w:lang w:val="en-US" w:eastAsia="zh-CN" w:bidi="ar"/>
              </w:rPr>
              <w:t>, and emission reduction target setting</w:t>
            </w:r>
            <w:r>
              <w:rPr>
                <w:rFonts w:hint="default" w:ascii="Times New Roman" w:hAnsi="Times New Roman" w:eastAsia="等线" w:cs="Times New Roman"/>
                <w:color w:val="auto"/>
                <w:kern w:val="2"/>
                <w:sz w:val="22"/>
                <w:szCs w:val="22"/>
                <w:lang w:val="en-US" w:eastAsia="zh-CN" w:bidi="ar"/>
              </w:rPr>
              <w:t xml:space="preserve"> </w:t>
            </w:r>
            <w:bookmarkEnd w:id="7"/>
            <w:r>
              <w:rPr>
                <w:rFonts w:hint="default" w:ascii="Times New Roman" w:hAnsi="Times New Roman" w:eastAsia="等线" w:cs="Times New Roman"/>
                <w:color w:val="auto"/>
                <w:kern w:val="2"/>
                <w:sz w:val="22"/>
                <w:szCs w:val="22"/>
                <w:lang w:val="en-US" w:eastAsia="zh-CN" w:bidi="ar"/>
              </w:rPr>
              <w:t xml:space="preserve">may require companies to </w:t>
            </w:r>
            <w:bookmarkStart w:id="8" w:name="OLE_LINK10"/>
            <w:r>
              <w:rPr>
                <w:rFonts w:hint="default" w:ascii="Times New Roman" w:hAnsi="Times New Roman" w:eastAsia="等线" w:cs="Times New Roman"/>
                <w:color w:val="auto"/>
                <w:kern w:val="2"/>
                <w:sz w:val="22"/>
                <w:szCs w:val="22"/>
                <w:lang w:val="en-US" w:eastAsia="zh-CN" w:bidi="ar"/>
              </w:rPr>
              <w:t>retire certain fixed assets</w:t>
            </w:r>
            <w:bookmarkEnd w:id="8"/>
            <w:r>
              <w:rPr>
                <w:rFonts w:hint="default" w:ascii="Times New Roman" w:hAnsi="Times New Roman" w:eastAsia="等线" w:cs="Times New Roman"/>
                <w:color w:val="auto"/>
                <w:kern w:val="2"/>
                <w:sz w:val="22"/>
                <w:szCs w:val="22"/>
                <w:lang w:val="en-US" w:eastAsia="zh-CN" w:bidi="ar"/>
              </w:rPr>
              <w:t xml:space="preserve"> early, leading to asset impairment or shorter depreciation period. Changes in estimated liabilities may also arise due to adjustments in the disposal costs and timing of fixed assets caused by technological advances, legal requirements, or market shifts.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Cash Flows, etc.</w:t>
            </w:r>
          </w:p>
        </w:tc>
        <w:tc>
          <w:tcPr>
            <w:tcW w:w="6741"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Extreme weather, natural disasters, and policy requirements can cause fluctuations in energy prices and transportation costs, affecting cash flows from operating activities.</w:t>
            </w:r>
          </w:p>
        </w:tc>
      </w:tr>
    </w:tbl>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b/>
          <w:bCs/>
          <w:color w:val="auto"/>
          <w:kern w:val="2"/>
          <w:sz w:val="22"/>
          <w:szCs w:val="22"/>
        </w:rPr>
      </w:pPr>
      <w:r>
        <w:rPr>
          <w:rFonts w:hint="default" w:ascii="Times New Roman" w:hAnsi="Times New Roman" w:eastAsia="等线" w:cs="Times New Roman"/>
          <w:b/>
          <w:bCs/>
          <w:color w:val="auto"/>
          <w:kern w:val="2"/>
          <w:sz w:val="22"/>
          <w:szCs w:val="22"/>
          <w:lang w:val="en-US" w:eastAsia="zh-CN" w:bidi="ar"/>
        </w:rPr>
        <w:br w:type="page"/>
      </w:r>
    </w:p>
    <w:p>
      <w:pPr>
        <w:pStyle w:val="2"/>
        <w:widowControl/>
        <w:spacing w:after="312" w:afterAutospacing="0"/>
        <w:jc w:val="center"/>
        <w:rPr>
          <w:rFonts w:hint="default" w:ascii="Times New Roman" w:hAnsi="Times New Roman" w:eastAsia="宋体" w:cs="Times New Roman"/>
          <w:b/>
          <w:bCs w:val="0"/>
          <w:color w:val="auto"/>
          <w:kern w:val="2"/>
          <w:sz w:val="24"/>
          <w:szCs w:val="24"/>
        </w:rPr>
      </w:pPr>
      <w:bookmarkStart w:id="9" w:name="_Toc207873779"/>
      <w:bookmarkEnd w:id="9"/>
      <w:r>
        <w:rPr>
          <w:rFonts w:hint="eastAsia" w:ascii="Times New Roman" w:hAnsi="Times New Roman" w:cs="Times New Roman"/>
          <w:b/>
          <w:bCs w:val="0"/>
          <w:color w:val="auto"/>
          <w:kern w:val="2"/>
          <w:sz w:val="24"/>
          <w:szCs w:val="24"/>
          <w:lang w:val="en-US" w:eastAsia="zh-CN"/>
        </w:rPr>
        <w:t>Section</w:t>
      </w:r>
      <w:r>
        <w:rPr>
          <w:rFonts w:hint="default" w:ascii="Times New Roman" w:hAnsi="Times New Roman" w:eastAsia="宋体" w:cs="Times New Roman"/>
          <w:b/>
          <w:bCs w:val="0"/>
          <w:color w:val="auto"/>
          <w:kern w:val="2"/>
          <w:sz w:val="24"/>
          <w:szCs w:val="24"/>
        </w:rPr>
        <w:t xml:space="preserve"> II</w:t>
      </w:r>
      <w:r>
        <w:rPr>
          <w:rFonts w:hint="default" w:ascii="Times New Roman" w:hAnsi="Times New Roman" w:eastAsia="宋体" w:cs="Times New Roman"/>
          <w:b/>
          <w:bCs w:val="0"/>
          <w:color w:val="auto"/>
          <w:kern w:val="2"/>
          <w:sz w:val="24"/>
          <w:szCs w:val="24"/>
        </w:rPr>
        <w:tab/>
      </w:r>
      <w:r>
        <w:rPr>
          <w:rFonts w:hint="default" w:ascii="Times New Roman" w:hAnsi="Times New Roman" w:eastAsia="宋体" w:cs="Times New Roman"/>
          <w:b/>
          <w:bCs w:val="0"/>
          <w:color w:val="auto"/>
          <w:kern w:val="2"/>
          <w:sz w:val="24"/>
          <w:szCs w:val="24"/>
        </w:rPr>
        <w:t>Method for Calculating Comprehensive Energy Consumption</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A disclosing entity can calculate and disclose its comprehensive energy consumption in accordance with policy requirements issued by competent national authorities or applicable national standards. The scope of calculation covers all</w:t>
      </w:r>
      <w:r>
        <w:rPr>
          <w:rFonts w:hint="default" w:ascii="Times New Roman" w:hAnsi="Times New Roman" w:eastAsia="等线" w:cs="Times New Roman"/>
          <w:color w:val="auto"/>
          <w:kern w:val="2"/>
          <w:sz w:val="22"/>
          <w:szCs w:val="22"/>
          <w:shd w:val="clear" w:color="auto" w:fill="FFFFFF"/>
          <w:lang w:val="en-US" w:eastAsia="zh-CN" w:bidi="ar"/>
        </w:rPr>
        <w:t xml:space="preserve"> </w:t>
      </w:r>
      <w:r>
        <w:rPr>
          <w:rFonts w:hint="default" w:ascii="Times New Roman" w:hAnsi="Times New Roman" w:eastAsia="等线" w:cs="Times New Roman"/>
          <w:color w:val="auto"/>
          <w:kern w:val="2"/>
          <w:sz w:val="22"/>
          <w:szCs w:val="22"/>
          <w:lang w:val="en-US" w:eastAsia="zh-CN" w:bidi="ar"/>
        </w:rPr>
        <w:t xml:space="preserve">forms of energy actually consumed by the disclosing entity, including both direct energy (coal, gasoline, diesel, natural gas, liquefied petroleum gas, etc.) and indirect energy (electricity, steam, hot water, etc.). Energy losses during internal storage, conversion, and distribution (including external sales) shall be included in the calculation. Energy produced from energy processing and conversion, such as electricity generated from waste heat, shall be deducted from the comprehensive energy consumption, yet energy consumed by the </w:t>
      </w:r>
      <w:bookmarkStart w:id="10" w:name="OLE_LINK23"/>
      <w:r>
        <w:rPr>
          <w:rFonts w:hint="default" w:ascii="Times New Roman" w:hAnsi="Times New Roman" w:eastAsia="等线" w:cs="Times New Roman"/>
          <w:color w:val="auto"/>
          <w:kern w:val="2"/>
          <w:sz w:val="22"/>
          <w:szCs w:val="22"/>
          <w:lang w:val="en-US" w:eastAsia="zh-CN" w:bidi="ar"/>
        </w:rPr>
        <w:t>waste heat power generation</w:t>
      </w:r>
      <w:bookmarkEnd w:id="10"/>
      <w:r>
        <w:rPr>
          <w:rFonts w:hint="default" w:ascii="Times New Roman" w:hAnsi="Times New Roman" w:eastAsia="等线" w:cs="Times New Roman"/>
          <w:color w:val="auto"/>
          <w:kern w:val="2"/>
          <w:sz w:val="22"/>
          <w:szCs w:val="22"/>
          <w:lang w:val="en-US" w:eastAsia="zh-CN" w:bidi="ar"/>
        </w:rPr>
        <w:t xml:space="preserve"> system shall be added.</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Raw data for the calculation include energy meter readings, data records from online energy consumption monitoring systems, energy statistical reports, shipping documents, and energy bills.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The comprehensive energy consumption is generally calculated using Formula (1):</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等线" w:hAnsi="等线" w:eastAsia="等线" w:cs="Times New Roman"/>
          <w:snapToGrid w:val="0"/>
          <w:color w:val="auto"/>
          <w:kern w:val="2"/>
          <w:sz w:val="21"/>
          <w:szCs w:val="21"/>
          <w:lang w:val="en-US" w:eastAsia="zh-CN" w:bidi="ar"/>
        </w:rPr>
        <w:drawing>
          <wp:inline distT="0" distB="0" distL="114300" distR="114300">
            <wp:extent cx="1666875" cy="209550"/>
            <wp:effectExtent l="0" t="0" r="9525" b="0"/>
            <wp:docPr id="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6"/>
                    <pic:cNvPicPr>
                      <a:picLocks noChangeAspect="1"/>
                    </pic:cNvPicPr>
                  </pic:nvPicPr>
                  <pic:blipFill>
                    <a:blip r:embed="rId8"/>
                    <a:stretch>
                      <a:fillRect/>
                    </a:stretch>
                  </pic:blipFill>
                  <pic:spPr>
                    <a:xfrm>
                      <a:off x="0" y="0"/>
                      <a:ext cx="1666875" cy="209550"/>
                    </a:xfrm>
                    <a:prstGeom prst="rect">
                      <a:avLst/>
                    </a:prstGeom>
                    <a:noFill/>
                    <a:ln>
                      <a:noFill/>
                    </a:ln>
                  </pic:spPr>
                </pic:pic>
              </a:graphicData>
            </a:graphic>
          </wp:inline>
        </w:drawing>
      </w:r>
      <w:r>
        <w:rPr>
          <w:rFonts w:hint="default" w:ascii="Times New Roman" w:hAnsi="Times New Roman" w:eastAsia="等线" w:cs="Times New Roman"/>
          <w:color w:val="auto"/>
          <w:kern w:val="2"/>
          <w:sz w:val="22"/>
          <w:szCs w:val="22"/>
          <w:lang w:val="en-US" w:eastAsia="zh-CN" w:bidi="ar"/>
        </w:rPr>
        <w:t xml:space="preserve"> …………………………………</w:t>
      </w:r>
      <w:r>
        <w:rPr>
          <w:rFonts w:hint="default" w:ascii="等线" w:hAnsi="等线" w:eastAsia="等线" w:cs="等线"/>
          <w:color w:val="auto"/>
          <w:kern w:val="2"/>
          <w:sz w:val="22"/>
          <w:szCs w:val="22"/>
          <w:lang w:val="en-US" w:eastAsia="zh-CN" w:bidi="ar"/>
        </w:rPr>
        <w:t>（</w:t>
      </w:r>
      <w:r>
        <w:rPr>
          <w:rFonts w:hint="default" w:ascii="Times New Roman" w:hAnsi="Times New Roman" w:eastAsia="等线" w:cs="Times New Roman"/>
          <w:color w:val="auto"/>
          <w:kern w:val="2"/>
          <w:sz w:val="22"/>
          <w:szCs w:val="22"/>
          <w:lang w:val="en-US" w:eastAsia="zh-CN" w:bidi="ar"/>
        </w:rPr>
        <w:t>1</w:t>
      </w:r>
      <w:r>
        <w:rPr>
          <w:rFonts w:hint="default" w:ascii="等线" w:hAnsi="等线" w:eastAsia="等线" w:cs="等线"/>
          <w:color w:val="auto"/>
          <w:kern w:val="2"/>
          <w:sz w:val="22"/>
          <w:szCs w:val="22"/>
          <w:lang w:val="en-US" w:eastAsia="zh-CN" w:bidi="ar"/>
        </w:rPr>
        <w:t>）</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Where:</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0"/>
        <w:gridCol w:w="281"/>
        <w:gridCol w:w="6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2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i/>
                <w:iCs/>
                <w:color w:val="auto"/>
                <w:kern w:val="2"/>
                <w:sz w:val="22"/>
                <w:szCs w:val="22"/>
                <w:vertAlign w:val="subscript"/>
              </w:rPr>
            </w:pPr>
            <w:r>
              <w:rPr>
                <w:rFonts w:hint="default" w:ascii="Times New Roman" w:hAnsi="Times New Roman" w:eastAsia="等线" w:cs="Times New Roman"/>
                <w:i/>
                <w:iCs/>
                <w:color w:val="auto"/>
                <w:kern w:val="2"/>
                <w:sz w:val="22"/>
                <w:szCs w:val="22"/>
                <w:lang w:val="en-US" w:eastAsia="zh-CN" w:bidi="ar"/>
              </w:rPr>
              <w:t>E</w:t>
            </w:r>
          </w:p>
        </w:tc>
        <w:tc>
          <w:tcPr>
            <w:tcW w:w="282"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w:t>
            </w:r>
          </w:p>
        </w:tc>
        <w:tc>
          <w:tcPr>
            <w:tcW w:w="682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Comprehensive energy consumption, in metric tons of coal equivalent (tce);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2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i/>
                <w:iCs/>
                <w:color w:val="auto"/>
                <w:kern w:val="2"/>
                <w:sz w:val="22"/>
                <w:szCs w:val="22"/>
              </w:rPr>
            </w:pPr>
            <w:r>
              <w:rPr>
                <w:rFonts w:hint="default" w:ascii="Times New Roman" w:hAnsi="Times New Roman" w:eastAsia="等线" w:cs="Times New Roman"/>
                <w:i/>
                <w:iCs/>
                <w:color w:val="auto"/>
                <w:kern w:val="2"/>
                <w:sz w:val="22"/>
                <w:szCs w:val="22"/>
                <w:lang w:val="en-US" w:eastAsia="zh-CN" w:bidi="ar"/>
              </w:rPr>
              <w:t>E</w:t>
            </w:r>
            <w:r>
              <w:rPr>
                <w:rFonts w:hint="default" w:ascii="Times New Roman" w:hAnsi="Times New Roman" w:eastAsia="等线" w:cs="Times New Roman"/>
                <w:i/>
                <w:iCs/>
                <w:color w:val="auto"/>
                <w:kern w:val="2"/>
                <w:sz w:val="22"/>
                <w:szCs w:val="22"/>
                <w:vertAlign w:val="subscript"/>
                <w:lang w:val="en-US" w:eastAsia="zh-CN" w:bidi="ar"/>
              </w:rPr>
              <w:t>i</w:t>
            </w:r>
          </w:p>
        </w:tc>
        <w:tc>
          <w:tcPr>
            <w:tcW w:w="282"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w:t>
            </w:r>
          </w:p>
        </w:tc>
        <w:tc>
          <w:tcPr>
            <w:tcW w:w="682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Actual consumption of the i-th energy type in production and/or service activities, in kilograms (kg) for solid and liquid fossil fuels, in cubic meters (m³) for gaseous fossil fuels, in kilowatt-hours (kWh) for electricity, and in megajoules (MJ) for heat;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2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i/>
                <w:iCs/>
                <w:color w:val="auto"/>
                <w:kern w:val="2"/>
                <w:sz w:val="22"/>
                <w:szCs w:val="22"/>
              </w:rPr>
            </w:pPr>
            <w:r>
              <w:rPr>
                <w:rFonts w:hint="default" w:ascii="Times New Roman" w:hAnsi="Times New Roman" w:eastAsia="等线" w:cs="Times New Roman"/>
                <w:i/>
                <w:iCs/>
                <w:color w:val="auto"/>
                <w:kern w:val="2"/>
                <w:sz w:val="22"/>
                <w:szCs w:val="22"/>
                <w:lang w:val="en-US" w:eastAsia="zh-CN" w:bidi="ar"/>
              </w:rPr>
              <w:t>k</w:t>
            </w:r>
            <w:r>
              <w:rPr>
                <w:rFonts w:hint="default" w:ascii="Times New Roman" w:hAnsi="Times New Roman" w:eastAsia="等线" w:cs="Times New Roman"/>
                <w:i/>
                <w:iCs/>
                <w:color w:val="auto"/>
                <w:kern w:val="2"/>
                <w:sz w:val="22"/>
                <w:szCs w:val="22"/>
                <w:vertAlign w:val="subscript"/>
                <w:lang w:val="en-US" w:eastAsia="zh-CN" w:bidi="ar"/>
              </w:rPr>
              <w:t>i</w:t>
            </w:r>
          </w:p>
        </w:tc>
        <w:tc>
          <w:tcPr>
            <w:tcW w:w="282"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w:t>
            </w:r>
          </w:p>
        </w:tc>
        <w:tc>
          <w:tcPr>
            <w:tcW w:w="682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 xml:space="preserve">Coal equivalent coefficient for the i-th energy type, in kilograms of </w:t>
            </w:r>
            <w:bookmarkStart w:id="11" w:name="OLE_LINK12"/>
            <w:r>
              <w:rPr>
                <w:rFonts w:hint="default" w:ascii="Times New Roman" w:hAnsi="Times New Roman" w:eastAsia="等线" w:cs="Times New Roman"/>
                <w:color w:val="auto"/>
                <w:kern w:val="2"/>
                <w:sz w:val="22"/>
                <w:szCs w:val="22"/>
                <w:lang w:val="en-US" w:eastAsia="zh-CN" w:bidi="ar"/>
              </w:rPr>
              <w:t>coal equivalent</w:t>
            </w:r>
            <w:bookmarkEnd w:id="11"/>
            <w:r>
              <w:rPr>
                <w:rFonts w:hint="default" w:ascii="Times New Roman" w:hAnsi="Times New Roman" w:eastAsia="等线" w:cs="Times New Roman"/>
                <w:color w:val="auto"/>
                <w:kern w:val="2"/>
                <w:sz w:val="22"/>
                <w:szCs w:val="22"/>
                <w:lang w:val="en-US" w:eastAsia="zh-CN" w:bidi="ar"/>
              </w:rPr>
              <w:t xml:space="preserve"> per kilogram (kgce/kg) for solid and liquid fossil fuels, in kilograms of coal equivalent per cubic meter (kgce/m³) for gaseous fossil fuels, in kilograms of coal </w:t>
            </w:r>
            <w:bookmarkStart w:id="12" w:name="OLE_LINK14"/>
            <w:r>
              <w:rPr>
                <w:rFonts w:hint="default" w:ascii="Times New Roman" w:hAnsi="Times New Roman" w:eastAsia="等线" w:cs="Times New Roman"/>
                <w:color w:val="auto"/>
                <w:kern w:val="2"/>
                <w:sz w:val="22"/>
                <w:szCs w:val="22"/>
                <w:lang w:val="en-US" w:eastAsia="zh-CN" w:bidi="ar"/>
              </w:rPr>
              <w:t>equivalent</w:t>
            </w:r>
            <w:bookmarkEnd w:id="12"/>
            <w:r>
              <w:rPr>
                <w:rFonts w:hint="default" w:ascii="Times New Roman" w:hAnsi="Times New Roman" w:eastAsia="等线" w:cs="Times New Roman"/>
                <w:color w:val="auto"/>
                <w:kern w:val="2"/>
                <w:sz w:val="22"/>
                <w:szCs w:val="22"/>
                <w:lang w:val="en-US" w:eastAsia="zh-CN" w:bidi="ar"/>
              </w:rPr>
              <w:t xml:space="preserve"> per kilowatt-hour (kgce/kWh) for electricity, and in kilograms of coal equivalent per megajoule (kgce/MJ) for heat;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2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i/>
                <w:iCs/>
                <w:color w:val="auto"/>
                <w:kern w:val="2"/>
                <w:sz w:val="22"/>
                <w:szCs w:val="22"/>
              </w:rPr>
            </w:pPr>
            <w:r>
              <w:rPr>
                <w:rFonts w:hint="default" w:ascii="Times New Roman" w:hAnsi="Times New Roman" w:eastAsia="等线" w:cs="Times New Roman"/>
                <w:i/>
                <w:iCs/>
                <w:color w:val="auto"/>
                <w:kern w:val="2"/>
                <w:sz w:val="22"/>
                <w:szCs w:val="22"/>
                <w:lang w:val="en-US" w:eastAsia="zh-CN" w:bidi="ar"/>
              </w:rPr>
              <w:t>i</w:t>
            </w:r>
          </w:p>
        </w:tc>
        <w:tc>
          <w:tcPr>
            <w:tcW w:w="282"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w:t>
            </w:r>
          </w:p>
        </w:tc>
        <w:tc>
          <w:tcPr>
            <w:tcW w:w="682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Number of energy types.</w:t>
            </w:r>
          </w:p>
        </w:tc>
      </w:tr>
    </w:tbl>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For each type of fuel consumed, the coal equivalent coefficient shall be calculated first with its as-received lower heating value using Formula (2):</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等线" w:hAnsi="等线" w:eastAsia="等线" w:cs="Times New Roman"/>
          <w:snapToGrid w:val="0"/>
          <w:color w:val="auto"/>
          <w:kern w:val="2"/>
          <w:sz w:val="21"/>
          <w:szCs w:val="21"/>
          <w:lang w:val="en-US" w:eastAsia="zh-CN" w:bidi="ar"/>
        </w:rPr>
        <w:drawing>
          <wp:inline distT="0" distB="0" distL="114300" distR="114300">
            <wp:extent cx="2933700" cy="323850"/>
            <wp:effectExtent l="0" t="0" r="0" b="0"/>
            <wp:docPr id="2"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7"/>
                    <pic:cNvPicPr>
                      <a:picLocks noChangeAspect="1"/>
                    </pic:cNvPicPr>
                  </pic:nvPicPr>
                  <pic:blipFill>
                    <a:blip r:embed="rId9"/>
                    <a:stretch>
                      <a:fillRect/>
                    </a:stretch>
                  </pic:blipFill>
                  <pic:spPr>
                    <a:xfrm>
                      <a:off x="0" y="0"/>
                      <a:ext cx="2933700" cy="323850"/>
                    </a:xfrm>
                    <a:prstGeom prst="rect">
                      <a:avLst/>
                    </a:prstGeom>
                    <a:noFill/>
                    <a:ln>
                      <a:noFill/>
                    </a:ln>
                  </pic:spPr>
                </pic:pic>
              </a:graphicData>
            </a:graphic>
          </wp:inline>
        </w:drawing>
      </w:r>
      <w:r>
        <w:rPr>
          <w:rFonts w:hint="default" w:ascii="Times New Roman" w:hAnsi="Times New Roman" w:eastAsia="等线" w:cs="Times New Roman"/>
          <w:color w:val="auto"/>
          <w:kern w:val="2"/>
          <w:sz w:val="22"/>
          <w:szCs w:val="22"/>
          <w:lang w:val="en-US" w:eastAsia="zh-CN" w:bidi="ar"/>
        </w:rPr>
        <w:t xml:space="preserve"> </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Where:</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4"/>
        <w:gridCol w:w="291"/>
        <w:gridCol w:w="6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25"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i/>
                <w:iCs/>
                <w:color w:val="auto"/>
                <w:kern w:val="2"/>
                <w:sz w:val="22"/>
                <w:szCs w:val="22"/>
              </w:rPr>
            </w:pPr>
            <w:r>
              <w:rPr>
                <w:rFonts w:hint="default" w:ascii="Times New Roman" w:hAnsi="Times New Roman" w:eastAsia="等线" w:cs="Times New Roman"/>
                <w:i/>
                <w:iCs/>
                <w:color w:val="auto"/>
                <w:kern w:val="2"/>
                <w:sz w:val="22"/>
                <w:szCs w:val="22"/>
                <w:lang w:val="en-US" w:eastAsia="zh-CN" w:bidi="ar"/>
              </w:rPr>
              <w:t>NCVi</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i/>
                <w:iCs/>
                <w:color w:val="auto"/>
                <w:kern w:val="2"/>
                <w:sz w:val="22"/>
                <w:szCs w:val="22"/>
                <w:vertAlign w:val="subscript"/>
              </w:rPr>
            </w:pPr>
          </w:p>
        </w:tc>
        <w:tc>
          <w:tcPr>
            <w:tcW w:w="291"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w:t>
            </w:r>
          </w:p>
        </w:tc>
        <w:tc>
          <w:tcPr>
            <w:tcW w:w="6806"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Average lower heating value of the i-th fuel type, in kilojoules per kilogram (kJ/kg) for solid and liquid fossil fuels, and in kilojoules per cubic meter (kJ/m³) for gaseous fossil fuels;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25"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i/>
                <w:iCs/>
                <w:color w:val="auto"/>
                <w:kern w:val="2"/>
                <w:sz w:val="22"/>
                <w:szCs w:val="22"/>
              </w:rPr>
            </w:pPr>
            <w:r>
              <w:rPr>
                <w:rFonts w:hint="default" w:ascii="Times New Roman" w:hAnsi="Times New Roman" w:eastAsia="等线" w:cs="Times New Roman"/>
                <w:i/>
                <w:iCs/>
                <w:color w:val="auto"/>
                <w:kern w:val="2"/>
                <w:sz w:val="22"/>
                <w:szCs w:val="22"/>
                <w:lang w:val="en-US" w:eastAsia="zh-CN" w:bidi="ar"/>
              </w:rPr>
              <w:t>29307.6</w:t>
            </w:r>
          </w:p>
        </w:tc>
        <w:tc>
          <w:tcPr>
            <w:tcW w:w="291"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w:t>
            </w:r>
          </w:p>
        </w:tc>
        <w:tc>
          <w:tcPr>
            <w:tcW w:w="6806"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 xml:space="preserve">Lower heating value of coal </w:t>
            </w:r>
            <w:bookmarkStart w:id="13" w:name="OLE_LINK15"/>
            <w:r>
              <w:rPr>
                <w:rFonts w:hint="default" w:ascii="Times New Roman" w:hAnsi="Times New Roman" w:eastAsia="等线" w:cs="Times New Roman"/>
                <w:color w:val="auto"/>
                <w:kern w:val="2"/>
                <w:sz w:val="22"/>
                <w:szCs w:val="22"/>
                <w:lang w:val="en-US" w:eastAsia="zh-CN" w:bidi="ar"/>
              </w:rPr>
              <w:t>equivalent</w:t>
            </w:r>
            <w:bookmarkEnd w:id="13"/>
            <w:r>
              <w:rPr>
                <w:rFonts w:hint="default" w:ascii="Times New Roman" w:hAnsi="Times New Roman" w:eastAsia="等线" w:cs="Times New Roman"/>
                <w:color w:val="auto"/>
                <w:kern w:val="2"/>
                <w:sz w:val="22"/>
                <w:szCs w:val="22"/>
                <w:lang w:val="en-US" w:eastAsia="zh-CN" w:bidi="ar"/>
              </w:rPr>
              <w:t>, in kilojoules per kilogram of coal equivalent (kJ/kgce).</w:t>
            </w:r>
          </w:p>
        </w:tc>
      </w:tr>
    </w:tbl>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In calculating coal equivalent coefficient, the lower heating value of energy shall be measured or provided by the supplier. If measured values are unavailable, the coefficient stated in relevant national standards may be taken as reference. For self-produced indirect energy, the coefficient shall be determined based on actual input-output calculations.</w:t>
      </w:r>
    </w:p>
    <w:p>
      <w:pPr>
        <w:keepNext w:val="0"/>
        <w:keepLines w:val="0"/>
        <w:widowControl/>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br w:type="page"/>
      </w:r>
    </w:p>
    <w:p>
      <w:pPr>
        <w:pStyle w:val="2"/>
        <w:widowControl/>
        <w:tabs>
          <w:tab w:val="left" w:pos="1560"/>
        </w:tabs>
        <w:spacing w:after="312" w:afterAutospacing="0"/>
        <w:jc w:val="center"/>
        <w:rPr>
          <w:rFonts w:hint="default" w:ascii="Times New Roman" w:hAnsi="Times New Roman" w:eastAsia="宋体" w:cs="Times New Roman"/>
          <w:b/>
          <w:bCs w:val="0"/>
          <w:color w:val="auto"/>
          <w:kern w:val="2"/>
          <w:sz w:val="24"/>
          <w:szCs w:val="24"/>
        </w:rPr>
      </w:pPr>
      <w:bookmarkStart w:id="14" w:name="_Toc207873780"/>
      <w:bookmarkEnd w:id="14"/>
      <w:r>
        <w:rPr>
          <w:rFonts w:hint="eastAsia" w:ascii="Times New Roman" w:hAnsi="Times New Roman" w:cs="Times New Roman"/>
          <w:b/>
          <w:bCs w:val="0"/>
          <w:color w:val="auto"/>
          <w:kern w:val="2"/>
          <w:sz w:val="24"/>
          <w:szCs w:val="24"/>
          <w:lang w:val="en-US" w:eastAsia="zh-CN"/>
        </w:rPr>
        <w:t>Section</w:t>
      </w:r>
      <w:r>
        <w:rPr>
          <w:rFonts w:hint="default" w:ascii="Times New Roman" w:hAnsi="Times New Roman" w:eastAsia="宋体" w:cs="Times New Roman"/>
          <w:b/>
          <w:bCs w:val="0"/>
          <w:color w:val="auto"/>
          <w:kern w:val="2"/>
          <w:sz w:val="24"/>
          <w:szCs w:val="24"/>
        </w:rPr>
        <w:t xml:space="preserve"> III</w:t>
      </w:r>
      <w:r>
        <w:rPr>
          <w:rFonts w:hint="default" w:ascii="Times New Roman" w:hAnsi="Times New Roman" w:eastAsia="宋体" w:cs="Times New Roman"/>
          <w:b/>
          <w:bCs w:val="0"/>
          <w:color w:val="auto"/>
          <w:kern w:val="2"/>
          <w:sz w:val="24"/>
          <w:szCs w:val="24"/>
        </w:rPr>
        <w:tab/>
      </w:r>
      <w:r>
        <w:rPr>
          <w:rFonts w:hint="default" w:ascii="Times New Roman" w:hAnsi="Times New Roman" w:eastAsia="宋体" w:cs="Times New Roman"/>
          <w:b/>
          <w:bCs w:val="0"/>
          <w:color w:val="auto"/>
          <w:kern w:val="2"/>
          <w:sz w:val="24"/>
          <w:szCs w:val="24"/>
        </w:rPr>
        <w:t>Key Disclosure Items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宋体" w:cs="Times New Roman"/>
          <w:color w:val="auto"/>
          <w:kern w:val="2"/>
          <w:sz w:val="22"/>
          <w:szCs w:val="22"/>
          <w:lang w:val="en-US" w:eastAsia="zh-CN" w:bidi="ar"/>
        </w:rPr>
        <w:t xml:space="preserve">Pursuant to the </w:t>
      </w:r>
      <w:r>
        <w:rPr>
          <w:rFonts w:hint="default" w:ascii="Times New Roman" w:hAnsi="Times New Roman" w:eastAsia="宋体" w:cs="Times New Roman"/>
          <w:i/>
          <w:iCs/>
          <w:color w:val="auto"/>
          <w:kern w:val="2"/>
          <w:sz w:val="22"/>
          <w:szCs w:val="22"/>
          <w:lang w:val="en-US" w:eastAsia="zh-CN" w:bidi="ar"/>
        </w:rPr>
        <w:t>Guidelines</w:t>
      </w:r>
      <w:r>
        <w:rPr>
          <w:rFonts w:hint="default" w:ascii="Times New Roman" w:hAnsi="Times New Roman" w:eastAsia="宋体" w:cs="Times New Roman"/>
          <w:color w:val="auto"/>
          <w:kern w:val="2"/>
          <w:sz w:val="22"/>
          <w:szCs w:val="22"/>
          <w:lang w:val="en-US" w:eastAsia="zh-CN" w:bidi="ar"/>
        </w:rPr>
        <w:t>, if a disclosing entity has created a holistic governance structure and internal rules for managing and supervising the impacts, risks, and opportunities related to energy utilization, it may integrate the disclosure of governance elements without disclosing the governance of energy utilization separately.</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宋体" w:cs="Times New Roman"/>
          <w:color w:val="auto"/>
          <w:kern w:val="2"/>
          <w:sz w:val="22"/>
          <w:szCs w:val="22"/>
        </w:rPr>
      </w:pPr>
      <w:r>
        <w:rPr>
          <w:rFonts w:hint="default" w:ascii="Times New Roman" w:hAnsi="Times New Roman" w:eastAsia="宋体" w:cs="Times New Roman"/>
          <w:color w:val="auto"/>
          <w:kern w:val="2"/>
          <w:sz w:val="22"/>
          <w:szCs w:val="22"/>
          <w:lang w:val="en-US" w:eastAsia="zh-CN" w:bidi="ar"/>
        </w:rPr>
        <w:t>Information concerning the governance, strategy, impacts, risk and opportunity management, as well as metrics and targets related to energy utilization, may be disclosed in alignment with the general requirements and disclosure framework guidelines.</w:t>
      </w:r>
    </w:p>
    <w:p>
      <w:pPr>
        <w:pStyle w:val="3"/>
        <w:widowControl/>
        <w:spacing w:after="312" w:afterAutospacing="0"/>
        <w:rPr>
          <w:rFonts w:hint="default" w:ascii="Times New Roman" w:hAnsi="Times New Roman" w:eastAsia="宋体" w:cs="Times New Roman"/>
          <w:b/>
          <w:bCs w:val="0"/>
          <w:color w:val="auto"/>
          <w:kern w:val="2"/>
          <w:sz w:val="22"/>
          <w:szCs w:val="22"/>
        </w:rPr>
      </w:pPr>
      <w:bookmarkStart w:id="15" w:name="_Toc207873781"/>
      <w:bookmarkEnd w:id="15"/>
      <w:r>
        <w:rPr>
          <w:rFonts w:hint="default" w:ascii="Times New Roman" w:hAnsi="Times New Roman" w:eastAsia="宋体" w:cs="Times New Roman"/>
          <w:b/>
          <w:bCs w:val="0"/>
          <w:color w:val="auto"/>
          <w:kern w:val="2"/>
          <w:sz w:val="22"/>
          <w:szCs w:val="22"/>
        </w:rPr>
        <w:t>Key Disclosure Item 1: Basic Information on Energy Usage</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(1)</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Total energy consumption (calculated in metric tons of coal equivalent) by type of direct and indirect energy (e.g., coal, electricity, gas, or oil).</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(2)</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Energy mix.</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(3)</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Total energy consumption intensity (e.g., calculated per unit of revenue or output).</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The above information can be disclosed with reference to the following table:</w:t>
      </w:r>
    </w:p>
    <w:p>
      <w:pPr>
        <w:keepNext w:val="0"/>
        <w:keepLines w:val="0"/>
        <w:widowControl w:val="0"/>
        <w:suppressLineNumbers w:val="0"/>
        <w:adjustRightInd w:val="0"/>
        <w:snapToGrid w:val="0"/>
        <w:spacing w:before="0" w:beforeAutospacing="0" w:after="312" w:afterLines="100" w:afterAutospacing="0" w:line="273" w:lineRule="auto"/>
        <w:ind w:left="0" w:right="0"/>
        <w:jc w:val="center"/>
        <w:rPr>
          <w:rFonts w:hint="default" w:ascii="Times New Roman" w:hAnsi="Times New Roman" w:eastAsia="等线" w:cs="Times New Roman"/>
          <w:b/>
          <w:bCs/>
          <w:color w:val="auto"/>
          <w:kern w:val="2"/>
          <w:sz w:val="22"/>
          <w:szCs w:val="22"/>
        </w:rPr>
      </w:pPr>
      <w:r>
        <w:rPr>
          <w:rFonts w:hint="default" w:ascii="Times New Roman" w:hAnsi="Times New Roman" w:eastAsia="等线" w:cs="Times New Roman"/>
          <w:b/>
          <w:bCs/>
          <w:color w:val="auto"/>
          <w:kern w:val="2"/>
          <w:sz w:val="22"/>
          <w:szCs w:val="22"/>
          <w:lang w:val="en-US" w:eastAsia="zh-CN" w:bidi="ar"/>
        </w:rPr>
        <w:t>Table 5: Example of Energy Usage Summary (company may determine the energy types based on its own circumstances)</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7"/>
        <w:gridCol w:w="1882"/>
        <w:gridCol w:w="1721"/>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lang w:val="en-US" w:eastAsia="zh-CN" w:bidi="ar"/>
              </w:rPr>
              <w:t>Disclosure Items</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lang w:val="en-US" w:eastAsia="zh-CN" w:bidi="ar"/>
              </w:rPr>
              <w:t>Unit</w:t>
            </w:r>
          </w:p>
        </w:tc>
        <w:tc>
          <w:tcPr>
            <w:tcW w:w="1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lang w:val="en-US" w:eastAsia="zh-CN" w:bidi="ar"/>
              </w:rPr>
              <w:t>Value</w:t>
            </w:r>
          </w:p>
        </w:tc>
        <w:tc>
          <w:tcPr>
            <w:tcW w:w="176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lang w:val="en-US" w:eastAsia="zh-CN" w:bidi="ar"/>
              </w:rPr>
              <w:t xml:space="preserve">Parameter </w:t>
            </w:r>
            <w:r>
              <w:rPr>
                <w:rFonts w:hint="eastAsia" w:ascii="Times New Roman" w:hAnsi="Times New Roman" w:cs="Times New Roman"/>
                <w:b/>
                <w:bCs/>
                <w:color w:val="auto"/>
                <w:kern w:val="0"/>
                <w:sz w:val="22"/>
                <w:szCs w:val="22"/>
                <w:lang w:val="en-US" w:eastAsia="zh-CN" w:bidi="ar"/>
              </w:rPr>
              <w:t>S</w:t>
            </w:r>
            <w:r>
              <w:rPr>
                <w:rFonts w:hint="default" w:ascii="Times New Roman" w:hAnsi="Times New Roman" w:eastAsia="宋体" w:cs="Times New Roman"/>
                <w:b/>
                <w:bCs/>
                <w:color w:val="auto"/>
                <w:kern w:val="0"/>
                <w:sz w:val="22"/>
                <w:szCs w:val="22"/>
                <w:lang w:val="en-US" w:eastAsia="zh-CN" w:bidi="ar"/>
              </w:rPr>
              <w:t>ource/</w:t>
            </w:r>
            <w:r>
              <w:rPr>
                <w:rFonts w:hint="eastAsia" w:ascii="Times New Roman" w:hAnsi="Times New Roman" w:cs="Times New Roman"/>
                <w:b/>
                <w:bCs/>
                <w:color w:val="auto"/>
                <w:kern w:val="0"/>
                <w:sz w:val="22"/>
                <w:szCs w:val="22"/>
                <w:lang w:val="en-US" w:eastAsia="zh-CN" w:bidi="ar"/>
              </w:rPr>
              <w:t>B</w:t>
            </w:r>
            <w:r>
              <w:rPr>
                <w:rFonts w:hint="default" w:ascii="Times New Roman" w:hAnsi="Times New Roman" w:eastAsia="宋体" w:cs="Times New Roman"/>
                <w:b/>
                <w:bCs/>
                <w:color w:val="auto"/>
                <w:kern w:val="0"/>
                <w:sz w:val="22"/>
                <w:szCs w:val="22"/>
                <w:lang w:val="en-US" w:eastAsia="zh-CN" w:bidi="ar"/>
              </w:rPr>
              <w:t>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Basic information on energy 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Direct energy consumption</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tce</w:t>
            </w:r>
          </w:p>
        </w:tc>
        <w:tc>
          <w:tcPr>
            <w:tcW w:w="1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color w:val="auto"/>
                <w:kern w:val="0"/>
                <w:sz w:val="22"/>
                <w:szCs w:val="22"/>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Indirect energy consumption</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tce</w:t>
            </w:r>
          </w:p>
        </w:tc>
        <w:tc>
          <w:tcPr>
            <w:tcW w:w="1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color w:val="auto"/>
                <w:kern w:val="0"/>
                <w:sz w:val="22"/>
                <w:szCs w:val="22"/>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Total energy consumption</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tce</w:t>
            </w:r>
          </w:p>
        </w:tc>
        <w:tc>
          <w:tcPr>
            <w:tcW w:w="1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color w:val="auto"/>
                <w:kern w:val="0"/>
                <w:sz w:val="22"/>
                <w:szCs w:val="22"/>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Comprehensive energy consumption per unit of revenue/product/output value</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tce/output (tce/RMB 10,000 yuan)</w:t>
            </w:r>
          </w:p>
        </w:tc>
        <w:tc>
          <w:tcPr>
            <w:tcW w:w="1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color w:val="auto"/>
                <w:kern w:val="0"/>
                <w:sz w:val="22"/>
                <w:szCs w:val="22"/>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color w:val="auto"/>
                <w:kern w:val="0"/>
                <w:sz w:val="22"/>
                <w:szCs w:val="22"/>
              </w:rPr>
            </w:pPr>
          </w:p>
        </w:tc>
      </w:tr>
    </w:tbl>
    <w:p>
      <w:pPr>
        <w:keepNext w:val="0"/>
        <w:keepLines w:val="0"/>
        <w:widowControl w:val="0"/>
        <w:suppressLineNumbers w:val="0"/>
        <w:adjustRightInd w:val="0"/>
        <w:snapToGrid w:val="0"/>
        <w:spacing w:before="156" w:beforeLines="5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lang w:bidi="ar"/>
        </w:rPr>
      </w:pPr>
      <w:r>
        <w:rPr>
          <w:rFonts w:hint="default" w:ascii="Times New Roman" w:hAnsi="Times New Roman" w:eastAsia="等线" w:cs="Times New Roman"/>
          <w:color w:val="auto"/>
          <w:kern w:val="2"/>
          <w:sz w:val="22"/>
          <w:szCs w:val="22"/>
          <w:lang w:val="en-US" w:eastAsia="zh-CN" w:bidi="ar"/>
        </w:rPr>
        <w:t>Notes: 1.Where disclosures are made by energy type or category, the specific data on the use of each energy source and the corresponding standard coal equivalent data may be disclosed separately.</w:t>
      </w:r>
    </w:p>
    <w:p>
      <w:pPr>
        <w:pStyle w:val="3"/>
        <w:widowControl/>
        <w:spacing w:after="312" w:afterAutospacing="0"/>
        <w:rPr>
          <w:rFonts w:hint="default" w:ascii="Times New Roman" w:hAnsi="Times New Roman" w:eastAsia="宋体" w:cs="Times New Roman"/>
          <w:b/>
          <w:bCs w:val="0"/>
          <w:color w:val="auto"/>
          <w:kern w:val="2"/>
          <w:sz w:val="22"/>
          <w:szCs w:val="22"/>
        </w:rPr>
      </w:pPr>
      <w:bookmarkStart w:id="16" w:name="OLE_LINK17"/>
      <w:bookmarkEnd w:id="16"/>
      <w:bookmarkStart w:id="17" w:name="_Toc207873782"/>
      <w:r>
        <w:rPr>
          <w:rFonts w:hint="default" w:ascii="Times New Roman" w:hAnsi="Times New Roman" w:eastAsia="宋体" w:cs="Times New Roman"/>
          <w:b/>
          <w:bCs w:val="0"/>
          <w:color w:val="auto"/>
          <w:kern w:val="2"/>
          <w:sz w:val="22"/>
          <w:szCs w:val="22"/>
        </w:rPr>
        <w:t>Key Disclosure Item 2</w:t>
      </w:r>
      <w:bookmarkEnd w:id="17"/>
      <w:r>
        <w:rPr>
          <w:rFonts w:hint="default" w:ascii="Times New Roman" w:hAnsi="Times New Roman" w:eastAsia="宋体" w:cs="Times New Roman"/>
          <w:b/>
          <w:bCs w:val="0"/>
          <w:color w:val="auto"/>
          <w:kern w:val="2"/>
          <w:sz w:val="22"/>
          <w:szCs w:val="22"/>
        </w:rPr>
        <w:t>: Clean Energy Usage</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Companies shall disclose the types, total volume, and proportion of clean energy consumed, such as wind, solar, hydro, geothermal, biomass, and ocean energy. The proportion of clean energy can be calculated uniformly after converting all types of clean energy using the coal equivalent coefficient.</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The above information can be disclosed with reference to the following table:</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 xml:space="preserve">Table 6: Example of </w:t>
      </w:r>
      <w:bookmarkStart w:id="18" w:name="OLE_LINK13"/>
      <w:r>
        <w:rPr>
          <w:rFonts w:hint="default" w:ascii="Times New Roman" w:hAnsi="Times New Roman" w:eastAsia="等线" w:cs="Times New Roman"/>
          <w:color w:val="auto"/>
          <w:kern w:val="2"/>
          <w:sz w:val="22"/>
          <w:szCs w:val="22"/>
          <w:lang w:val="en-US" w:eastAsia="zh-CN" w:bidi="ar"/>
        </w:rPr>
        <w:t>Clean Energy Usage</w:t>
      </w:r>
      <w:bookmarkEnd w:id="18"/>
      <w:r>
        <w:rPr>
          <w:rFonts w:hint="default" w:ascii="Times New Roman" w:hAnsi="Times New Roman" w:eastAsia="等线" w:cs="Times New Roman"/>
          <w:color w:val="auto"/>
          <w:kern w:val="2"/>
          <w:sz w:val="22"/>
          <w:szCs w:val="22"/>
          <w:lang w:val="en-US" w:eastAsia="zh-CN" w:bidi="ar"/>
        </w:rPr>
        <w:t xml:space="preserve"> Summary (company may determine the clean energy types based on its own circumstances)</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9"/>
        <w:gridCol w:w="1575"/>
        <w:gridCol w:w="1465"/>
        <w:gridCol w:w="144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lang w:val="en-US" w:eastAsia="zh-CN" w:bidi="ar"/>
              </w:rPr>
              <w:t>Disclosure Items</w:t>
            </w:r>
          </w:p>
        </w:tc>
        <w:tc>
          <w:tcPr>
            <w:tcW w:w="15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lang w:val="en-US" w:eastAsia="zh-CN" w:bidi="ar"/>
              </w:rPr>
              <w:t>Unit</w:t>
            </w:r>
          </w:p>
        </w:tc>
        <w:tc>
          <w:tcPr>
            <w:tcW w:w="14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lang w:val="en-US" w:eastAsia="zh-CN" w:bidi="ar"/>
              </w:rPr>
              <w:t>Value</w:t>
            </w:r>
          </w:p>
        </w:tc>
        <w:tc>
          <w:tcPr>
            <w:tcW w:w="14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lang w:val="en-US" w:eastAsia="zh-CN" w:bidi="ar"/>
              </w:rPr>
              <w:t>Coal Equivalent (Unit: tce)</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r>
              <w:rPr>
                <w:rFonts w:hint="default" w:ascii="Times New Roman" w:hAnsi="Times New Roman" w:eastAsia="宋体" w:cs="Times New Roman"/>
                <w:b/>
                <w:bCs/>
                <w:color w:val="auto"/>
                <w:kern w:val="0"/>
                <w:sz w:val="22"/>
                <w:szCs w:val="22"/>
                <w:lang w:val="en-US" w:eastAsia="zh-CN" w:bidi="ar"/>
              </w:rPr>
              <w:t>Proportion of Total Clean Energy Usage or Clean Energy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Clean energy usage</w:t>
            </w:r>
          </w:p>
        </w:tc>
        <w:tc>
          <w:tcPr>
            <w:tcW w:w="15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eastAsia" w:ascii="Times New Roman" w:hAnsi="Times New Roman" w:eastAsia="宋体" w:cs="Times New Roman"/>
                <w:color w:val="auto"/>
                <w:kern w:val="0"/>
                <w:sz w:val="22"/>
                <w:szCs w:val="22"/>
                <w:lang w:val="en-US" w:eastAsia="zh-CN"/>
              </w:rPr>
            </w:pPr>
            <w:r>
              <w:rPr>
                <w:rFonts w:hint="eastAsia" w:ascii="Times New Roman" w:hAnsi="Times New Roman" w:cs="Times New Roman"/>
                <w:color w:val="auto"/>
                <w:kern w:val="0"/>
                <w:sz w:val="22"/>
                <w:szCs w:val="22"/>
                <w:lang w:val="en-US" w:eastAsia="zh-CN"/>
              </w:rPr>
              <w:t>tce</w:t>
            </w:r>
          </w:p>
        </w:tc>
        <w:tc>
          <w:tcPr>
            <w:tcW w:w="14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p>
        </w:tc>
        <w:tc>
          <w:tcPr>
            <w:tcW w:w="14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lang w:val="en-US" w:eastAsia="zh-CN" w:bidi="ar"/>
              </w:rPr>
            </w:pPr>
            <w:r>
              <w:rPr>
                <w:rFonts w:hint="eastAsia" w:ascii="Times New Roman" w:hAnsi="Times New Roman" w:cs="Times New Roman"/>
                <w:color w:val="auto"/>
                <w:kern w:val="0"/>
                <w:sz w:val="22"/>
                <w:szCs w:val="22"/>
                <w:lang w:val="en-US" w:eastAsia="zh-CN" w:bidi="ar"/>
              </w:rPr>
              <w:t>Including: wind energy</w:t>
            </w:r>
          </w:p>
        </w:tc>
        <w:tc>
          <w:tcPr>
            <w:tcW w:w="15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MWh</w:t>
            </w:r>
          </w:p>
        </w:tc>
        <w:tc>
          <w:tcPr>
            <w:tcW w:w="14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p>
        </w:tc>
        <w:tc>
          <w:tcPr>
            <w:tcW w:w="14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firstLine="1100" w:firstLineChars="500"/>
              <w:jc w:val="left"/>
              <w:rPr>
                <w:rFonts w:hint="default" w:ascii="Times New Roman" w:hAnsi="Times New Roman" w:eastAsia="宋体" w:cs="Times New Roman"/>
                <w:color w:val="auto"/>
                <w:kern w:val="0"/>
                <w:sz w:val="22"/>
                <w:szCs w:val="22"/>
                <w:lang w:val="en-US" w:eastAsia="zh-CN" w:bidi="ar"/>
              </w:rPr>
            </w:pPr>
            <w:r>
              <w:rPr>
                <w:rFonts w:hint="eastAsia" w:ascii="Times New Roman" w:hAnsi="Times New Roman" w:cs="Times New Roman"/>
                <w:color w:val="auto"/>
                <w:kern w:val="0"/>
                <w:sz w:val="22"/>
                <w:szCs w:val="22"/>
                <w:lang w:val="en-US" w:eastAsia="zh-CN" w:bidi="ar"/>
              </w:rPr>
              <w:t>...</w:t>
            </w:r>
          </w:p>
        </w:tc>
        <w:tc>
          <w:tcPr>
            <w:tcW w:w="15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p>
        </w:tc>
        <w:tc>
          <w:tcPr>
            <w:tcW w:w="14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b/>
                <w:bCs/>
                <w:color w:val="auto"/>
                <w:kern w:val="0"/>
                <w:sz w:val="22"/>
                <w:szCs w:val="22"/>
              </w:rPr>
            </w:pPr>
          </w:p>
        </w:tc>
      </w:tr>
    </w:tbl>
    <w:p>
      <w:pPr>
        <w:keepNext w:val="0"/>
        <w:keepLines w:val="0"/>
        <w:widowControl w:val="0"/>
        <w:suppressLineNumbers w:val="0"/>
        <w:adjustRightInd w:val="0"/>
        <w:snapToGrid w:val="0"/>
        <w:spacing w:before="156" w:beforeLines="5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Notes: 1. Companies may further disclose detailed usage of each type of clean energy based on the principle of materiality.</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2. Companies may voluntarily disclose the proportion of clean energy in electricity procured from the state grid.</w:t>
      </w:r>
      <w:bookmarkStart w:id="19" w:name="OLE_LINK16"/>
      <w:r>
        <w:rPr>
          <w:rFonts w:hint="default" w:ascii="Times New Roman" w:hAnsi="Times New Roman" w:eastAsia="等线" w:cs="Times New Roman"/>
          <w:color w:val="auto"/>
          <w:kern w:val="2"/>
          <w:sz w:val="22"/>
          <w:szCs w:val="22"/>
          <w:lang w:val="en-US" w:eastAsia="zh-CN" w:bidi="ar"/>
        </w:rPr>
        <w:t xml:space="preserve"> </w:t>
      </w:r>
      <w:bookmarkEnd w:id="19"/>
      <w:r>
        <w:rPr>
          <w:rFonts w:hint="default" w:ascii="Times New Roman" w:hAnsi="Times New Roman" w:eastAsia="等线" w:cs="Times New Roman"/>
          <w:color w:val="auto"/>
          <w:kern w:val="2"/>
          <w:sz w:val="22"/>
          <w:szCs w:val="22"/>
          <w:lang w:val="en-US" w:eastAsia="zh-CN" w:bidi="ar"/>
        </w:rPr>
        <w:t>The usage of green certificate electricity, independently procured green power, or self-generated and self-consumed green electricity may reflect clean energy consumption and hence can be disclosed accordingly.</w:t>
      </w:r>
    </w:p>
    <w:p>
      <w:pPr>
        <w:pStyle w:val="3"/>
        <w:widowControl/>
        <w:spacing w:after="312" w:afterAutospacing="0"/>
        <w:rPr>
          <w:rFonts w:hint="default" w:ascii="Times New Roman" w:hAnsi="Times New Roman" w:eastAsia="宋体" w:cs="Times New Roman"/>
          <w:b/>
          <w:bCs w:val="0"/>
          <w:color w:val="auto"/>
          <w:kern w:val="2"/>
          <w:sz w:val="22"/>
          <w:szCs w:val="22"/>
        </w:rPr>
      </w:pPr>
      <w:bookmarkStart w:id="20" w:name="_Toc207873783"/>
      <w:bookmarkEnd w:id="20"/>
      <w:r>
        <w:rPr>
          <w:rFonts w:hint="default" w:ascii="Times New Roman" w:hAnsi="Times New Roman" w:eastAsia="宋体" w:cs="Times New Roman"/>
          <w:b/>
          <w:bCs w:val="0"/>
          <w:color w:val="auto"/>
          <w:kern w:val="2"/>
          <w:sz w:val="22"/>
          <w:szCs w:val="22"/>
        </w:rPr>
        <w:t>Key Disclosure Item 3: Energy Conservation Targets and Specific Actions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1.</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Energy conservation targets, such as absolute or intensity-based targets.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等线" w:cs="Times New Roman"/>
          <w:color w:val="auto"/>
          <w:kern w:val="2"/>
          <w:sz w:val="22"/>
          <w:szCs w:val="22"/>
          <w:lang w:val="en-US" w:eastAsia="zh-CN" w:bidi="ar"/>
        </w:rPr>
        <w:t xml:space="preserve">A disclosing entity can select metrics from dimensions including energy consumption intensity, energy utilization efficiency, and proportion of renewable energy. Examples include comprehensive energy consumption per unit of revenue/product/output value, reduction rate of comprehensive energy consumption, and proportion of renewable energy usage to total energy consumption. </w:t>
      </w:r>
      <w:r>
        <w:rPr>
          <w:rFonts w:hint="default" w:ascii="Times New Roman" w:hAnsi="Times New Roman" w:eastAsia="宋体" w:cs="Times New Roman"/>
          <w:color w:val="auto"/>
          <w:kern w:val="2"/>
          <w:sz w:val="22"/>
          <w:szCs w:val="22"/>
          <w:lang w:val="en-US" w:eastAsia="zh-CN" w:bidi="ar"/>
        </w:rPr>
        <w:t>The selection of metrics should take into account industry characteristics, the entity’s operational contexts, and relevant policy standards to ensure relevance and comparability.</w:t>
      </w:r>
      <w:r>
        <w:rPr>
          <w:rFonts w:hint="eastAsia" w:ascii="Times New Roman" w:hAnsi="Times New Roman" w:cs="Times New Roman"/>
          <w:color w:val="auto"/>
          <w:kern w:val="2"/>
          <w:sz w:val="22"/>
          <w:szCs w:val="22"/>
          <w:lang w:val="en-US" w:eastAsia="zh-CN" w:bidi="ar"/>
        </w:rPr>
        <w:t xml:space="preserve"> Companies</w:t>
      </w:r>
      <w:r>
        <w:rPr>
          <w:rFonts w:hint="default" w:ascii="Times New Roman" w:hAnsi="Times New Roman" w:eastAsia="宋体" w:cs="Times New Roman"/>
          <w:color w:val="auto"/>
          <w:kern w:val="2"/>
          <w:sz w:val="22"/>
          <w:szCs w:val="22"/>
          <w:lang w:val="en-US" w:eastAsia="zh-CN" w:bidi="ar"/>
        </w:rPr>
        <w:t xml:space="preserve"> may, in line with their own development strategies, disclose other energy conservation targets in response to relevant risks and opportunities, and explain the basis and rationale for setting such targets.</w:t>
      </w:r>
    </w:p>
    <w:p>
      <w:pPr>
        <w:keepNext w:val="0"/>
        <w:keepLines w:val="0"/>
        <w:widowControl w:val="0"/>
        <w:suppressLineNumbers w:val="0"/>
        <w:adjustRightInd w:val="0"/>
        <w:snapToGrid w:val="0"/>
        <w:spacing w:before="0" w:beforeAutospacing="0" w:after="312" w:afterLines="100" w:afterAutospacing="0" w:line="273" w:lineRule="auto"/>
        <w:ind w:left="0" w:right="0"/>
        <w:jc w:val="center"/>
        <w:rPr>
          <w:rFonts w:hint="default" w:ascii="Times New Roman" w:hAnsi="Times New Roman" w:eastAsia="等线" w:cs="Times New Roman"/>
          <w:b/>
          <w:bCs w:val="0"/>
          <w:color w:val="auto"/>
          <w:kern w:val="2"/>
          <w:sz w:val="22"/>
          <w:szCs w:val="22"/>
        </w:rPr>
      </w:pPr>
      <w:r>
        <w:rPr>
          <w:rFonts w:hint="default" w:ascii="Times New Roman" w:hAnsi="Times New Roman" w:eastAsia="等线" w:cs="Times New Roman"/>
          <w:b/>
          <w:bCs w:val="0"/>
          <w:color w:val="auto"/>
          <w:kern w:val="2"/>
          <w:sz w:val="22"/>
          <w:szCs w:val="22"/>
          <w:lang w:val="en-US" w:eastAsia="zh-CN" w:bidi="ar"/>
        </w:rPr>
        <w:t xml:space="preserve">Table </w:t>
      </w:r>
      <w:r>
        <w:rPr>
          <w:rFonts w:hint="eastAsia" w:ascii="Times New Roman" w:hAnsi="Times New Roman" w:eastAsia="等线" w:cs="Times New Roman"/>
          <w:b/>
          <w:bCs w:val="0"/>
          <w:color w:val="auto"/>
          <w:kern w:val="2"/>
          <w:sz w:val="22"/>
          <w:szCs w:val="22"/>
          <w:lang w:val="en-US" w:eastAsia="zh-CN" w:bidi="ar"/>
        </w:rPr>
        <w:t>7</w:t>
      </w:r>
      <w:r>
        <w:rPr>
          <w:rFonts w:hint="default" w:ascii="Times New Roman" w:hAnsi="Times New Roman" w:eastAsia="等线" w:cs="Times New Roman"/>
          <w:b/>
          <w:bCs w:val="0"/>
          <w:color w:val="auto"/>
          <w:kern w:val="2"/>
          <w:sz w:val="22"/>
          <w:szCs w:val="22"/>
          <w:lang w:val="en-US" w:eastAsia="zh-CN" w:bidi="ar"/>
        </w:rPr>
        <w:t xml:space="preserve">: Examples of </w:t>
      </w:r>
      <w:r>
        <w:rPr>
          <w:rFonts w:hint="eastAsia" w:ascii="Times New Roman" w:hAnsi="Times New Roman" w:eastAsia="等线" w:cs="Times New Roman"/>
          <w:b/>
          <w:bCs w:val="0"/>
          <w:color w:val="auto"/>
          <w:kern w:val="2"/>
          <w:sz w:val="22"/>
          <w:szCs w:val="22"/>
          <w:lang w:val="en-US" w:eastAsia="zh-CN" w:bidi="ar"/>
        </w:rPr>
        <w:t>E</w:t>
      </w:r>
      <w:r>
        <w:rPr>
          <w:rFonts w:hint="default" w:ascii="Times New Roman" w:hAnsi="Times New Roman" w:eastAsia="等线" w:cs="Times New Roman"/>
          <w:b/>
          <w:bCs w:val="0"/>
          <w:color w:val="auto"/>
          <w:kern w:val="2"/>
          <w:sz w:val="22"/>
          <w:szCs w:val="22"/>
          <w:lang w:val="en-US" w:eastAsia="zh-CN" w:bidi="ar"/>
        </w:rPr>
        <w:t xml:space="preserve">nergy </w:t>
      </w:r>
      <w:r>
        <w:rPr>
          <w:rFonts w:hint="eastAsia" w:ascii="Times New Roman" w:hAnsi="Times New Roman" w:eastAsia="等线" w:cs="Times New Roman"/>
          <w:b/>
          <w:bCs w:val="0"/>
          <w:color w:val="auto"/>
          <w:kern w:val="2"/>
          <w:sz w:val="22"/>
          <w:szCs w:val="22"/>
          <w:lang w:val="en-US" w:eastAsia="zh-CN" w:bidi="ar"/>
        </w:rPr>
        <w:t>C</w:t>
      </w:r>
      <w:r>
        <w:rPr>
          <w:rFonts w:hint="default" w:ascii="Times New Roman" w:hAnsi="Times New Roman" w:eastAsia="等线" w:cs="Times New Roman"/>
          <w:b/>
          <w:bCs w:val="0"/>
          <w:color w:val="auto"/>
          <w:kern w:val="2"/>
          <w:sz w:val="22"/>
          <w:szCs w:val="22"/>
          <w:lang w:val="en-US" w:eastAsia="zh-CN" w:bidi="ar"/>
        </w:rPr>
        <w:t xml:space="preserve">onservation and </w:t>
      </w:r>
      <w:r>
        <w:rPr>
          <w:rFonts w:hint="eastAsia" w:ascii="Times New Roman" w:hAnsi="Times New Roman" w:eastAsia="等线" w:cs="Times New Roman"/>
          <w:b/>
          <w:bCs w:val="0"/>
          <w:color w:val="auto"/>
          <w:kern w:val="2"/>
          <w:sz w:val="22"/>
          <w:szCs w:val="22"/>
          <w:lang w:val="en-US" w:eastAsia="zh-CN" w:bidi="ar"/>
        </w:rPr>
        <w:t>E</w:t>
      </w:r>
      <w:r>
        <w:rPr>
          <w:rFonts w:hint="default" w:ascii="Times New Roman" w:hAnsi="Times New Roman" w:eastAsia="等线" w:cs="Times New Roman"/>
          <w:b/>
          <w:bCs w:val="0"/>
          <w:color w:val="auto"/>
          <w:kern w:val="2"/>
          <w:sz w:val="22"/>
          <w:szCs w:val="22"/>
          <w:lang w:val="en-US" w:eastAsia="zh-CN" w:bidi="ar"/>
        </w:rPr>
        <w:t xml:space="preserve">mission </w:t>
      </w:r>
      <w:r>
        <w:rPr>
          <w:rFonts w:hint="eastAsia" w:ascii="Times New Roman" w:hAnsi="Times New Roman" w:eastAsia="等线" w:cs="Times New Roman"/>
          <w:b/>
          <w:bCs w:val="0"/>
          <w:color w:val="auto"/>
          <w:kern w:val="2"/>
          <w:sz w:val="22"/>
          <w:szCs w:val="22"/>
          <w:lang w:val="en-US" w:eastAsia="zh-CN" w:bidi="ar"/>
        </w:rPr>
        <w:t>R</w:t>
      </w:r>
      <w:r>
        <w:rPr>
          <w:rFonts w:hint="default" w:ascii="Times New Roman" w:hAnsi="Times New Roman" w:eastAsia="等线" w:cs="Times New Roman"/>
          <w:b/>
          <w:bCs w:val="0"/>
          <w:color w:val="auto"/>
          <w:kern w:val="2"/>
          <w:sz w:val="22"/>
          <w:szCs w:val="22"/>
          <w:lang w:val="en-US" w:eastAsia="zh-CN" w:bidi="ar"/>
        </w:rPr>
        <w:t xml:space="preserve">eduction </w:t>
      </w:r>
      <w:r>
        <w:rPr>
          <w:rFonts w:hint="eastAsia" w:ascii="Times New Roman" w:hAnsi="Times New Roman" w:eastAsia="等线" w:cs="Times New Roman"/>
          <w:b/>
          <w:bCs w:val="0"/>
          <w:color w:val="auto"/>
          <w:kern w:val="2"/>
          <w:sz w:val="22"/>
          <w:szCs w:val="22"/>
          <w:lang w:val="en-US" w:eastAsia="zh-CN" w:bidi="ar"/>
        </w:rPr>
        <w:t>T</w:t>
      </w:r>
      <w:r>
        <w:rPr>
          <w:rFonts w:hint="default" w:ascii="Times New Roman" w:hAnsi="Times New Roman" w:eastAsia="等线" w:cs="Times New Roman"/>
          <w:b/>
          <w:bCs w:val="0"/>
          <w:color w:val="auto"/>
          <w:kern w:val="2"/>
          <w:sz w:val="22"/>
          <w:szCs w:val="22"/>
          <w:lang w:val="en-US" w:eastAsia="zh-CN" w:bidi="ar"/>
        </w:rPr>
        <w:t>argets</w:t>
      </w:r>
    </w:p>
    <w:tbl>
      <w:tblPr>
        <w:tblStyle w:val="12"/>
        <w:tblW w:w="852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0"/>
        <w:gridCol w:w="1366"/>
        <w:gridCol w:w="1599"/>
        <w:gridCol w:w="2077"/>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8" w:hRule="atLeast"/>
          <w:tblHeader/>
        </w:trPr>
        <w:tc>
          <w:tcPr>
            <w:tcW w:w="1580" w:type="dxa"/>
            <w:shd w:val="clear" w:color="auto" w:fill="FFFFFF"/>
            <w:noWrap w:val="0"/>
            <w:vAlign w:val="center"/>
          </w:tcPr>
          <w:p>
            <w:pPr>
              <w:keepNext w:val="0"/>
              <w:keepLines w:val="0"/>
              <w:widowControl/>
              <w:suppressLineNumbers w:val="0"/>
              <w:kinsoku w:val="0"/>
              <w:autoSpaceDE w:val="0"/>
              <w:autoSpaceDN w:val="0"/>
              <w:adjustRightInd w:val="0"/>
              <w:snapToGrid/>
              <w:spacing w:before="152" w:beforeAutospacing="0" w:after="0" w:afterAutospacing="0" w:line="192" w:lineRule="auto"/>
              <w:ind w:left="0" w:leftChars="0" w:right="0" w:rightChars="0" w:firstLine="0" w:firstLineChars="0"/>
              <w:jc w:val="center"/>
              <w:textAlignment w:val="baseline"/>
              <w:rPr>
                <w:rFonts w:hint="default" w:ascii="Times New Roman" w:hAnsi="Times New Roman" w:cs="Times New Roman"/>
                <w:b/>
                <w:bCs/>
                <w:kern w:val="0"/>
                <w:sz w:val="22"/>
                <w:szCs w:val="22"/>
              </w:rPr>
            </w:pPr>
            <w:r>
              <w:rPr>
                <w:rFonts w:hint="default" w:ascii="Times New Roman" w:hAnsi="Times New Roman" w:eastAsia="宋体" w:cs="Times New Roman"/>
                <w:b/>
                <w:bCs/>
                <w:sz w:val="22"/>
                <w:szCs w:val="22"/>
              </w:rPr>
              <w:t>Target Indicator</w:t>
            </w:r>
          </w:p>
        </w:tc>
        <w:tc>
          <w:tcPr>
            <w:tcW w:w="1366" w:type="dxa"/>
            <w:shd w:val="clear" w:color="auto" w:fill="FFFFFF"/>
            <w:noWrap w:val="0"/>
            <w:vAlign w:val="center"/>
          </w:tcPr>
          <w:p>
            <w:pPr>
              <w:keepNext w:val="0"/>
              <w:keepLines w:val="0"/>
              <w:widowControl/>
              <w:suppressLineNumbers w:val="0"/>
              <w:kinsoku w:val="0"/>
              <w:autoSpaceDE w:val="0"/>
              <w:autoSpaceDN w:val="0"/>
              <w:adjustRightInd w:val="0"/>
              <w:snapToGrid/>
              <w:spacing w:before="152" w:beforeAutospacing="0" w:after="0" w:afterAutospacing="0" w:line="192" w:lineRule="auto"/>
              <w:ind w:left="12" w:leftChars="0" w:right="0" w:rightChars="0" w:firstLine="0" w:firstLineChars="0"/>
              <w:jc w:val="center"/>
              <w:textAlignment w:val="baseline"/>
              <w:rPr>
                <w:rFonts w:hint="default" w:ascii="Times New Roman" w:hAnsi="Times New Roman" w:eastAsia="宋体" w:cs="Times New Roman"/>
                <w:b/>
                <w:bCs/>
                <w:kern w:val="0"/>
                <w:sz w:val="22"/>
                <w:szCs w:val="22"/>
                <w:lang w:eastAsia="zh-CN"/>
              </w:rPr>
            </w:pPr>
            <w:r>
              <w:rPr>
                <w:rFonts w:hint="default" w:ascii="Times New Roman" w:hAnsi="Times New Roman" w:cs="Times New Roman"/>
                <w:b/>
                <w:bCs/>
                <w:kern w:val="0"/>
                <w:sz w:val="22"/>
                <w:szCs w:val="22"/>
                <w:lang w:val="en-US" w:eastAsia="zh-CN"/>
              </w:rPr>
              <w:t>Unit</w:t>
            </w:r>
          </w:p>
        </w:tc>
        <w:tc>
          <w:tcPr>
            <w:tcW w:w="1599" w:type="dxa"/>
            <w:shd w:val="clear" w:color="auto" w:fill="FFFFFF"/>
            <w:noWrap w:val="0"/>
            <w:vAlign w:val="center"/>
          </w:tcPr>
          <w:p>
            <w:pPr>
              <w:keepNext w:val="0"/>
              <w:keepLines w:val="0"/>
              <w:widowControl/>
              <w:suppressLineNumbers w:val="0"/>
              <w:kinsoku w:val="0"/>
              <w:autoSpaceDE w:val="0"/>
              <w:autoSpaceDN w:val="0"/>
              <w:adjustRightInd w:val="0"/>
              <w:snapToGrid/>
              <w:spacing w:before="152" w:beforeAutospacing="0" w:after="0" w:afterAutospacing="0" w:line="192" w:lineRule="auto"/>
              <w:ind w:left="12" w:leftChars="0" w:right="0" w:rightChars="0" w:firstLine="0" w:firstLineChars="0"/>
              <w:jc w:val="center"/>
              <w:textAlignment w:val="baseline"/>
              <w:rPr>
                <w:rFonts w:hint="default" w:ascii="Times New Roman" w:hAnsi="Times New Roman" w:cs="Times New Roman"/>
                <w:b/>
                <w:bCs/>
                <w:kern w:val="0"/>
                <w:sz w:val="22"/>
                <w:szCs w:val="22"/>
              </w:rPr>
            </w:pPr>
            <w:r>
              <w:rPr>
                <w:rFonts w:hint="default" w:ascii="Times New Roman" w:hAnsi="Times New Roman" w:eastAsia="宋体" w:cs="Times New Roman"/>
                <w:b/>
                <w:bCs/>
                <w:sz w:val="22"/>
                <w:szCs w:val="22"/>
              </w:rPr>
              <w:t>Baseline</w:t>
            </w:r>
          </w:p>
        </w:tc>
        <w:tc>
          <w:tcPr>
            <w:tcW w:w="2077" w:type="dxa"/>
            <w:shd w:val="clear" w:color="auto" w:fill="FFFFFF"/>
            <w:noWrap w:val="0"/>
            <w:vAlign w:val="center"/>
          </w:tcPr>
          <w:p>
            <w:pPr>
              <w:keepNext w:val="0"/>
              <w:keepLines w:val="0"/>
              <w:widowControl/>
              <w:suppressLineNumbers w:val="0"/>
              <w:kinsoku w:val="0"/>
              <w:autoSpaceDE w:val="0"/>
              <w:autoSpaceDN w:val="0"/>
              <w:adjustRightInd w:val="0"/>
              <w:snapToGrid/>
              <w:spacing w:before="152" w:beforeAutospacing="0" w:after="0" w:afterAutospacing="0" w:line="192" w:lineRule="auto"/>
              <w:ind w:left="12" w:leftChars="0" w:right="0" w:rightChars="0" w:firstLine="0" w:firstLineChars="0"/>
              <w:jc w:val="center"/>
              <w:textAlignment w:val="baseline"/>
              <w:rPr>
                <w:rFonts w:hint="default" w:ascii="Times New Roman" w:hAnsi="Times New Roman" w:eastAsia="宋体" w:cs="Times New Roman"/>
                <w:b/>
                <w:bCs/>
                <w:kern w:val="0"/>
                <w:sz w:val="22"/>
                <w:szCs w:val="22"/>
                <w:lang w:eastAsia="zh-CN"/>
              </w:rPr>
            </w:pPr>
            <w:r>
              <w:rPr>
                <w:rFonts w:hint="default" w:ascii="Times New Roman" w:hAnsi="Times New Roman" w:eastAsia="宋体" w:cs="Times New Roman"/>
                <w:b/>
                <w:bCs/>
                <w:sz w:val="22"/>
                <w:szCs w:val="22"/>
              </w:rPr>
              <w:t>20XX</w:t>
            </w:r>
            <w:r>
              <w:rPr>
                <w:rFonts w:hint="eastAsia" w:ascii="Times New Roman" w:hAnsi="Times New Roman" w:cs="Times New Roman"/>
                <w:b/>
                <w:bCs/>
                <w:sz w:val="22"/>
                <w:szCs w:val="22"/>
                <w:lang w:val="en-US" w:eastAsia="zh-CN"/>
              </w:rPr>
              <w:t xml:space="preserve"> (Year)</w:t>
            </w:r>
            <w:r>
              <w:rPr>
                <w:rFonts w:hint="default" w:ascii="Times New Roman" w:hAnsi="Times New Roman" w:eastAsia="宋体" w:cs="Times New Roman"/>
                <w:b/>
                <w:bCs/>
                <w:sz w:val="22"/>
                <w:szCs w:val="22"/>
              </w:rPr>
              <w:t xml:space="preserve"> Target</w:t>
            </w:r>
          </w:p>
        </w:tc>
        <w:tc>
          <w:tcPr>
            <w:tcW w:w="1900" w:type="dxa"/>
            <w:shd w:val="clear" w:color="auto" w:fill="FFFFFF"/>
            <w:noWrap w:val="0"/>
            <w:vAlign w:val="center"/>
          </w:tcPr>
          <w:p>
            <w:pPr>
              <w:keepNext w:val="0"/>
              <w:keepLines w:val="0"/>
              <w:widowControl/>
              <w:suppressLineNumbers w:val="0"/>
              <w:kinsoku w:val="0"/>
              <w:autoSpaceDE w:val="0"/>
              <w:autoSpaceDN w:val="0"/>
              <w:adjustRightInd w:val="0"/>
              <w:snapToGrid/>
              <w:spacing w:before="152" w:beforeAutospacing="0" w:after="0" w:afterAutospacing="0" w:line="192" w:lineRule="auto"/>
              <w:ind w:left="12" w:leftChars="0" w:right="0" w:rightChars="0" w:firstLine="0" w:firstLineChars="0"/>
              <w:jc w:val="center"/>
              <w:textAlignment w:val="baseline"/>
              <w:rPr>
                <w:rFonts w:hint="default" w:ascii="Times New Roman" w:hAnsi="Times New Roman" w:cs="Times New Roman"/>
                <w:b/>
                <w:bCs/>
                <w:kern w:val="0"/>
                <w:sz w:val="22"/>
                <w:szCs w:val="22"/>
              </w:rPr>
            </w:pPr>
            <w:r>
              <w:rPr>
                <w:rFonts w:hint="default" w:ascii="Times New Roman" w:hAnsi="Times New Roman" w:eastAsia="宋体" w:cs="Times New Roman"/>
                <w:b/>
                <w:bCs/>
                <w:sz w:val="22"/>
                <w:szCs w:val="22"/>
              </w:rPr>
              <w:t>Progress During the Reporting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580" w:type="dxa"/>
            <w:shd w:val="clear" w:color="auto" w:fill="FFFFFF"/>
            <w:noWrap w:val="0"/>
            <w:vAlign w:val="center"/>
          </w:tcPr>
          <w:p>
            <w:pPr>
              <w:keepNext w:val="0"/>
              <w:keepLines w:val="0"/>
              <w:widowControl/>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kern w:val="0"/>
                <w:sz w:val="22"/>
                <w:szCs w:val="22"/>
              </w:rPr>
            </w:pPr>
            <w:r>
              <w:rPr>
                <w:rFonts w:hint="default" w:ascii="Times New Roman" w:hAnsi="Times New Roman" w:eastAsia="宋体" w:cs="Times New Roman"/>
                <w:sz w:val="22"/>
                <w:szCs w:val="22"/>
              </w:rPr>
              <w:t>Electricity consumption per unit of revenue</w:t>
            </w:r>
          </w:p>
        </w:tc>
        <w:tc>
          <w:tcPr>
            <w:tcW w:w="1366" w:type="dxa"/>
            <w:shd w:val="clear" w:color="auto" w:fill="FFFFFF"/>
            <w:noWrap w:val="0"/>
            <w:vAlign w:val="center"/>
          </w:tcPr>
          <w:p>
            <w:pPr>
              <w:keepNext w:val="0"/>
              <w:keepLines w:val="0"/>
              <w:widowControl/>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kern w:val="0"/>
                <w:sz w:val="22"/>
                <w:szCs w:val="22"/>
                <w:lang w:val="en-US" w:eastAsia="zh-CN"/>
              </w:rPr>
            </w:pPr>
            <w:r>
              <w:rPr>
                <w:rFonts w:hint="eastAsia" w:ascii="Times New Roman" w:hAnsi="Times New Roman" w:cs="Times New Roman"/>
                <w:kern w:val="0"/>
                <w:sz w:val="22"/>
                <w:szCs w:val="22"/>
              </w:rPr>
              <w:t>MWh / RMB 10,000</w:t>
            </w:r>
            <w:r>
              <w:rPr>
                <w:rFonts w:hint="eastAsia" w:ascii="Times New Roman" w:hAnsi="Times New Roman" w:cs="Times New Roman"/>
                <w:kern w:val="0"/>
                <w:sz w:val="22"/>
                <w:szCs w:val="22"/>
                <w:lang w:val="en-US" w:eastAsia="zh-CN"/>
              </w:rPr>
              <w:t xml:space="preserve"> yuan</w:t>
            </w:r>
          </w:p>
        </w:tc>
        <w:tc>
          <w:tcPr>
            <w:tcW w:w="1599" w:type="dxa"/>
            <w:shd w:val="clear" w:color="auto" w:fill="FFFFFF"/>
            <w:noWrap w:val="0"/>
            <w:vAlign w:val="center"/>
          </w:tcPr>
          <w:p>
            <w:pPr>
              <w:keepNext w:val="0"/>
              <w:keepLines w:val="0"/>
              <w:widowControl/>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kern w:val="0"/>
                <w:sz w:val="22"/>
                <w:szCs w:val="22"/>
              </w:rPr>
            </w:pPr>
          </w:p>
        </w:tc>
        <w:tc>
          <w:tcPr>
            <w:tcW w:w="2077" w:type="dxa"/>
            <w:shd w:val="clear" w:color="auto" w:fill="FFFFFF"/>
            <w:noWrap w:val="0"/>
            <w:vAlign w:val="center"/>
          </w:tcPr>
          <w:p>
            <w:pPr>
              <w:keepNext w:val="0"/>
              <w:keepLines w:val="0"/>
              <w:widowControl/>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kern w:val="0"/>
                <w:sz w:val="22"/>
                <w:szCs w:val="22"/>
              </w:rPr>
            </w:pPr>
            <w:r>
              <w:rPr>
                <w:rFonts w:hint="default" w:ascii="Times New Roman" w:hAnsi="Times New Roman" w:eastAsia="宋体" w:cs="Times New Roman"/>
                <w:sz w:val="22"/>
                <w:szCs w:val="22"/>
              </w:rPr>
              <w:t>Reduced by XX%</w:t>
            </w:r>
          </w:p>
        </w:tc>
        <w:tc>
          <w:tcPr>
            <w:tcW w:w="1900" w:type="dxa"/>
            <w:shd w:val="clear" w:color="auto" w:fill="FFFFFF"/>
            <w:noWrap w:val="0"/>
            <w:vAlign w:val="center"/>
          </w:tcPr>
          <w:p>
            <w:pPr>
              <w:keepNext w:val="0"/>
              <w:keepLines w:val="0"/>
              <w:widowControl/>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kern w:val="0"/>
                <w:sz w:val="22"/>
                <w:szCs w:val="22"/>
              </w:rPr>
            </w:pPr>
            <w:r>
              <w:rPr>
                <w:rFonts w:hint="default" w:ascii="Times New Roman" w:hAnsi="Times New Roman" w:eastAsia="宋体" w:cs="Times New Roman"/>
                <w:sz w:val="22"/>
                <w:szCs w:val="22"/>
              </w:rPr>
              <w:t>Reduced by XX%</w:t>
            </w:r>
          </w:p>
        </w:tc>
      </w:tr>
    </w:tbl>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宋体" w:cs="Times New Roman"/>
          <w:color w:val="auto"/>
          <w:kern w:val="2"/>
          <w:sz w:val="22"/>
          <w:szCs w:val="22"/>
          <w:lang w:val="en-US" w:eastAsia="zh-CN" w:bidi="ar"/>
        </w:rPr>
      </w:pP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2.</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Specific energy conservation actions include but are not be limited to purchasing energy-saving production equipment, lighting systems, and temperature control devices, retrofitting existing equipment for energy-saving purposes, reusing waste heat and residual pressure, and adopting energy cascade utilization. A disclosing entity may disclose the energy conservation actions taken and their expected outcomes.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Examples of major actions are as follows:</w:t>
      </w:r>
    </w:p>
    <w:p>
      <w:pPr>
        <w:keepNext w:val="0"/>
        <w:keepLines w:val="0"/>
        <w:widowControl w:val="0"/>
        <w:suppressLineNumbers w:val="0"/>
        <w:adjustRightInd w:val="0"/>
        <w:snapToGrid w:val="0"/>
        <w:spacing w:before="0" w:beforeAutospacing="0" w:after="312" w:afterLines="100" w:afterAutospacing="0" w:line="273" w:lineRule="auto"/>
        <w:ind w:left="0" w:right="0"/>
        <w:jc w:val="center"/>
        <w:rPr>
          <w:rFonts w:hint="default" w:ascii="Times New Roman" w:hAnsi="Times New Roman" w:eastAsia="等线" w:cs="Times New Roman"/>
          <w:b/>
          <w:bCs w:val="0"/>
          <w:color w:val="auto"/>
          <w:kern w:val="2"/>
          <w:sz w:val="22"/>
          <w:szCs w:val="22"/>
        </w:rPr>
      </w:pPr>
      <w:r>
        <w:rPr>
          <w:rFonts w:hint="default" w:ascii="Times New Roman" w:hAnsi="Times New Roman" w:eastAsia="等线" w:cs="Times New Roman"/>
          <w:b/>
          <w:bCs w:val="0"/>
          <w:color w:val="auto"/>
          <w:kern w:val="2"/>
          <w:sz w:val="22"/>
          <w:szCs w:val="22"/>
          <w:lang w:val="en-US" w:eastAsia="zh-CN" w:bidi="ar"/>
        </w:rPr>
        <w:t xml:space="preserve">Table </w:t>
      </w:r>
      <w:r>
        <w:rPr>
          <w:rFonts w:hint="eastAsia" w:ascii="Times New Roman" w:hAnsi="Times New Roman" w:eastAsia="等线" w:cs="Times New Roman"/>
          <w:b/>
          <w:bCs w:val="0"/>
          <w:color w:val="auto"/>
          <w:kern w:val="2"/>
          <w:sz w:val="22"/>
          <w:szCs w:val="22"/>
          <w:lang w:val="en-US" w:eastAsia="zh-CN" w:bidi="ar"/>
        </w:rPr>
        <w:t>8</w:t>
      </w:r>
      <w:r>
        <w:rPr>
          <w:rFonts w:hint="default" w:ascii="Times New Roman" w:hAnsi="Times New Roman" w:eastAsia="等线" w:cs="Times New Roman"/>
          <w:b/>
          <w:bCs w:val="0"/>
          <w:color w:val="auto"/>
          <w:kern w:val="2"/>
          <w:sz w:val="22"/>
          <w:szCs w:val="22"/>
          <w:lang w:val="en-US" w:eastAsia="zh-CN" w:bidi="ar"/>
        </w:rPr>
        <w:t>: Examples of Energy Conservation Actions</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3357"/>
        <w:gridCol w:w="2061"/>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156" w:beforeLines="50" w:beforeAutospacing="0" w:after="156" w:afterLines="50" w:afterAutospacing="0" w:line="273" w:lineRule="auto"/>
              <w:ind w:left="12" w:right="0"/>
              <w:jc w:val="center"/>
              <w:textAlignment w:val="baseline"/>
              <w:rPr>
                <w:rFonts w:hint="default" w:ascii="Times New Roman" w:hAnsi="Times New Roman" w:eastAsia="宋体" w:cs="Times New Roman"/>
                <w:b/>
                <w:bCs w:val="0"/>
                <w:color w:val="auto"/>
                <w:kern w:val="0"/>
                <w:sz w:val="22"/>
                <w:szCs w:val="22"/>
                <w:vertAlign w:val="baseline"/>
              </w:rPr>
            </w:pPr>
            <w:r>
              <w:rPr>
                <w:rFonts w:hint="default" w:ascii="Times New Roman" w:hAnsi="Times New Roman" w:eastAsia="宋体" w:cs="Times New Roman"/>
                <w:b/>
                <w:bCs w:val="0"/>
                <w:color w:val="auto"/>
                <w:kern w:val="0"/>
                <w:sz w:val="22"/>
                <w:szCs w:val="22"/>
                <w:vertAlign w:val="baseline"/>
                <w:lang w:val="en-US" w:eastAsia="zh-CN" w:bidi="ar"/>
              </w:rPr>
              <w:t>Category</w:t>
            </w:r>
          </w:p>
        </w:tc>
        <w:tc>
          <w:tcPr>
            <w:tcW w:w="19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156" w:beforeLines="50" w:beforeAutospacing="0" w:after="156" w:afterLines="50" w:afterAutospacing="0" w:line="273" w:lineRule="auto"/>
              <w:ind w:left="12" w:right="0"/>
              <w:jc w:val="center"/>
              <w:textAlignment w:val="baseline"/>
              <w:rPr>
                <w:rFonts w:hint="default" w:ascii="Times New Roman" w:hAnsi="Times New Roman" w:eastAsia="宋体" w:cs="Times New Roman"/>
                <w:b/>
                <w:bCs w:val="0"/>
                <w:color w:val="auto"/>
                <w:kern w:val="0"/>
                <w:sz w:val="22"/>
                <w:szCs w:val="22"/>
                <w:vertAlign w:val="baseline"/>
              </w:rPr>
            </w:pPr>
            <w:r>
              <w:rPr>
                <w:rFonts w:hint="default" w:ascii="Times New Roman" w:hAnsi="Times New Roman" w:eastAsia="宋体" w:cs="Times New Roman"/>
                <w:b/>
                <w:bCs w:val="0"/>
                <w:color w:val="auto"/>
                <w:kern w:val="0"/>
                <w:sz w:val="22"/>
                <w:szCs w:val="22"/>
                <w:vertAlign w:val="baseline"/>
                <w:lang w:val="en-US" w:eastAsia="zh-CN" w:bidi="ar"/>
              </w:rPr>
              <w:t>Examples</w:t>
            </w:r>
          </w:p>
        </w:tc>
        <w:tc>
          <w:tcPr>
            <w:tcW w:w="21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156" w:beforeLines="50" w:beforeAutospacing="0" w:after="156" w:afterLines="50" w:afterAutospacing="0" w:line="273" w:lineRule="auto"/>
              <w:ind w:left="12" w:right="0"/>
              <w:jc w:val="center"/>
              <w:textAlignment w:val="baseline"/>
              <w:rPr>
                <w:rFonts w:hint="default" w:ascii="Times New Roman" w:hAnsi="Times New Roman" w:eastAsia="宋体" w:cs="Times New Roman"/>
                <w:b/>
                <w:bCs w:val="0"/>
                <w:color w:val="auto"/>
                <w:kern w:val="0"/>
                <w:sz w:val="22"/>
                <w:szCs w:val="22"/>
                <w:vertAlign w:val="baseline"/>
              </w:rPr>
            </w:pPr>
            <w:r>
              <w:rPr>
                <w:rFonts w:hint="default" w:ascii="Times New Roman" w:hAnsi="Times New Roman" w:eastAsia="宋体" w:cs="Times New Roman"/>
                <w:b/>
                <w:bCs w:val="0"/>
                <w:color w:val="auto"/>
                <w:kern w:val="0"/>
                <w:sz w:val="22"/>
                <w:szCs w:val="22"/>
                <w:vertAlign w:val="baseline"/>
                <w:lang w:val="en-US" w:eastAsia="zh-CN" w:bidi="ar"/>
              </w:rPr>
              <w:t>Examples of Key Performance Metrics</w:t>
            </w:r>
          </w:p>
          <w:p>
            <w:pPr>
              <w:keepNext w:val="0"/>
              <w:keepLines w:val="0"/>
              <w:widowControl/>
              <w:suppressLineNumbers w:val="0"/>
              <w:kinsoku w:val="0"/>
              <w:autoSpaceDE w:val="0"/>
              <w:autoSpaceDN w:val="0"/>
              <w:adjustRightInd w:val="0"/>
              <w:snapToGrid w:val="0"/>
              <w:spacing w:before="156" w:beforeLines="50" w:beforeAutospacing="0" w:after="156" w:afterLines="50" w:afterAutospacing="0" w:line="273" w:lineRule="auto"/>
              <w:ind w:left="12" w:right="0"/>
              <w:jc w:val="center"/>
              <w:textAlignment w:val="baseline"/>
              <w:rPr>
                <w:rFonts w:hint="default" w:ascii="Times New Roman" w:hAnsi="Times New Roman" w:eastAsia="宋体" w:cs="Times New Roman"/>
                <w:b/>
                <w:bCs w:val="0"/>
                <w:color w:val="auto"/>
                <w:kern w:val="0"/>
                <w:sz w:val="22"/>
                <w:szCs w:val="22"/>
                <w:vertAlign w:val="baseline"/>
              </w:rPr>
            </w:pPr>
            <w:r>
              <w:rPr>
                <w:rFonts w:hint="default" w:ascii="Times New Roman" w:hAnsi="Times New Roman" w:eastAsia="宋体" w:cs="Times New Roman"/>
                <w:b/>
                <w:bCs w:val="0"/>
                <w:color w:val="auto"/>
                <w:kern w:val="0"/>
                <w:sz w:val="22"/>
                <w:szCs w:val="22"/>
                <w:vertAlign w:val="baseline"/>
                <w:lang w:val="en-US" w:eastAsia="zh-CN" w:bidi="ar"/>
              </w:rPr>
              <w:t>(Quantitative/Non-Quantitative)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Energy-saving production equipment</w:t>
            </w:r>
          </w:p>
        </w:tc>
        <w:tc>
          <w:tcPr>
            <w:tcW w:w="19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In procurement activities, give preference to high-efficiency motors, inverter-driven air compressors, pumps, fans, and other key power equipment that comply with national energy efficiency standards (e.g., GB 18613); select devices with advanced energy-saving technologies (e.g., permanent magnet synchronous technology, and IE4/IE5 ultra-high efficiency grades) for new projects or equipment upgrades.</w:t>
            </w:r>
          </w:p>
        </w:tc>
        <w:tc>
          <w:tcPr>
            <w:tcW w:w="12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The company has replaced XX outdated motors with high-efficiency motors in production lines.</w:t>
            </w:r>
          </w:p>
        </w:tc>
        <w:tc>
          <w:tcPr>
            <w:tcW w:w="9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Estimated annual electricity savings: XX 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Energy-saving lighting systems</w:t>
            </w:r>
          </w:p>
        </w:tc>
        <w:tc>
          <w:tcPr>
            <w:tcW w:w="19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Phase out incandescent/fluorescent lamps entirely; promote LED lighting in plants/offices /workshops/warehouses; adopt intelligent control systems with light sensors/sound controls/timers/zoning functionalities.</w:t>
            </w:r>
          </w:p>
        </w:tc>
        <w:tc>
          <w:tcPr>
            <w:tcW w:w="12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The company has completed LED retrofitting in plant public areas and workshops, covering XX lamps.</w:t>
            </w:r>
          </w:p>
        </w:tc>
        <w:tc>
          <w:tcPr>
            <w:tcW w:w="9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Comprehensive energy-saving rate: Over 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Energy-saving temperature control devices</w:t>
            </w:r>
          </w:p>
        </w:tc>
        <w:tc>
          <w:tcPr>
            <w:tcW w:w="19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Select high-efficiency air conditioning systems such as magnetic bearing chillers and variable refrigerant flow units; apply high-efficiency heat pumps for heating/ventilation systems; install intelligent temperature control systems for critical equipment.</w:t>
            </w:r>
          </w:p>
        </w:tc>
        <w:tc>
          <w:tcPr>
            <w:tcW w:w="12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The company has replaced screw chillers with magnetic bearing chillers at a production base.</w:t>
            </w:r>
          </w:p>
        </w:tc>
        <w:tc>
          <w:tcPr>
            <w:tcW w:w="9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Annual electricity savings: XX 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Waste heat and residual pressure recovery</w:t>
            </w:r>
          </w:p>
        </w:tc>
        <w:tc>
          <w:tcPr>
            <w:tcW w:w="19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Systematically recover waste heat from kiln flue gas, process exhaust, and air compressors, steam condensate, blast furnace gas pressure (through TRT), as well as chemical gas pressure.</w:t>
            </w:r>
          </w:p>
        </w:tc>
        <w:tc>
          <w:tcPr>
            <w:tcW w:w="12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The company has installed a top pressure recovery turbine (TRT) for blast furnace gas in a production line.</w:t>
            </w:r>
          </w:p>
        </w:tc>
        <w:tc>
          <w:tcPr>
            <w:tcW w:w="9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Annual power generation: XX kWh</w:t>
            </w:r>
          </w:p>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Annual coal reduction: XX 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Application of technologies</w:t>
            </w:r>
          </w:p>
        </w:tc>
        <w:tc>
          <w:tcPr>
            <w:tcW w:w="19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Install waste heat boilers to generate steam for power generation; use heat pump technology to upgrade low-grade waste heat; implement closed-loop recovery of steam condensate; construct an organic rankine cycle (ORC) system for residue pressure power generation.</w:t>
            </w:r>
          </w:p>
        </w:tc>
        <w:tc>
          <w:tcPr>
            <w:tcW w:w="12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A factory has utilized medium-temperature exhaust from a reactor for ORC power generation.</w:t>
            </w:r>
          </w:p>
        </w:tc>
        <w:tc>
          <w:tcPr>
            <w:tcW w:w="9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273" w:lineRule="auto"/>
              <w:ind w:left="0" w:right="0"/>
              <w:jc w:val="left"/>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lang w:val="en-US" w:eastAsia="zh-CN" w:bidi="ar"/>
              </w:rPr>
              <w:t>Annual power generation: XX kWh</w:t>
            </w:r>
          </w:p>
        </w:tc>
      </w:tr>
    </w:tbl>
    <w:p>
      <w:pPr>
        <w:keepNext w:val="0"/>
        <w:keepLines w:val="0"/>
        <w:widowControl w:val="0"/>
        <w:suppressLineNumbers w:val="0"/>
        <w:adjustRightInd w:val="0"/>
        <w:snapToGrid w:val="0"/>
        <w:spacing w:before="156" w:beforeLines="5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 xml:space="preserve">Note: The categories and content in this table are for </w:t>
      </w:r>
      <w:r>
        <w:rPr>
          <w:rFonts w:hint="default" w:ascii="Times New Roman" w:hAnsi="Times New Roman" w:eastAsia="宋体" w:cs="Times New Roman"/>
          <w:color w:val="auto"/>
          <w:kern w:val="2"/>
          <w:sz w:val="22"/>
          <w:szCs w:val="22"/>
          <w:lang w:val="en-US" w:eastAsia="zh-CN" w:bidi="ar"/>
        </w:rPr>
        <w:t xml:space="preserve">illustrative purposes </w:t>
      </w:r>
      <w:r>
        <w:rPr>
          <w:rFonts w:hint="default" w:ascii="Times New Roman" w:hAnsi="Times New Roman" w:eastAsia="等线" w:cs="Times New Roman"/>
          <w:color w:val="auto"/>
          <w:kern w:val="2"/>
          <w:sz w:val="22"/>
          <w:szCs w:val="22"/>
          <w:lang w:val="en-US" w:eastAsia="zh-CN" w:bidi="ar"/>
        </w:rPr>
        <w:t>only.</w:t>
      </w:r>
      <w:r>
        <w:rPr>
          <w:rFonts w:hint="default" w:ascii="Times New Roman" w:hAnsi="Times New Roman" w:eastAsia="宋体" w:cs="Times New Roman"/>
          <w:color w:val="auto"/>
          <w:kern w:val="2"/>
          <w:sz w:val="22"/>
          <w:szCs w:val="22"/>
          <w:lang w:val="en-US" w:eastAsia="zh-CN" w:bidi="ar"/>
        </w:rPr>
        <w:t xml:space="preserve"> Each company shall customize actions according to its own circumstances. </w:t>
      </w:r>
      <w:r>
        <w:rPr>
          <w:rFonts w:hint="default" w:ascii="Times New Roman" w:hAnsi="Times New Roman" w:eastAsia="等线" w:cs="Times New Roman"/>
          <w:color w:val="auto"/>
          <w:kern w:val="2"/>
          <w:sz w:val="22"/>
          <w:szCs w:val="22"/>
          <w:lang w:val="en-US" w:eastAsia="zh-CN" w:bidi="ar"/>
        </w:rPr>
        <w:t xml:space="preserve">Quantitative outcomes can be calculated with reference to the </w:t>
      </w:r>
      <w:r>
        <w:rPr>
          <w:rFonts w:hint="default" w:ascii="Times New Roman" w:hAnsi="Times New Roman" w:eastAsia="等线" w:cs="Times New Roman"/>
          <w:i/>
          <w:iCs/>
          <w:color w:val="auto"/>
          <w:kern w:val="2"/>
          <w:sz w:val="22"/>
          <w:szCs w:val="22"/>
          <w:lang w:val="en-US" w:eastAsia="zh-CN" w:bidi="ar"/>
        </w:rPr>
        <w:t xml:space="preserve">Guidance on Implementation of Measurement and Verification of Energy Savings GB/T 32045—2015 </w:t>
      </w:r>
      <w:r>
        <w:rPr>
          <w:rFonts w:hint="default" w:ascii="Times New Roman" w:hAnsi="Times New Roman" w:eastAsia="等线" w:cs="Times New Roman"/>
          <w:color w:val="auto"/>
          <w:kern w:val="2"/>
          <w:sz w:val="22"/>
          <w:szCs w:val="22"/>
          <w:lang w:val="en-US" w:eastAsia="zh-CN" w:bidi="ar"/>
        </w:rPr>
        <w:t>and other applicable standards.</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3.</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Specific challenges encountered in energy utilization (if applicable).</w:t>
      </w:r>
    </w:p>
    <w:p>
      <w:pPr>
        <w:keepNext w:val="0"/>
        <w:keepLines w:val="0"/>
        <w:widowControl w:val="0"/>
        <w:suppressLineNumbers w:val="0"/>
        <w:adjustRightInd w:val="0"/>
        <w:snapToGrid w:val="0"/>
        <w:spacing w:before="0" w:beforeAutospacing="0" w:after="312" w:afterLines="100" w:afterAutospacing="0" w:line="273" w:lineRule="auto"/>
        <w:ind w:left="0" w:right="0"/>
        <w:jc w:val="left"/>
        <w:rPr>
          <w:rFonts w:hint="default" w:ascii="Times New Roman" w:hAnsi="Times New Roman" w:eastAsia="等线" w:cs="Times New Roman"/>
          <w:color w:val="auto"/>
          <w:kern w:val="2"/>
          <w:sz w:val="22"/>
          <w:szCs w:val="22"/>
        </w:rPr>
      </w:pPr>
      <w:r>
        <w:rPr>
          <w:rFonts w:hint="default" w:ascii="Times New Roman" w:hAnsi="Times New Roman" w:eastAsia="等线" w:cs="Times New Roman"/>
          <w:color w:val="auto"/>
          <w:kern w:val="2"/>
          <w:sz w:val="22"/>
          <w:szCs w:val="22"/>
          <w:lang w:val="en-US" w:eastAsia="zh-CN" w:bidi="ar"/>
        </w:rPr>
        <w:t>A disclosing entity may disclose the challenges encountered in energy utilization based on its own circumstances, such as challenges related to energy supply concentration, stability, energy costs, energy management and technology, or talent and capital investment.</w:t>
      </w:r>
    </w:p>
    <w:p>
      <w:pPr>
        <w:rPr>
          <w:color w:val="auto"/>
        </w:rPr>
      </w:pPr>
    </w:p>
    <w:sectPr>
      <w:footerReference r:id="rId6"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等线">
    <w:altName w:val="宋体"/>
    <w:panose1 w:val="02010600030101010101"/>
    <w:charset w:val="00"/>
    <w:family w:val="auto"/>
    <w:pitch w:val="default"/>
    <w:sig w:usb0="00000000" w:usb1="00000000" w:usb2="00000016" w:usb3="00000000" w:csb0="0004000F" w:csb1="00000000"/>
  </w:font>
  <w:font w:name="Cambria">
    <w:panose1 w:val="02040503050406030204"/>
    <w:charset w:val="00"/>
    <w:family w:val="auto"/>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213"/>
        <w:tab w:val="left" w:pos="5368"/>
      </w:tabs>
      <w:jc w:val="left"/>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ab/>
    </w: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4</w:t>
    </w:r>
    <w:r>
      <w:rPr>
        <w:rFonts w:ascii="Times New Roman" w:hAnsi="Times New Roman" w:cs="Times New Roman"/>
        <w:sz w:val="20"/>
        <w:szCs w:val="20"/>
      </w:rPr>
      <w:fldChar w:fldCharType="end"/>
    </w:r>
    <w:r>
      <w:rPr>
        <w:rFonts w:hint="eastAsia" w:ascii="Times New Roman" w:hAnsi="Times New Roman" w:cs="Times New Roman"/>
        <w:sz w:val="20"/>
        <w:szCs w:val="20"/>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default" w:ascii="Times New Roman" w:hAnsi="Times New Roman" w:cs="Times New Roman"/>
        <w:lang w:val="en-US" w:eastAsia="zh-CN"/>
      </w:rPr>
      <w:t>This courtesy translation is furnished for information purposes only.The original Chinese te</w:t>
    </w:r>
    <w:r>
      <w:rPr>
        <w:rFonts w:hint="eastAsia" w:ascii="Times New Roman" w:hAnsi="Times New Roman" w:cs="Times New Roman"/>
        <w:lang w:val="en-US" w:eastAsia="zh-CN"/>
      </w:rPr>
      <w:t>x</w:t>
    </w:r>
    <w:r>
      <w:rPr>
        <w:rFonts w:hint="default" w:ascii="Times New Roman" w:hAnsi="Times New Roman" w:cs="Times New Roman"/>
        <w:lang w:val="en-US" w:eastAsia="zh-CN"/>
      </w:rPr>
      <w:t xml:space="preserve">t is binding in all respects.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F395A4"/>
    <w:rsid w:val="012D66CB"/>
    <w:rsid w:val="012F416B"/>
    <w:rsid w:val="026B5085"/>
    <w:rsid w:val="05AF3B52"/>
    <w:rsid w:val="0AAE262A"/>
    <w:rsid w:val="0C322B9B"/>
    <w:rsid w:val="0D3606B5"/>
    <w:rsid w:val="0DDC74AE"/>
    <w:rsid w:val="0E726A90"/>
    <w:rsid w:val="14B85C2C"/>
    <w:rsid w:val="16C64742"/>
    <w:rsid w:val="178A4387"/>
    <w:rsid w:val="1D0B4FC7"/>
    <w:rsid w:val="1D9A77F3"/>
    <w:rsid w:val="1DB5784A"/>
    <w:rsid w:val="22925F36"/>
    <w:rsid w:val="23993E95"/>
    <w:rsid w:val="23F474E0"/>
    <w:rsid w:val="26474FAA"/>
    <w:rsid w:val="28B079BB"/>
    <w:rsid w:val="2B8C79C6"/>
    <w:rsid w:val="2C440295"/>
    <w:rsid w:val="2FF7B0E6"/>
    <w:rsid w:val="31EF7ECB"/>
    <w:rsid w:val="33094D68"/>
    <w:rsid w:val="335F125C"/>
    <w:rsid w:val="33B26BB1"/>
    <w:rsid w:val="341D4208"/>
    <w:rsid w:val="342918D0"/>
    <w:rsid w:val="3CCD2793"/>
    <w:rsid w:val="408D1DF0"/>
    <w:rsid w:val="434172EC"/>
    <w:rsid w:val="448C6831"/>
    <w:rsid w:val="45523A81"/>
    <w:rsid w:val="497A134E"/>
    <w:rsid w:val="4F557072"/>
    <w:rsid w:val="51081F7D"/>
    <w:rsid w:val="545847EF"/>
    <w:rsid w:val="58A770ED"/>
    <w:rsid w:val="5B5B6779"/>
    <w:rsid w:val="61763789"/>
    <w:rsid w:val="64EB509F"/>
    <w:rsid w:val="65FC0AC0"/>
    <w:rsid w:val="67202F3D"/>
    <w:rsid w:val="67DF559B"/>
    <w:rsid w:val="6BF61442"/>
    <w:rsid w:val="6C073351"/>
    <w:rsid w:val="6C2E2D48"/>
    <w:rsid w:val="74381A66"/>
    <w:rsid w:val="763D2228"/>
    <w:rsid w:val="764EF8A0"/>
    <w:rsid w:val="7DD50E36"/>
    <w:rsid w:val="7EFE4764"/>
    <w:rsid w:val="7FAE807A"/>
    <w:rsid w:val="7FB74000"/>
    <w:rsid w:val="7FE5E8CB"/>
    <w:rsid w:val="7FFFE365"/>
    <w:rsid w:val="9876A60B"/>
    <w:rsid w:val="BCEFF741"/>
    <w:rsid w:val="D5F395A4"/>
    <w:rsid w:val="D9258B57"/>
    <w:rsid w:val="EB7F4072"/>
    <w:rsid w:val="EDBFDBF7"/>
    <w:rsid w:val="EF992D20"/>
    <w:rsid w:val="F7EFFB28"/>
    <w:rsid w:val="F9FFDE49"/>
    <w:rsid w:val="FB97E3FA"/>
    <w:rsid w:val="FF5FD64E"/>
    <w:rsid w:val="FFEBDEF6"/>
    <w:rsid w:val="FFFCD2AA"/>
    <w:rsid w:val="FFFF1E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80"/>
      <w:outlineLvl w:val="0"/>
    </w:pPr>
    <w:rPr>
      <w:rFonts w:ascii="Calibri Light" w:hAnsi="Calibri Light" w:eastAsia="宋体" w:cs="Times New Roman"/>
      <w:color w:val="2D54A0"/>
      <w:sz w:val="48"/>
      <w:szCs w:val="48"/>
    </w:rPr>
  </w:style>
  <w:style w:type="paragraph" w:styleId="3">
    <w:name w:val="heading 2"/>
    <w:basedOn w:val="1"/>
    <w:next w:val="1"/>
    <w:unhideWhenUsed/>
    <w:qFormat/>
    <w:uiPriority w:val="9"/>
    <w:pPr>
      <w:keepNext/>
      <w:keepLines/>
      <w:spacing w:before="160" w:after="80"/>
      <w:outlineLvl w:val="1"/>
    </w:pPr>
    <w:rPr>
      <w:rFonts w:ascii="Calibri Light" w:hAnsi="Calibri Light" w:eastAsia="宋体" w:cs="Times New Roman"/>
      <w:color w:val="2D54A0"/>
      <w:sz w:val="40"/>
      <w:szCs w:val="40"/>
    </w:rPr>
  </w:style>
  <w:style w:type="paragraph" w:styleId="4">
    <w:name w:val="heading 3"/>
    <w:basedOn w:val="1"/>
    <w:next w:val="1"/>
    <w:unhideWhenUsed/>
    <w:qFormat/>
    <w:uiPriority w:val="9"/>
    <w:pPr>
      <w:keepNext/>
      <w:keepLines/>
      <w:adjustRightInd w:val="0"/>
      <w:snapToGrid w:val="0"/>
      <w:spacing w:after="100" w:afterLines="100" w:line="276" w:lineRule="auto"/>
      <w:outlineLvl w:val="2"/>
    </w:pPr>
    <w:rPr>
      <w:rFonts w:ascii="Times New Roman" w:hAnsi="Times New Roman" w:eastAsia="宋体" w:cs="Times New Roman"/>
      <w:color w:val="000000"/>
      <w:sz w:val="22"/>
      <w:szCs w:val="32"/>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toc 3"/>
    <w:basedOn w:val="1"/>
    <w:next w:val="1"/>
    <w:unhideWhenUsed/>
    <w:qFormat/>
    <w:uiPriority w:val="39"/>
    <w:pPr>
      <w:tabs>
        <w:tab w:val="left" w:pos="1701"/>
        <w:tab w:val="right" w:leader="dot" w:pos="8296"/>
      </w:tabs>
      <w:adjustRightInd w:val="0"/>
      <w:snapToGrid w:val="0"/>
      <w:spacing w:after="312" w:afterLines="100" w:line="276" w:lineRule="auto"/>
      <w:ind w:left="840" w:leftChars="400" w:firstLine="436" w:firstLineChars="198"/>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tabs>
        <w:tab w:val="center" w:pos="4153"/>
        <w:tab w:val="right" w:pos="8306"/>
      </w:tabs>
      <w:snapToGrid w:val="0"/>
      <w:jc w:val="center"/>
    </w:pPr>
    <w:rPr>
      <w:sz w:val="18"/>
      <w:szCs w:val="18"/>
    </w:rPr>
  </w:style>
  <w:style w:type="paragraph" w:styleId="8">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paragraph" w:styleId="9">
    <w:name w:val="toc 2"/>
    <w:basedOn w:val="1"/>
    <w:next w:val="1"/>
    <w:unhideWhenUsed/>
    <w:qFormat/>
    <w:uiPriority w:val="39"/>
    <w:pPr>
      <w:tabs>
        <w:tab w:val="left" w:pos="1276"/>
        <w:tab w:val="right" w:leader="dot" w:pos="8296"/>
      </w:tabs>
      <w:adjustRightInd w:val="0"/>
      <w:snapToGrid w:val="0"/>
      <w:spacing w:after="312" w:afterLines="100" w:line="276" w:lineRule="auto"/>
      <w:ind w:left="420" w:leftChars="200" w:firstLine="431" w:firstLineChars="195"/>
    </w:pPr>
    <w:rPr>
      <w:rFonts w:ascii="Times New Roman" w:hAnsi="Times New Roman" w:eastAsia="宋体" w:cs="Times New Roman"/>
      <w:b/>
      <w:sz w:val="22"/>
    </w:rPr>
  </w:style>
  <w:style w:type="paragraph" w:styleId="10">
    <w:name w:val="Normal (Web)"/>
    <w:basedOn w:val="1"/>
    <w:qFormat/>
    <w:uiPriority w:val="0"/>
    <w:rPr>
      <w:sz w:val="24"/>
    </w:rPr>
  </w:style>
  <w:style w:type="table" w:styleId="12">
    <w:name w:val="Table Grid"/>
    <w:basedOn w:val="11"/>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qFormat/>
    <w:uiPriority w:val="0"/>
    <w:rPr>
      <w:color w:val="800080"/>
      <w:u w:val="single"/>
    </w:rPr>
  </w:style>
  <w:style w:type="character" w:styleId="15">
    <w:name w:val="Hyperlink"/>
    <w:basedOn w:val="13"/>
    <w:unhideWhenUsed/>
    <w:qFormat/>
    <w:uiPriority w:val="99"/>
    <w:rPr>
      <w:color w:val="0026E5"/>
      <w:u w:val="single"/>
    </w:rPr>
  </w:style>
  <w:style w:type="character" w:customStyle="1" w:styleId="16">
    <w:name w:val="10"/>
    <w:basedOn w:val="13"/>
    <w:qFormat/>
    <w:uiPriority w:val="0"/>
    <w:rPr>
      <w:rFonts w:hint="default" w:ascii="Times New Roman" w:hAnsi="Times New Roman" w:cs="Times New Roman"/>
    </w:rPr>
  </w:style>
  <w:style w:type="character" w:customStyle="1" w:styleId="17">
    <w:name w:val="15"/>
    <w:basedOn w:val="13"/>
    <w:qFormat/>
    <w:uiPriority w:val="0"/>
    <w:rPr>
      <w:rFonts w:hint="default" w:ascii="Times New Roman" w:hAnsi="Times New Roman" w:cs="Times New Roman"/>
      <w:color w:val="0563C1"/>
      <w:u w:val="single"/>
    </w:rPr>
  </w:style>
  <w:style w:type="table" w:customStyle="1" w:styleId="18">
    <w:name w:val="网格型1"/>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表格"/>
    <w:basedOn w:val="1"/>
    <w:qFormat/>
    <w:uiPriority w:val="0"/>
    <w:pPr>
      <w:keepNext w:val="0"/>
      <w:keepLines w:val="0"/>
      <w:widowControl w:val="0"/>
      <w:suppressLineNumbers w:val="0"/>
      <w:adjustRightInd w:val="0"/>
      <w:snapToGrid w:val="0"/>
      <w:spacing w:before="0" w:beforeAutospacing="0" w:after="0" w:afterAutospacing="0" w:line="400" w:lineRule="exact"/>
      <w:ind w:left="0" w:right="0" w:firstLine="0" w:firstLineChars="0"/>
      <w:jc w:val="both"/>
    </w:pPr>
    <w:rPr>
      <w:rFonts w:hint="default" w:ascii="仿宋" w:hAnsi="仿宋" w:eastAsia="仿宋" w:cs="Times New Roman"/>
      <w:snapToGrid/>
      <w:color w:val="000000"/>
      <w:kern w:val="0"/>
      <w:sz w:val="24"/>
      <w:szCs w:val="24"/>
      <w:lang w:val="en-US" w:eastAsia="zh-CN" w:bidi="ar"/>
    </w:rPr>
  </w:style>
  <w:style w:type="paragraph" w:customStyle="1" w:styleId="20">
    <w:name w:val="TOC 标题1"/>
    <w:qFormat/>
    <w:uiPriority w:val="0"/>
    <w:pPr>
      <w:keepNext/>
      <w:keepLines/>
      <w:widowControl/>
      <w:suppressLineNumbers w:val="0"/>
      <w:adjustRightInd/>
      <w:snapToGrid/>
      <w:spacing w:before="240" w:beforeAutospacing="0" w:line="256" w:lineRule="auto"/>
      <w:ind w:firstLine="0" w:firstLineChars="0"/>
      <w:jc w:val="left"/>
      <w:outlineLvl w:val="9"/>
    </w:pPr>
    <w:rPr>
      <w:rFonts w:hint="default" w:ascii="Cambria" w:hAnsi="Cambria" w:eastAsia="宋体" w:cs="Times New Roman"/>
      <w:snapToGrid/>
      <w:color w:val="366091"/>
      <w:kern w:val="0"/>
      <w:sz w:val="32"/>
      <w:szCs w:val="32"/>
      <w:lang w:val="en-US" w:eastAsia="zh-CN" w:bidi="ar"/>
    </w:rPr>
  </w:style>
  <w:style w:type="paragraph" w:customStyle="1" w:styleId="21">
    <w:name w:val="表头"/>
    <w:basedOn w:val="1"/>
    <w:qFormat/>
    <w:uiPriority w:val="0"/>
    <w:pPr>
      <w:keepNext w:val="0"/>
      <w:keepLines w:val="0"/>
      <w:widowControl w:val="0"/>
      <w:suppressLineNumbers w:val="0"/>
      <w:adjustRightInd w:val="0"/>
      <w:snapToGrid w:val="0"/>
      <w:spacing w:before="0" w:beforeAutospacing="0" w:after="0" w:afterAutospacing="0" w:line="400" w:lineRule="exact"/>
      <w:ind w:left="0" w:right="0" w:firstLine="0" w:firstLineChars="0"/>
      <w:jc w:val="center"/>
    </w:pPr>
    <w:rPr>
      <w:rFonts w:hint="default" w:ascii="仿宋" w:hAnsi="仿宋" w:eastAsia="仿宋" w:cs="Times New Roman"/>
      <w:snapToGrid/>
      <w:color w:val="auto"/>
      <w:kern w:val="0"/>
      <w:sz w:val="28"/>
      <w:szCs w:val="28"/>
      <w:lang w:val="en-US" w:eastAsia="zh-CN" w:bidi="ar"/>
    </w:rPr>
  </w:style>
  <w:style w:type="table" w:customStyle="1" w:styleId="22">
    <w:name w:val="表格2"/>
    <w:basedOn w:val="11"/>
    <w:qFormat/>
    <w:uiPriority w:val="0"/>
    <w:pPr>
      <w:keepNext w:val="0"/>
      <w:keepLines w:val="0"/>
      <w:widowControl w:val="0"/>
      <w:suppressLineNumbers w:val="0"/>
      <w:spacing w:before="0" w:beforeAutospacing="0" w:after="0" w:afterAutospacing="0"/>
      <w:ind w:left="0" w:right="0"/>
      <w:jc w:val="both"/>
    </w:pPr>
    <w:rPr>
      <w:rFonts w:hint="default" w:ascii="华文仿宋" w:hAnsi="华文仿宋" w:eastAsia="华文仿宋" w:cs="华文仿宋"/>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
    <w:name w:val="网格型4"/>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
    <w:name w:val="表格3"/>
    <w:basedOn w:val="11"/>
    <w:qFormat/>
    <w:uiPriority w:val="0"/>
    <w:pPr>
      <w:keepNext w:val="0"/>
      <w:keepLines w:val="0"/>
      <w:widowControl w:val="0"/>
      <w:suppressLineNumbers w:val="0"/>
      <w:spacing w:before="0" w:beforeAutospacing="0" w:after="0" w:afterAutospacing="0"/>
      <w:ind w:left="0" w:right="0"/>
      <w:jc w:val="both"/>
    </w:pPr>
    <w:rPr>
      <w:rFonts w:hint="default" w:ascii="华文仿宋" w:hAnsi="华文仿宋" w:eastAsia="华文仿宋" w:cs="华文仿宋"/>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1473</Words>
  <Characters>9171</Characters>
  <Lines>1</Lines>
  <Paragraphs>1</Paragraphs>
  <TotalTime>23</TotalTime>
  <ScaleCrop>false</ScaleCrop>
  <LinksUpToDate>false</LinksUpToDate>
  <CharactersWithSpaces>10591</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2025-09-07T20:21:00Z</dcterms:created>
  <dc:creator>yrshen</dc:creator>
  <cp:lastModifiedBy>周星运</cp:lastModifiedBy>
  <dcterms:modified xsi:type="dcterms:W3CDTF">2026-01-30T01:17:46Z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2052-11.8.0.17013</vt:lpwstr>
  </property>
  <property fmtid="{D5CDD505-2E9C-101B-9397-08002B2CF9AE}" pid="3" name="ICV">
    <vt:lpwstr>AAA02471A7844BDBA88C4E72A5855F77</vt:lpwstr>
  </property>
  <property fmtid="{D5CDD505-2E9C-101B-9397-08002B2CF9AE}" pid="4" name="KSOTemplateDocerSaveRecord">
    <vt:lpwstr>eyJoZGlkIjoiZTdjMTcyOTIyYWY4NjJmMWE5Njg3YWU1M2Y0NjEzZTciLCJ1c2VySWQiOiIxNTUxNDU5NzUxIn0=</vt:lpwstr>
  </property>
</Properties>
</file>